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1AF51">
      <w:pPr>
        <w:pageBreakBefore w:val="0"/>
        <w:widowControl w:val="0"/>
        <w:kinsoku/>
        <w:wordWrap/>
        <w:overflowPunct/>
        <w:topLinePunct w:val="0"/>
        <w:bidi w:val="0"/>
        <w:spacing w:before="47" w:line="219" w:lineRule="auto"/>
        <w:ind w:left="3805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bookmarkStart w:id="2" w:name="_GoBack"/>
      <w:bookmarkEnd w:id="2"/>
      <w:bookmarkStart w:id="0" w:name="_Toc24356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</w:p>
    <w:p w14:paraId="6C3E17EF">
      <w:pPr>
        <w:pageBreakBefore w:val="0"/>
        <w:widowControl w:val="0"/>
        <w:kinsoku/>
        <w:wordWrap/>
        <w:overflowPunct/>
        <w:topLinePunct w:val="0"/>
        <w:bidi w:val="0"/>
        <w:spacing w:line="258" w:lineRule="auto"/>
        <w:jc w:val="both"/>
        <w:rPr>
          <w:color w:val="auto"/>
          <w:highlight w:val="none"/>
        </w:rPr>
      </w:pPr>
    </w:p>
    <w:p w14:paraId="015D2860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jc w:val="both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（一）</w:t>
      </w:r>
      <w:r>
        <w:rPr>
          <w:rFonts w:ascii="宋体" w:hAnsi="宋体" w:eastAsia="宋体" w:cs="宋体"/>
          <w:b/>
          <w:bCs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技术需求</w:t>
      </w:r>
    </w:p>
    <w:p w14:paraId="38F50C6A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60" w:lineRule="exact"/>
        <w:ind w:left="210" w:leftChars="0"/>
        <w:jc w:val="both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1、采购清单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8"/>
        <w:gridCol w:w="2467"/>
        <w:gridCol w:w="945"/>
        <w:gridCol w:w="744"/>
        <w:gridCol w:w="1600"/>
        <w:gridCol w:w="1988"/>
      </w:tblGrid>
      <w:tr w14:paraId="0ED0BA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8" w:type="dxa"/>
            <w:vAlign w:val="center"/>
          </w:tcPr>
          <w:p w14:paraId="0F9AC93E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2467" w:type="dxa"/>
            <w:vAlign w:val="center"/>
          </w:tcPr>
          <w:p w14:paraId="128CF60A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945" w:type="dxa"/>
            <w:vAlign w:val="center"/>
          </w:tcPr>
          <w:p w14:paraId="4185197A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744" w:type="dxa"/>
            <w:vAlign w:val="center"/>
          </w:tcPr>
          <w:p w14:paraId="7DE0610B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单位</w:t>
            </w:r>
          </w:p>
        </w:tc>
        <w:tc>
          <w:tcPr>
            <w:tcW w:w="1600" w:type="dxa"/>
            <w:vAlign w:val="center"/>
          </w:tcPr>
          <w:p w14:paraId="0D0809E9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w w:val="90"/>
                <w:sz w:val="24"/>
                <w:szCs w:val="24"/>
                <w:highlight w:val="none"/>
              </w:rPr>
              <w:t>进口/国产</w:t>
            </w:r>
          </w:p>
        </w:tc>
        <w:tc>
          <w:tcPr>
            <w:tcW w:w="1988" w:type="dxa"/>
          </w:tcPr>
          <w:p w14:paraId="2F9DC529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</w:rPr>
              <w:t>中小企业所属行业</w:t>
            </w:r>
          </w:p>
        </w:tc>
      </w:tr>
      <w:tr w14:paraId="57D40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8" w:type="dxa"/>
            <w:vAlign w:val="center"/>
          </w:tcPr>
          <w:p w14:paraId="69EBF928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2467" w:type="dxa"/>
            <w:vAlign w:val="center"/>
          </w:tcPr>
          <w:p w14:paraId="3CDF1E33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台式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计算机</w:t>
            </w:r>
          </w:p>
        </w:tc>
        <w:tc>
          <w:tcPr>
            <w:tcW w:w="945" w:type="dxa"/>
            <w:vAlign w:val="center"/>
          </w:tcPr>
          <w:p w14:paraId="4425F755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100</w:t>
            </w:r>
          </w:p>
        </w:tc>
        <w:tc>
          <w:tcPr>
            <w:tcW w:w="744" w:type="dxa"/>
            <w:vAlign w:val="center"/>
          </w:tcPr>
          <w:p w14:paraId="3BF6893F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台</w:t>
            </w:r>
          </w:p>
        </w:tc>
        <w:tc>
          <w:tcPr>
            <w:tcW w:w="1600" w:type="dxa"/>
            <w:vAlign w:val="center"/>
          </w:tcPr>
          <w:p w14:paraId="108BE6F1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国产</w:t>
            </w:r>
          </w:p>
        </w:tc>
        <w:tc>
          <w:tcPr>
            <w:tcW w:w="1988" w:type="dxa"/>
          </w:tcPr>
          <w:p w14:paraId="50211255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工业</w:t>
            </w:r>
          </w:p>
        </w:tc>
      </w:tr>
      <w:tr w14:paraId="5A654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8" w:type="dxa"/>
            <w:shd w:val="clear" w:color="auto" w:fill="auto"/>
            <w:vAlign w:val="center"/>
          </w:tcPr>
          <w:p w14:paraId="5BB2139A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2467" w:type="dxa"/>
            <w:shd w:val="clear" w:color="auto" w:fill="auto"/>
            <w:vAlign w:val="center"/>
          </w:tcPr>
          <w:p w14:paraId="77328544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显示器</w:t>
            </w:r>
          </w:p>
        </w:tc>
        <w:tc>
          <w:tcPr>
            <w:tcW w:w="945" w:type="dxa"/>
            <w:shd w:val="clear" w:color="auto" w:fill="auto"/>
            <w:vAlign w:val="center"/>
          </w:tcPr>
          <w:p w14:paraId="6649197C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100</w:t>
            </w:r>
          </w:p>
        </w:tc>
        <w:tc>
          <w:tcPr>
            <w:tcW w:w="744" w:type="dxa"/>
            <w:shd w:val="clear" w:color="auto" w:fill="auto"/>
            <w:vAlign w:val="center"/>
          </w:tcPr>
          <w:p w14:paraId="42B4E698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台</w:t>
            </w:r>
          </w:p>
        </w:tc>
        <w:tc>
          <w:tcPr>
            <w:tcW w:w="1600" w:type="dxa"/>
            <w:shd w:val="clear" w:color="auto" w:fill="auto"/>
            <w:vAlign w:val="center"/>
          </w:tcPr>
          <w:p w14:paraId="54B47C8B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国产</w:t>
            </w:r>
          </w:p>
        </w:tc>
        <w:tc>
          <w:tcPr>
            <w:tcW w:w="1988" w:type="dxa"/>
            <w:shd w:val="clear" w:color="auto" w:fill="auto"/>
            <w:vAlign w:val="top"/>
          </w:tcPr>
          <w:p w14:paraId="6B1C39D7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工业</w:t>
            </w:r>
          </w:p>
        </w:tc>
      </w:tr>
      <w:tr w14:paraId="0F5DC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8" w:type="dxa"/>
            <w:vAlign w:val="center"/>
          </w:tcPr>
          <w:p w14:paraId="17BCE714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2467" w:type="dxa"/>
            <w:vAlign w:val="center"/>
          </w:tcPr>
          <w:p w14:paraId="61A3CE1C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还原保护系统</w:t>
            </w:r>
          </w:p>
        </w:tc>
        <w:tc>
          <w:tcPr>
            <w:tcW w:w="945" w:type="dxa"/>
            <w:vAlign w:val="center"/>
          </w:tcPr>
          <w:p w14:paraId="5AB0E19B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100</w:t>
            </w:r>
          </w:p>
        </w:tc>
        <w:tc>
          <w:tcPr>
            <w:tcW w:w="744" w:type="dxa"/>
            <w:vAlign w:val="center"/>
          </w:tcPr>
          <w:p w14:paraId="5CA05186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点</w:t>
            </w:r>
          </w:p>
        </w:tc>
        <w:tc>
          <w:tcPr>
            <w:tcW w:w="1600" w:type="dxa"/>
            <w:vAlign w:val="center"/>
          </w:tcPr>
          <w:p w14:paraId="5F51D3E1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国产</w:t>
            </w:r>
          </w:p>
        </w:tc>
        <w:tc>
          <w:tcPr>
            <w:tcW w:w="1988" w:type="dxa"/>
          </w:tcPr>
          <w:p w14:paraId="42E055BA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软件和信息技术服务业</w:t>
            </w:r>
          </w:p>
        </w:tc>
      </w:tr>
      <w:tr w14:paraId="065DF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8" w:type="dxa"/>
            <w:vAlign w:val="center"/>
          </w:tcPr>
          <w:p w14:paraId="7C6E9F48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4</w:t>
            </w:r>
          </w:p>
        </w:tc>
        <w:tc>
          <w:tcPr>
            <w:tcW w:w="2467" w:type="dxa"/>
            <w:vAlign w:val="center"/>
          </w:tcPr>
          <w:p w14:paraId="7F2B04A7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多媒体教学管理软件</w:t>
            </w:r>
          </w:p>
        </w:tc>
        <w:tc>
          <w:tcPr>
            <w:tcW w:w="945" w:type="dxa"/>
            <w:vAlign w:val="center"/>
          </w:tcPr>
          <w:p w14:paraId="7BBEFA8B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744" w:type="dxa"/>
            <w:vAlign w:val="center"/>
          </w:tcPr>
          <w:p w14:paraId="2A593757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套</w:t>
            </w:r>
          </w:p>
        </w:tc>
        <w:tc>
          <w:tcPr>
            <w:tcW w:w="1600" w:type="dxa"/>
            <w:vAlign w:val="center"/>
          </w:tcPr>
          <w:p w14:paraId="4FB003E2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国产</w:t>
            </w:r>
          </w:p>
        </w:tc>
        <w:tc>
          <w:tcPr>
            <w:tcW w:w="1988" w:type="dxa"/>
          </w:tcPr>
          <w:p w14:paraId="35E15911">
            <w:pPr>
              <w:widowControl w:val="0"/>
              <w:spacing w:line="500" w:lineRule="exact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软件和信息技术服务业</w:t>
            </w:r>
          </w:p>
        </w:tc>
      </w:tr>
    </w:tbl>
    <w:p w14:paraId="27B4C491">
      <w:pPr>
        <w:pageBreakBefore w:val="0"/>
        <w:widowControl w:val="0"/>
        <w:kinsoku/>
        <w:wordWrap/>
        <w:overflowPunct/>
        <w:topLinePunct w:val="0"/>
        <w:bidi w:val="0"/>
        <w:spacing w:line="245" w:lineRule="auto"/>
        <w:jc w:val="both"/>
        <w:rPr>
          <w:color w:val="auto"/>
          <w:highlight w:val="none"/>
          <w:lang w:eastAsia="zh-CN"/>
        </w:rPr>
      </w:pPr>
    </w:p>
    <w:p w14:paraId="39E0A008">
      <w:pPr>
        <w:keepNext w:val="0"/>
        <w:keepLines w:val="0"/>
        <w:pageBreakBefore w:val="0"/>
        <w:wordWrap/>
        <w:overflowPunct/>
        <w:topLinePunct w:val="0"/>
        <w:bidi w:val="0"/>
        <w:spacing w:line="460" w:lineRule="exact"/>
        <w:ind w:firstLine="482" w:firstLineChars="200"/>
        <w:jc w:val="both"/>
        <w:rPr>
          <w:rFonts w:hint="default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b/>
          <w:bCs/>
          <w:sz w:val="24"/>
          <w:szCs w:val="24"/>
          <w:lang w:val="en"/>
        </w:rPr>
        <w:t>、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技术要求</w:t>
      </w:r>
    </w:p>
    <w:p w14:paraId="2861B4A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/>
          <w:bCs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u w:val="none"/>
          <w:lang w:val="en-US" w:eastAsia="zh-CN"/>
        </w:rPr>
        <w:t>2.1台式计算机</w:t>
      </w:r>
    </w:p>
    <w:p w14:paraId="11C4ADD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200"/>
        <w:jc w:val="both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u w:val="none"/>
          <w:lang w:val="en-US" w:eastAsia="zh-CN" w:bidi="ar"/>
        </w:rPr>
        <w:t>（1）CPU: 8核 12线程,最高睿频4.4GHz；</w:t>
      </w:r>
    </w:p>
    <w:p w14:paraId="62B74A07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200"/>
        <w:jc w:val="both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u w:val="none"/>
          <w:lang w:val="en-US" w:eastAsia="zh-CN" w:bidi="ar"/>
        </w:rPr>
        <w:t xml:space="preserve">（2）内存：16G DDR4； </w:t>
      </w:r>
    </w:p>
    <w:p w14:paraId="4905642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200"/>
        <w:jc w:val="both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u w:val="none"/>
          <w:lang w:val="en-US" w:eastAsia="zh-CN" w:bidi="ar"/>
        </w:rPr>
        <w:t xml:space="preserve">（3）硬盘：512G SSD，支持M.2/mSATA多种存储方式 </w:t>
      </w:r>
    </w:p>
    <w:p w14:paraId="1E0B1803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200"/>
        <w:jc w:val="both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u w:val="none"/>
          <w:lang w:val="en-US" w:eastAsia="zh-CN" w:bidi="ar"/>
        </w:rPr>
        <w:t>（4）接口：4*USB 3.0,1组3.5mm音频输入、输出接口，4*USB 2.0,1*VGA,1*HDMI,1*COM（串口，1*千兆网口）</w:t>
      </w:r>
    </w:p>
    <w:p w14:paraId="152647B9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200"/>
        <w:jc w:val="both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u w:val="none"/>
          <w:lang w:val="en-US" w:eastAsia="zh-CN" w:bidi="ar"/>
        </w:rPr>
        <w:t>（5）集显：集成显卡。</w:t>
      </w:r>
    </w:p>
    <w:p w14:paraId="18E4F6B0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200"/>
        <w:jc w:val="both"/>
        <w:rPr>
          <w:rFonts w:hint="eastAsia" w:ascii="宋体" w:hAnsi="宋体" w:eastAsia="宋体" w:cs="宋体"/>
          <w:b w:val="0"/>
          <w:bCs w:val="0"/>
          <w:i w:val="0"/>
          <w:iCs w:val="0"/>
          <w:color w:val="auto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olor w:val="auto"/>
          <w:kern w:val="0"/>
          <w:sz w:val="24"/>
          <w:szCs w:val="24"/>
          <w:u w:val="none"/>
          <w:lang w:val="en-US" w:eastAsia="zh-CN" w:bidi="ar"/>
        </w:rPr>
        <w:t>（6）配套键盘、鼠标</w:t>
      </w:r>
    </w:p>
    <w:p w14:paraId="00A04FE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200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olor w:val="auto"/>
          <w:kern w:val="0"/>
          <w:sz w:val="24"/>
          <w:szCs w:val="24"/>
          <w:u w:val="none"/>
          <w:lang w:val="en-US" w:eastAsia="zh-CN" w:bidi="ar"/>
        </w:rPr>
        <w:t>2.2显示器：</w:t>
      </w:r>
    </w:p>
    <w:p w14:paraId="2772BD2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（1）屏幕尺寸（对角）：23.8吋</w:t>
      </w:r>
    </w:p>
    <w:p w14:paraId="65B401B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u w:val="none"/>
          <w:lang w:val="en-US" w:eastAsia="zh-CN" w:bidi="ar"/>
        </w:rPr>
        <w:t>（2）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屏幕比例：16:9</w:t>
      </w:r>
    </w:p>
    <w:p w14:paraId="582E36D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4"/>
          <w:szCs w:val="24"/>
          <w:u w:val="none"/>
          <w:lang w:val="en-US" w:eastAsia="zh-CN" w:bidi="ar"/>
        </w:rPr>
        <w:t>（3）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面板类型：IPS硬屏技术</w:t>
      </w:r>
    </w:p>
    <w:p w14:paraId="6D5C9DB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（4）亮度（典型值）：250cd/m²</w:t>
      </w:r>
    </w:p>
    <w:p w14:paraId="26E355E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（5）对比度（典型值）：1000:1(静态)</w:t>
      </w:r>
    </w:p>
    <w:p w14:paraId="16C6E56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（6）响应时间（典型值）：7ms GTG(bw)</w:t>
      </w:r>
    </w:p>
    <w:p w14:paraId="0044F4D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（7）扫描频率:垂直：50Hz~76 Hz 水平：30kHz~83kHz</w:t>
      </w:r>
    </w:p>
    <w:p w14:paraId="3EE04D2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（8）最大分辨率 ：1920x1080@75Hz (HDMI)</w:t>
      </w:r>
    </w:p>
    <w:p w14:paraId="7A1CBEE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（9）推荐分辨率（典型值）：1920x1080@60Hz</w:t>
      </w:r>
    </w:p>
    <w:p w14:paraId="7AE4BA4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（10）显示颜色：16.7M</w:t>
      </w:r>
    </w:p>
    <w:p w14:paraId="3445C3A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（11）HDCP功能：支持</w:t>
      </w:r>
    </w:p>
    <w:p w14:paraId="7EA2E15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（12）信号输入：模拟 D-Sub，数字 HDMI</w:t>
      </w:r>
    </w:p>
    <w:p w14:paraId="7F32ECB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 xml:space="preserve">（13）接口：1*VGA+1*HDMI </w:t>
      </w:r>
    </w:p>
    <w:p w14:paraId="52CB86D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center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（14）正版操作系统</w:t>
      </w:r>
    </w:p>
    <w:p w14:paraId="56F5D94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2" w:firstLineChars="200"/>
        <w:jc w:val="both"/>
        <w:textAlignment w:val="center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注1：投标人所投“台式计算机”须完全满足财政部 工业和信息化部颁发的《台式计算机政府采购需求标准（2023年版）》中标“*”号指标（除CPU、操作系统符合安全可靠测评要求外）的要求，若上述参数标准低于需求标准中的要求，按需求标准文件中的标准执行。</w:t>
      </w:r>
    </w:p>
    <w:p w14:paraId="5B32151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2" w:firstLineChars="200"/>
        <w:jc w:val="both"/>
        <w:textAlignment w:val="center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注2：台式计算机和显示器须提供国家确定的认证机构出具的、处于有效期之内的节能产品认证证书扫描件加盖投标人公章。并在开标一览明细表中列出所投“台式计算机”和“显示器”品牌及型号，否则作无效响应处理。</w:t>
      </w:r>
    </w:p>
    <w:p w14:paraId="4FD8370F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/>
          <w:bCs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highlight w:val="none"/>
          <w:u w:val="none"/>
          <w:lang w:val="en-US" w:eastAsia="zh-CN" w:bidi="ar-SA"/>
        </w:rPr>
        <w:t>2.3</w:t>
      </w: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u w:val="none"/>
          <w:lang w:val="en-US" w:eastAsia="zh-CN"/>
        </w:rPr>
        <w:t>还原保护系统</w:t>
      </w:r>
    </w:p>
    <w:p w14:paraId="5A4673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1.支持桌面操作系统或其它国产正版操作系统立即还原，实现系统的差异拷贝、创建频道、虚拟系统、还原点功能；</w:t>
      </w:r>
    </w:p>
    <w:p w14:paraId="6239782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2.可新增分区或删除指定的分区，可设置系统不同分区的类型，支持自定义分区名称、分区容量、文件系统以及还原方式；</w:t>
      </w:r>
    </w:p>
    <w:p w14:paraId="259E0AD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3.支持为不同分区设置不同的还原方式，还原方式涵盖随系统、每次还原、每天还原、每周还原、每月还原、手动还原及完全开放；</w:t>
      </w:r>
    </w:p>
    <w:p w14:paraId="24E771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4.分区类型支持设置为立即还原型启动分区、备份还原型启动分区、专属分区、共享分区及其他分区；</w:t>
      </w:r>
    </w:p>
    <w:p w14:paraId="55F4F6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5.底层差异拷贝时将展示终端连线号、群组、计算机名、IP地址、MAC地址、硬盘大小、卡状态、卡号及排列方式；</w:t>
      </w:r>
    </w:p>
    <w:p w14:paraId="654E1B1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6.若终端因故障在底层差异拷贝时无法与发送端连接，可右击对应终端连接号并将其设定为占位机，该终端连线号图标变更为占位状态，已连线终端将自动查找并连接未连线的连线号，也可自定义指定终端的连线号；</w:t>
      </w:r>
    </w:p>
    <w:p w14:paraId="06636AF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7.支持断点续传，若终端在差异拷贝时意外断线，重新进行操作后发送端将自动智能识别断线终端的数据状态，仅发送终端断线后未接收的数据，无需将完整数据重新发送；</w:t>
      </w:r>
    </w:p>
    <w:p w14:paraId="6D40CE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8.支持自定义设置终端计算机名，可设置终端的IPv4及IPv6地址、网络连线群组，支持终端多网卡IP设置；</w:t>
      </w:r>
    </w:p>
    <w:p w14:paraId="64F0E1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9.不便进行网络拷贝的情况下，可制作与样机数据一致的硬盘并挂载至同配置终端上直接使用，复制过程可查看复制总容量、当前已复制容量、当前复制进度百分比及复制进度条；</w:t>
      </w:r>
    </w:p>
    <w:p w14:paraId="2BB16A3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10.分配用户权限，用户在现有安装好的操作系统下面创建属于自己的专用虚拟系统，所安装的软件和保存的数据仅自己可以使用，其他用户无法查看、修改或删除；</w:t>
      </w:r>
    </w:p>
    <w:p w14:paraId="6C9294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11.支持设置客户端的黑名单进程、白名单进程、程序限制生效时间，黑名单及白名单的进程类别可通过手动添加、游戏进程、应用进程、系统自带和客户端获取，强行运行黑名单或非白名单内的进程时弹出禁止执行提示信息；</w:t>
      </w:r>
    </w:p>
    <w:p w14:paraId="5D34221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12.支持设置客户端的网络访问权限、白名单网址、白名单IP地址、白名单端口、网络限制生效时间，限制范围可设置面向外网或内网与外网的全部网络，限制解除后，网页管理端对应限制记录字段清空显示；</w:t>
      </w:r>
    </w:p>
    <w:p w14:paraId="5F0581CB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13.提供大数据预览平台功能，管理员通过全方位可视化动态实时数据预览，实时查看服务器资源使用情况、CPU使用率、内存大小、硬盘大小、存储教室数量、终端数量、终端状态（在线/离线/上线率）、模板数量、管理员数量、服务器数量、作业空间用户数量等信息，实时感知每个云教室的运行状况，如遇终端异常，可远程控制终端解决异常情况，确保云机房运维保证体系有序进行；</w:t>
      </w: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u w:val="none"/>
          <w:lang w:val="en-US" w:eastAsia="zh-CN"/>
        </w:rPr>
        <w:t>（须提供此功能操作界面截图并加盖供应商公章进行佐证，否则作无效响应处理。）</w:t>
      </w:r>
    </w:p>
    <w:p w14:paraId="35A7729D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14.支持模板热编辑及智能分发机制，可快速将模板通过P2P、广播、组播、单播等多种方式一次性下发到指定教室或所有教室的终端，P2P下发时可对终端进行ID排序、电源管理、参数同步、移动分组等设置，同时可根据实际情况，预设最大下载速度、传输完成后终端重启、关机、保持在线的状态，以及下载缓存大小的设置等操作。</w:t>
      </w: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u w:val="none"/>
          <w:lang w:val="en-US" w:eastAsia="zh-CN"/>
        </w:rPr>
        <w:t>（须提供此功能操作界面截图并加盖供应商公章进行佐证，否则作无效响应处理。）</w:t>
      </w:r>
    </w:p>
    <w:p w14:paraId="3A7443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482" w:firstLineChars="200"/>
        <w:jc w:val="both"/>
        <w:textAlignment w:val="auto"/>
        <w:rPr>
          <w:rFonts w:hint="eastAsia" w:ascii="宋体" w:hAnsi="宋体" w:eastAsia="宋体" w:cs="宋体"/>
          <w:b/>
          <w:bCs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highlight w:val="none"/>
          <w:u w:val="none"/>
          <w:lang w:val="en-US" w:eastAsia="zh-CN" w:bidi="ar-SA"/>
        </w:rPr>
        <w:t>2.4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4"/>
          <w:szCs w:val="24"/>
          <w:highlight w:val="none"/>
          <w:u w:val="none"/>
          <w:lang w:val="en-US" w:eastAsia="zh-CN" w:bidi="ar"/>
        </w:rPr>
        <w:t>多媒体教学管理软件</w:t>
      </w:r>
    </w:p>
    <w:p w14:paraId="4065A011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1.支持IPV4、IPV6网络环境下安装和正常使用，支持windows 7 32位/64位，windows10 64位、windows11 64位操作系统或其它国产正版操作系统；</w:t>
      </w:r>
    </w:p>
    <w:p w14:paraId="6D538667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2.教师自带笔记本可通过mac绑定和ip绑定两种方式快速连接服务器和学生端，实现多媒体互动教学；</w:t>
      </w:r>
    </w:p>
    <w:p w14:paraId="57325506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3.支持班级管理，可将频道和班级进行绑定，用于不同的教室登录不同的频道进行上课；</w:t>
      </w:r>
    </w:p>
    <w:p w14:paraId="1F91E583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4.支持对学生视图自定义命令和排序，便于学生未点名时，通过座位信息快速找到学生；</w:t>
      </w:r>
    </w:p>
    <w:p w14:paraId="4016B09F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5.支持屏幕广播功能，能够实现两种接收模式，包括学生全屏/窗口模式接收教师机广播的画面，全屏状态锁定学生鼠标和键盘；</w:t>
      </w:r>
    </w:p>
    <w:p w14:paraId="5AEAC7AB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6.屏幕广播状态下，教师可开启实时语音，学生端可以通过耳机接听教师语音，同时支持屏幕笔功能，教师可通过屏幕笔将屏幕当做画板进行绘制，便于教学互动；</w:t>
      </w:r>
    </w:p>
    <w:p w14:paraId="21307F29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7.支持影音广播，即使在终端未进入桌面的状态，也能够实现全体学生的影音广播，影音广播下支持视频的切换、暂停，并支持点击进度条任意地方以改变视频播放进度；</w:t>
      </w:r>
    </w:p>
    <w:p w14:paraId="4ABE0E71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8.在屏幕广播之后连接上来的终端可直接接收屏幕广播内容，用户终端关闭虚拟桌面仍可同步广播教师机屏幕和视频，不会中断教学；</w:t>
      </w:r>
    </w:p>
    <w:p w14:paraId="4AB52B24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9.支持学生端智慧对拷功能，可将增量数据或全部数据同步到所有学生端，对拷前可根据数据量大小预设广播、组播、单播等对拷数据发送方式，根据网络状况预设全速、高速、快速、流畅等延时时间以及是否启用断点续传功能，对拷过程中可实时查看当前对拷速度、对拷分区类型、分区大小、总剩余数据量、已用时间、剩余时间和所有参与对拷终端的详情。</w:t>
      </w: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u w:val="none"/>
          <w:lang w:val="en-US" w:eastAsia="zh-CN"/>
        </w:rPr>
        <w:t>（须提供此功能操作界面截图并加盖供应商公章进行佐证，否则作无效响应处理。）</w:t>
      </w:r>
    </w:p>
    <w:p w14:paraId="29E4FA95">
      <w:pPr>
        <w:keepNext w:val="0"/>
        <w:keepLines w:val="0"/>
        <w:pageBreakBefore w:val="0"/>
        <w:numPr>
          <w:ilvl w:val="0"/>
          <w:numId w:val="0"/>
        </w:numPr>
        <w:wordWrap/>
        <w:overflowPunct/>
        <w:topLinePunct w:val="0"/>
        <w:bidi w:val="0"/>
        <w:spacing w:line="440" w:lineRule="exact"/>
        <w:ind w:firstLine="480" w:firstLineChars="200"/>
        <w:jc w:val="both"/>
        <w:rPr>
          <w:rFonts w:hint="eastAsia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lang w:val="en-US" w:eastAsia="zh-CN"/>
        </w:rPr>
        <w:t>10.支持学生端组策略管理，当网络中断后学生终端与教师端失去连线，学生端依然可以独立设置任务管理器、控制面板、注册表、电源图标、访问设备管理器、访问磁盘管理、网络图标、音量图标等项目的使用策略。</w:t>
      </w: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u w:val="none"/>
          <w:lang w:val="en-US" w:eastAsia="zh-CN"/>
        </w:rPr>
        <w:t>（须提供此功能操作界面截图并加盖供应商公章进行佐证，否则作无效响应处理。）</w:t>
      </w:r>
    </w:p>
    <w:p w14:paraId="5C2953AA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注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1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：所有操作系统及还原软件、多媒体软件须向采购人提供终身使用权。（需提供包含以上内容的承诺函加盖供应商公章，否则作无效响应处理。）</w:t>
      </w:r>
    </w:p>
    <w:p w14:paraId="01B54E2D">
      <w:pPr>
        <w:keepNext w:val="0"/>
        <w:keepLines w:val="0"/>
        <w:pageBreakBefore w:val="0"/>
        <w:wordWrap/>
        <w:overflowPunct/>
        <w:topLinePunct w:val="0"/>
        <w:bidi w:val="0"/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注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：以上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技术要求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均须满足或优于，否则视为无效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响应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。</w:t>
      </w:r>
    </w:p>
    <w:p w14:paraId="68B75560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jc w:val="both"/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</w:pPr>
    </w:p>
    <w:p w14:paraId="150FD43A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jc w:val="both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（二）</w:t>
      </w:r>
      <w:r>
        <w:rPr>
          <w:rFonts w:ascii="宋体" w:hAnsi="宋体" w:eastAsia="宋体" w:cs="宋体"/>
          <w:b/>
          <w:bCs/>
          <w:color w:val="auto"/>
          <w:spacing w:val="32"/>
          <w:sz w:val="24"/>
          <w:szCs w:val="24"/>
          <w:highlight w:val="none"/>
          <w:lang w:eastAsia="zh-CN"/>
        </w:rPr>
        <w:t xml:space="preserve"> </w:t>
      </w:r>
      <w:r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商务条件</w:t>
      </w:r>
    </w:p>
    <w:p w14:paraId="04695104">
      <w:pPr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</w:pPr>
      <w:bookmarkStart w:id="1" w:name="bookmark82"/>
      <w:bookmarkEnd w:id="1"/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1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、交货期：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  <w:t>合同签订后30日内完成全部货物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val="en-US" w:eastAsia="zh-CN"/>
        </w:rPr>
        <w:t>及软件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  <w:t>的供货、安装、调试和培训工作，符合国家标准、行业规范和合同等相关文件的要求。</w:t>
      </w:r>
    </w:p>
    <w:p w14:paraId="4BD85419">
      <w:pPr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、交货地点：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</w:rPr>
        <w:t>景德镇陶瓷大学（新厂校区）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  <w:lang w:eastAsia="zh-CN"/>
        </w:rPr>
        <w:t>经济管理与法学院</w:t>
      </w:r>
    </w:p>
    <w:p w14:paraId="2A805955">
      <w:pPr>
        <w:spacing w:line="460" w:lineRule="exact"/>
        <w:ind w:firstLine="482" w:firstLineChars="200"/>
        <w:jc w:val="both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3、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付款方式：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</w:rPr>
        <w:t>本项目履约保证金为合同总额的：5%，合同签订的同时，中标人向采购人以非现金方式缴纳合同金额的5%作为履约保证金，非现金方式包括支票、汇票、本票、网上银行支付（汇入采购人指定账户）或者金融机构、担保机构出具的保函、保险等，采购人验收合格后，成交供应商出具全额正规发票后，采购人于10个工作日之内一次性支付全额货款；履约保证金应在投标人完成合同项和所有约定事项后无息退回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  <w:highlight w:val="none"/>
          <w:lang w:val="en-US" w:eastAsia="zh-CN"/>
        </w:rPr>
        <w:t>。</w:t>
      </w:r>
    </w:p>
    <w:p w14:paraId="7A972B60">
      <w:pPr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、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质保期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：</w:t>
      </w:r>
    </w:p>
    <w:p w14:paraId="4E758124">
      <w:pPr>
        <w:spacing w:line="440" w:lineRule="exact"/>
        <w:ind w:firstLine="480" w:firstLineChars="200"/>
        <w:jc w:val="both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val="en-US" w:eastAsia="zh-CN"/>
        </w:rPr>
        <w:t>自验收合格之日起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  <w:t>提供3年质保，软、硬件7*24小时365天技术、维修、升级、零配件更换服务。质保期满后，服务及零配件应以成本价提供。</w:t>
      </w:r>
    </w:p>
    <w:p w14:paraId="2BDF2DFF">
      <w:pPr>
        <w:spacing w:line="440" w:lineRule="exact"/>
        <w:ind w:firstLine="482" w:firstLineChars="200"/>
        <w:jc w:val="both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5、包装和运输要求：</w:t>
      </w:r>
    </w:p>
    <w:p w14:paraId="4387A781">
      <w:pPr>
        <w:spacing w:line="440" w:lineRule="exact"/>
        <w:ind w:firstLine="480" w:firstLineChars="200"/>
        <w:jc w:val="both"/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eastAsia="zh-CN"/>
        </w:rPr>
        <w:t>所有货物包装须完好，并运输至安装地点。</w:t>
      </w:r>
    </w:p>
    <w:p w14:paraId="7244F82F">
      <w:pPr>
        <w:numPr>
          <w:ilvl w:val="0"/>
          <w:numId w:val="0"/>
        </w:numPr>
        <w:spacing w:line="440" w:lineRule="exact"/>
        <w:ind w:leftChars="228"/>
        <w:jc w:val="both"/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6、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验收、交付方式及标准：</w:t>
      </w:r>
    </w:p>
    <w:p w14:paraId="6DB4972E">
      <w:pPr>
        <w:spacing w:line="440" w:lineRule="exact"/>
        <w:ind w:firstLine="480" w:firstLineChars="200"/>
        <w:jc w:val="both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val="en-US" w:eastAsia="zh-CN"/>
        </w:rPr>
        <w:t>货物安装完成正常运行30天后，由成交供应商提出验收申请，项目单位同意后，按照学校验收的权限，相关部门及人员形成验收小组，验收小组根据采购文件、响应文件、合同等项目文件约定内容对项目进行综合运行验收。如验收达不到规定要求，采购人有权要求更换货物或拒绝付款，成交供应商若违约，采购人将依法追究相应法律责任</w:t>
      </w:r>
    </w:p>
    <w:p w14:paraId="2FA7CF83">
      <w:pPr>
        <w:spacing w:line="440" w:lineRule="exact"/>
        <w:ind w:firstLine="482" w:firstLineChars="200"/>
        <w:rPr>
          <w:rFonts w:hint="eastAsia" w:ascii="新宋体" w:hAnsi="新宋体" w:eastAsia="新宋体" w:cs="新宋体"/>
          <w:b/>
          <w:color w:val="auto"/>
          <w:sz w:val="24"/>
          <w:szCs w:val="24"/>
          <w:highlight w:val="none"/>
        </w:rPr>
      </w:pPr>
      <w:r>
        <w:rPr>
          <w:rFonts w:hint="eastAsia" w:ascii="新宋体" w:hAnsi="新宋体" w:eastAsia="新宋体" w:cs="新宋体"/>
          <w:b/>
          <w:color w:val="auto"/>
          <w:sz w:val="24"/>
          <w:szCs w:val="24"/>
          <w:highlight w:val="none"/>
        </w:rPr>
        <w:t>注：以上商务条件均须满足或优于，否则视为无效</w:t>
      </w:r>
      <w:r>
        <w:rPr>
          <w:rFonts w:hint="eastAsia" w:ascii="新宋体" w:hAnsi="新宋体" w:eastAsia="新宋体" w:cs="新宋体"/>
          <w:b/>
          <w:color w:val="auto"/>
          <w:sz w:val="24"/>
          <w:szCs w:val="24"/>
          <w:highlight w:val="none"/>
          <w:lang w:val="en-US" w:eastAsia="zh-CN"/>
        </w:rPr>
        <w:t>响应</w:t>
      </w:r>
      <w:r>
        <w:rPr>
          <w:rFonts w:hint="eastAsia" w:ascii="新宋体" w:hAnsi="新宋体" w:eastAsia="新宋体" w:cs="新宋体"/>
          <w:b/>
          <w:color w:val="auto"/>
          <w:sz w:val="24"/>
          <w:szCs w:val="24"/>
          <w:highlight w:val="none"/>
        </w:rPr>
        <w:t>。</w:t>
      </w:r>
    </w:p>
    <w:p w14:paraId="7426FF44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63B3A6">
    <w:pPr>
      <w:pStyle w:val="2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E5FD6FC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E5FD6FC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833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2026-05-12T07:18:33Z</dcterms:created>
  <dc:creator>Administrator</dc:creator>
  <cp:lastModifiedBy>江招公司</cp:lastModifiedBy>
  <dcterms:modified xsi:type="dcterms:W3CDTF">2026-05-12T07:18:56Z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eyJoZGlkIjoiMzU5Y2E0MmE3NjMyYTdlMzcxMmY4YjkzNjMwNDQ4NjciLCJ1c2VySWQiOiI0NDI3OTgwNjUifQ==</vt:lpwstr>
  </property>
  <property fmtid="{D5CDD505-2E9C-101B-9397-08002B2CF9AE}" pid="4" name="ICV">
    <vt:lpwstr>FB3983A76DAD4324B28F8C8A53899347_12</vt:lpwstr>
  </property>
</Properties>
</file>