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661E46">
      <w:pPr>
        <w:pageBreakBefore w:val="0"/>
        <w:widowControl w:val="0"/>
        <w:kinsoku/>
        <w:overflowPunct/>
        <w:topLinePunct w:val="0"/>
        <w:bidi w:val="0"/>
        <w:spacing w:before="63" w:line="224" w:lineRule="auto"/>
        <w:jc w:val="center"/>
        <w:outlineLvl w:val="0"/>
        <w:rPr>
          <w:rFonts w:hint="eastAsia" w:ascii="宋体" w:hAnsi="宋体" w:eastAsia="宋体" w:cs="宋体"/>
          <w:color w:val="auto"/>
          <w:sz w:val="31"/>
          <w:szCs w:val="31"/>
          <w:highlight w:val="none"/>
          <w:lang w:eastAsia="zh-CN"/>
        </w:rPr>
      </w:pPr>
      <w:bookmarkStart w:id="0" w:name="_Toc15490"/>
      <w:r>
        <w:rPr>
          <w:rFonts w:hint="eastAsia" w:ascii="宋体" w:hAnsi="宋体" w:eastAsia="宋体" w:cs="宋体"/>
          <w:color w:val="auto"/>
          <w:sz w:val="31"/>
          <w:szCs w:val="31"/>
          <w:highlight w:val="none"/>
          <w:lang w:eastAsia="zh-CN"/>
        </w:rPr>
        <w:t>第五章  采购需求</w:t>
      </w:r>
      <w:bookmarkEnd w:id="0"/>
    </w:p>
    <w:p w14:paraId="4317D4FC">
      <w:pPr>
        <w:pageBreakBefore w:val="0"/>
        <w:widowControl w:val="0"/>
        <w:kinsoku/>
        <w:overflowPunct/>
        <w:topLinePunct w:val="0"/>
        <w:bidi w:val="0"/>
        <w:spacing w:line="309" w:lineRule="auto"/>
        <w:rPr>
          <w:rFonts w:hint="eastAsia" w:ascii="宋体" w:hAnsi="宋体" w:eastAsia="宋体" w:cs="宋体"/>
          <w:color w:val="auto"/>
          <w:highlight w:val="none"/>
          <w:lang w:eastAsia="zh-CN"/>
        </w:rPr>
      </w:pPr>
    </w:p>
    <w:p w14:paraId="354E87A5">
      <w:pPr>
        <w:pageBreakBefore w:val="0"/>
        <w:widowControl w:val="0"/>
        <w:kinsoku/>
        <w:overflowPunct/>
        <w:topLinePunct w:val="0"/>
        <w:bidi w:val="0"/>
        <w:spacing w:line="309" w:lineRule="auto"/>
        <w:rPr>
          <w:rFonts w:hint="eastAsia" w:ascii="宋体" w:hAnsi="宋体" w:eastAsia="宋体" w:cs="宋体"/>
          <w:color w:val="auto"/>
          <w:highlight w:val="none"/>
          <w:lang w:eastAsia="zh-CN"/>
        </w:rPr>
      </w:pPr>
    </w:p>
    <w:p w14:paraId="27C1B4ED">
      <w:pPr>
        <w:pageBreakBefore w:val="0"/>
        <w:widowControl w:val="0"/>
        <w:kinsoku/>
        <w:overflowPunct/>
        <w:topLinePunct w:val="0"/>
        <w:bidi w:val="0"/>
        <w:spacing w:before="78" w:line="220" w:lineRule="auto"/>
        <w:jc w:val="center"/>
        <w:outlineLvl w:val="1"/>
        <w:rPr>
          <w:rFonts w:hint="eastAsia" w:ascii="宋体" w:hAnsi="宋体" w:eastAsia="宋体" w:cs="宋体"/>
          <w:color w:val="auto"/>
          <w:sz w:val="28"/>
          <w:szCs w:val="28"/>
          <w:highlight w:val="none"/>
          <w:lang w:eastAsia="zh-CN"/>
        </w:rPr>
      </w:pPr>
      <w:bookmarkStart w:id="1" w:name="_Toc24140"/>
      <w:r>
        <w:rPr>
          <w:rFonts w:hint="eastAsia" w:ascii="宋体" w:hAnsi="宋体" w:eastAsia="宋体" w:cs="宋体"/>
          <w:color w:val="auto"/>
          <w:sz w:val="28"/>
          <w:szCs w:val="28"/>
          <w:highlight w:val="none"/>
          <w:lang w:eastAsia="zh-CN"/>
        </w:rPr>
        <w:t>一、采购需求表</w:t>
      </w:r>
      <w:bookmarkEnd w:id="1"/>
    </w:p>
    <w:p w14:paraId="360E1DA8">
      <w:pPr>
        <w:pageBreakBefore w:val="0"/>
        <w:widowControl w:val="0"/>
        <w:kinsoku/>
        <w:overflowPunct/>
        <w:topLinePunct w:val="0"/>
        <w:bidi w:val="0"/>
        <w:spacing w:before="64"/>
        <w:rPr>
          <w:rFonts w:hint="eastAsia" w:ascii="宋体" w:hAnsi="宋体" w:eastAsia="宋体" w:cs="宋体"/>
          <w:color w:val="auto"/>
          <w:highlight w:val="none"/>
          <w:lang w:eastAsia="zh-CN"/>
        </w:rPr>
      </w:pPr>
    </w:p>
    <w:tbl>
      <w:tblPr>
        <w:tblStyle w:val="7"/>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865"/>
        <w:gridCol w:w="6150"/>
      </w:tblGrid>
      <w:tr w14:paraId="27E77A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865" w:type="dxa"/>
          </w:tcPr>
          <w:p w14:paraId="4C22A8EC">
            <w:pPr>
              <w:pageBreakBefore w:val="0"/>
              <w:widowControl w:val="0"/>
              <w:kinsoku/>
              <w:overflowPunct/>
              <w:topLinePunct w:val="0"/>
              <w:bidi w:val="0"/>
              <w:spacing w:before="183" w:line="223" w:lineRule="auto"/>
              <w:ind w:left="1091"/>
              <w:rPr>
                <w:rFonts w:hint="eastAsia" w:ascii="宋体" w:hAnsi="宋体" w:eastAsia="宋体" w:cs="宋体"/>
                <w:color w:val="auto"/>
                <w:highlight w:val="none"/>
                <w:lang w:eastAsia="zh-CN"/>
              </w:rPr>
            </w:pPr>
            <w:r>
              <w:rPr>
                <w:rFonts w:hint="eastAsia" w:ascii="宋体" w:hAnsi="宋体" w:eastAsia="宋体" w:cs="宋体"/>
                <w:color w:val="auto"/>
                <w:highlight w:val="none"/>
                <w:lang w:eastAsia="zh-CN"/>
              </w:rPr>
              <w:drawing>
                <wp:anchor distT="0" distB="0" distL="0" distR="0" simplePos="0" relativeHeight="251660288" behindDoc="1" locked="0" layoutInCell="1" allowOverlap="1">
                  <wp:simplePos x="0" y="0"/>
                  <wp:positionH relativeFrom="column">
                    <wp:posOffset>6985</wp:posOffset>
                  </wp:positionH>
                  <wp:positionV relativeFrom="paragraph">
                    <wp:posOffset>0</wp:posOffset>
                  </wp:positionV>
                  <wp:extent cx="1823720" cy="1464945"/>
                  <wp:effectExtent l="0" t="0" r="5080" b="1905"/>
                  <wp:wrapNone/>
                  <wp:docPr id="1" name="IM 6"/>
                  <wp:cNvGraphicFramePr/>
                  <a:graphic xmlns:a="http://schemas.openxmlformats.org/drawingml/2006/main">
                    <a:graphicData uri="http://schemas.openxmlformats.org/drawingml/2006/picture">
                      <pic:pic xmlns:pic="http://schemas.openxmlformats.org/drawingml/2006/picture">
                        <pic:nvPicPr>
                          <pic:cNvPr id="1" name="IM 6"/>
                          <pic:cNvPicPr/>
                        </pic:nvPicPr>
                        <pic:blipFill>
                          <a:blip r:embed="rId5" cstate="print"/>
                          <a:stretch>
                            <a:fillRect/>
                          </a:stretch>
                        </pic:blipFill>
                        <pic:spPr>
                          <a:xfrm>
                            <a:off x="0" y="0"/>
                            <a:ext cx="1823720" cy="1464945"/>
                          </a:xfrm>
                          <a:prstGeom prst="rect">
                            <a:avLst/>
                          </a:prstGeom>
                        </pic:spPr>
                      </pic:pic>
                    </a:graphicData>
                  </a:graphic>
                </wp:anchor>
              </w:drawing>
            </w:r>
            <w:r>
              <w:rPr>
                <w:rFonts w:hint="eastAsia" w:ascii="宋体" w:hAnsi="宋体" w:eastAsia="宋体" w:cs="宋体"/>
                <w:color w:val="auto"/>
                <w:sz w:val="24"/>
                <w:szCs w:val="24"/>
                <w:highlight w:val="none"/>
              </w:rPr>
              <w:t>名</w:t>
            </w:r>
            <w:r>
              <w:rPr>
                <w:rFonts w:hint="eastAsia" w:ascii="宋体" w:hAnsi="宋体" w:eastAsia="宋体" w:cs="宋体"/>
                <w:color w:val="auto"/>
                <w:sz w:val="24"/>
                <w:szCs w:val="24"/>
                <w:highlight w:val="none"/>
                <w:lang w:eastAsia="zh-CN"/>
              </w:rPr>
              <w:t>称</w:t>
            </w:r>
          </w:p>
          <w:p w14:paraId="1FB54E56">
            <w:pPr>
              <w:pageBreakBefore w:val="0"/>
              <w:widowControl w:val="0"/>
              <w:kinsoku/>
              <w:overflowPunct/>
              <w:topLinePunct w:val="0"/>
              <w:bidi w:val="0"/>
              <w:spacing w:before="78" w:line="219" w:lineRule="auto"/>
              <w:ind w:left="481"/>
              <w:rPr>
                <w:rFonts w:hint="eastAsia" w:ascii="宋体" w:hAnsi="宋体" w:eastAsia="宋体" w:cs="宋体"/>
                <w:color w:val="auto"/>
                <w:sz w:val="24"/>
                <w:szCs w:val="24"/>
                <w:highlight w:val="none"/>
              </w:rPr>
            </w:pPr>
          </w:p>
          <w:p w14:paraId="454B4755">
            <w:pPr>
              <w:pageBreakBefore w:val="0"/>
              <w:widowControl w:val="0"/>
              <w:kinsoku/>
              <w:overflowPunct/>
              <w:topLinePunct w:val="0"/>
              <w:bidi w:val="0"/>
              <w:spacing w:before="78" w:line="219" w:lineRule="auto"/>
              <w:ind w:left="481"/>
              <w:rPr>
                <w:rFonts w:hint="eastAsia" w:ascii="宋体" w:hAnsi="宋体" w:eastAsia="宋体" w:cs="宋体"/>
                <w:color w:val="auto"/>
                <w:sz w:val="24"/>
                <w:szCs w:val="24"/>
                <w:highlight w:val="none"/>
              </w:rPr>
            </w:pPr>
          </w:p>
          <w:p w14:paraId="183B5F99">
            <w:pPr>
              <w:pageBreakBefore w:val="0"/>
              <w:widowControl w:val="0"/>
              <w:kinsoku/>
              <w:overflowPunct/>
              <w:topLinePunct w:val="0"/>
              <w:bidi w:val="0"/>
              <w:spacing w:before="78" w:line="219" w:lineRule="auto"/>
              <w:ind w:left="48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内容</w:t>
            </w:r>
          </w:p>
        </w:tc>
        <w:tc>
          <w:tcPr>
            <w:tcW w:w="6150" w:type="dxa"/>
            <w:vAlign w:val="center"/>
          </w:tcPr>
          <w:p w14:paraId="69AD96DC">
            <w:pPr>
              <w:pStyle w:val="8"/>
              <w:pageBreakBefore w:val="0"/>
              <w:widowControl w:val="0"/>
              <w:kinsoku/>
              <w:overflowPunct/>
              <w:topLinePunct w:val="0"/>
              <w:bidi w:val="0"/>
              <w:jc w:val="center"/>
              <w:rPr>
                <w:rFonts w:hint="eastAsia" w:ascii="宋体" w:hAnsi="宋体" w:eastAsia="宋体" w:cs="宋体"/>
                <w:color w:val="auto"/>
                <w:highlight w:val="none"/>
                <w:lang w:eastAsia="zh-CN"/>
              </w:rPr>
            </w:pPr>
            <w:r>
              <w:rPr>
                <w:rFonts w:hint="eastAsia" w:ascii="宋体" w:hAnsi="宋体" w:eastAsia="宋体" w:cs="宋体"/>
                <w:color w:val="auto"/>
                <w:sz w:val="24"/>
                <w:highlight w:val="none"/>
                <w:lang w:eastAsia="zh-CN"/>
              </w:rPr>
              <w:t>萍乡市监管中心社会医疗服务采购项目</w:t>
            </w:r>
          </w:p>
        </w:tc>
      </w:tr>
      <w:tr w14:paraId="30F15E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vAlign w:val="center"/>
          </w:tcPr>
          <w:p w14:paraId="1A26D6BC">
            <w:pPr>
              <w:keepNext w:val="0"/>
              <w:keepLines w:val="0"/>
              <w:pageBreakBefore w:val="0"/>
              <w:widowControl w:val="0"/>
              <w:kinsoku/>
              <w:wordWrap/>
              <w:overflowPunct/>
              <w:topLinePunct w:val="0"/>
              <w:autoSpaceDE w:val="0"/>
              <w:autoSpaceDN w:val="0"/>
              <w:bidi w:val="0"/>
              <w:adjustRightInd w:val="0"/>
              <w:snapToGrid w:val="0"/>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数量</w:t>
            </w:r>
          </w:p>
        </w:tc>
        <w:tc>
          <w:tcPr>
            <w:tcW w:w="6150" w:type="dxa"/>
            <w:vAlign w:val="center"/>
          </w:tcPr>
          <w:p w14:paraId="35B98767">
            <w:pPr>
              <w:pStyle w:val="8"/>
              <w:keepNext w:val="0"/>
              <w:keepLines w:val="0"/>
              <w:pageBreakBefore w:val="0"/>
              <w:widowControl w:val="0"/>
              <w:kinsoku/>
              <w:wordWrap/>
              <w:overflowPunct/>
              <w:topLinePunct w:val="0"/>
              <w:autoSpaceDE w:val="0"/>
              <w:autoSpaceDN w:val="0"/>
              <w:bidi w:val="0"/>
              <w:adjustRightInd w:val="0"/>
              <w:snapToGrid w:val="0"/>
              <w:spacing w:line="240" w:lineRule="auto"/>
              <w:ind w:left="0"/>
              <w:jc w:val="center"/>
              <w:textAlignment w:val="auto"/>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val="en-US" w:eastAsia="zh-CN"/>
              </w:rPr>
              <w:t>三年</w:t>
            </w:r>
            <w:r>
              <w:rPr>
                <w:rFonts w:hint="eastAsia" w:ascii="宋体" w:hAnsi="宋体" w:eastAsia="宋体" w:cs="宋体"/>
                <w:color w:val="auto"/>
                <w:sz w:val="24"/>
                <w:highlight w:val="none"/>
                <w:lang w:eastAsia="zh-CN"/>
              </w:rPr>
              <w:t>。</w:t>
            </w:r>
          </w:p>
        </w:tc>
      </w:tr>
      <w:tr w14:paraId="4E26A7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3" w:hRule="atLeast"/>
        </w:trPr>
        <w:tc>
          <w:tcPr>
            <w:tcW w:w="2865" w:type="dxa"/>
            <w:vAlign w:val="center"/>
          </w:tcPr>
          <w:p w14:paraId="006620B1">
            <w:pPr>
              <w:keepNext w:val="0"/>
              <w:keepLines w:val="0"/>
              <w:pageBreakBefore w:val="0"/>
              <w:widowControl w:val="0"/>
              <w:kinsoku/>
              <w:wordWrap/>
              <w:overflowPunct/>
              <w:topLinePunct w:val="0"/>
              <w:autoSpaceDE w:val="0"/>
              <w:autoSpaceDN w:val="0"/>
              <w:bidi w:val="0"/>
              <w:adjustRightInd w:val="0"/>
              <w:snapToGrid w:val="0"/>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服务</w:t>
            </w:r>
            <w:r>
              <w:rPr>
                <w:rFonts w:hint="eastAsia" w:ascii="宋体" w:hAnsi="宋体" w:eastAsia="宋体" w:cs="宋体"/>
                <w:color w:val="auto"/>
                <w:sz w:val="24"/>
                <w:szCs w:val="24"/>
                <w:highlight w:val="none"/>
              </w:rPr>
              <w:t>期</w:t>
            </w:r>
          </w:p>
        </w:tc>
        <w:tc>
          <w:tcPr>
            <w:tcW w:w="6150" w:type="dxa"/>
            <w:vAlign w:val="center"/>
          </w:tcPr>
          <w:p w14:paraId="5D7E8771">
            <w:pPr>
              <w:pStyle w:val="8"/>
              <w:keepNext w:val="0"/>
              <w:keepLines w:val="0"/>
              <w:pageBreakBefore w:val="0"/>
              <w:widowControl w:val="0"/>
              <w:kinsoku/>
              <w:wordWrap/>
              <w:overflowPunct/>
              <w:topLinePunct w:val="0"/>
              <w:autoSpaceDE w:val="0"/>
              <w:autoSpaceDN w:val="0"/>
              <w:bidi w:val="0"/>
              <w:adjustRightInd w:val="0"/>
              <w:snapToGrid w:val="0"/>
              <w:spacing w:line="240" w:lineRule="auto"/>
              <w:ind w:left="0"/>
              <w:jc w:val="center"/>
              <w:textAlignment w:val="auto"/>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val="en-US" w:eastAsia="zh-CN"/>
              </w:rPr>
              <w:t>三年（1+1+1模式），合同一年一签，对合作医院考核合格后可续签，续签不超过三年。如考核不合格则不予续签，重新采购。</w:t>
            </w:r>
          </w:p>
        </w:tc>
      </w:tr>
      <w:tr w14:paraId="4053F1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vAlign w:val="center"/>
          </w:tcPr>
          <w:p w14:paraId="450CE185">
            <w:pPr>
              <w:keepNext w:val="0"/>
              <w:keepLines w:val="0"/>
              <w:pageBreakBefore w:val="0"/>
              <w:widowControl w:val="0"/>
              <w:kinsoku/>
              <w:wordWrap/>
              <w:overflowPunct/>
              <w:topLinePunct w:val="0"/>
              <w:autoSpaceDE w:val="0"/>
              <w:autoSpaceDN w:val="0"/>
              <w:bidi w:val="0"/>
              <w:adjustRightInd w:val="0"/>
              <w:snapToGrid w:val="0"/>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服务</w:t>
            </w:r>
            <w:r>
              <w:rPr>
                <w:rFonts w:hint="eastAsia" w:ascii="宋体" w:hAnsi="宋体" w:eastAsia="宋体" w:cs="宋体"/>
                <w:color w:val="auto"/>
                <w:sz w:val="24"/>
                <w:szCs w:val="24"/>
                <w:highlight w:val="none"/>
              </w:rPr>
              <w:t>地点</w:t>
            </w:r>
          </w:p>
        </w:tc>
        <w:tc>
          <w:tcPr>
            <w:tcW w:w="6150" w:type="dxa"/>
            <w:vAlign w:val="center"/>
          </w:tcPr>
          <w:p w14:paraId="3B599C7C">
            <w:pPr>
              <w:pStyle w:val="8"/>
              <w:keepNext w:val="0"/>
              <w:keepLines w:val="0"/>
              <w:pageBreakBefore w:val="0"/>
              <w:widowControl w:val="0"/>
              <w:kinsoku/>
              <w:wordWrap/>
              <w:overflowPunct/>
              <w:topLinePunct w:val="0"/>
              <w:autoSpaceDE w:val="0"/>
              <w:autoSpaceDN w:val="0"/>
              <w:bidi w:val="0"/>
              <w:adjustRightInd w:val="0"/>
              <w:snapToGrid w:val="0"/>
              <w:spacing w:line="240" w:lineRule="auto"/>
              <w:ind w:left="0"/>
              <w:jc w:val="center"/>
              <w:textAlignment w:val="auto"/>
              <w:rPr>
                <w:rFonts w:hint="eastAsia" w:ascii="宋体" w:hAnsi="宋体" w:eastAsia="宋体" w:cs="宋体"/>
                <w:color w:val="auto"/>
                <w:highlight w:val="none"/>
                <w:lang w:eastAsia="zh-CN"/>
              </w:rPr>
            </w:pPr>
            <w:r>
              <w:rPr>
                <w:color w:val="auto"/>
                <w:spacing w:val="0"/>
                <w:sz w:val="24"/>
                <w:szCs w:val="24"/>
                <w:highlight w:val="none"/>
              </w:rPr>
              <w:t>江西省萍乡市上栗县赤山镇幕冲村（</w:t>
            </w:r>
            <w:r>
              <w:rPr>
                <w:rFonts w:hint="eastAsia"/>
                <w:color w:val="auto"/>
                <w:spacing w:val="0"/>
                <w:sz w:val="24"/>
                <w:szCs w:val="24"/>
                <w:highlight w:val="none"/>
                <w:lang w:eastAsia="zh-CN"/>
              </w:rPr>
              <w:t>萍乡市</w:t>
            </w:r>
            <w:r>
              <w:rPr>
                <w:color w:val="auto"/>
                <w:spacing w:val="0"/>
                <w:sz w:val="24"/>
                <w:szCs w:val="24"/>
                <w:highlight w:val="none"/>
              </w:rPr>
              <w:t>监管</w:t>
            </w:r>
            <w:r>
              <w:rPr>
                <w:rFonts w:hint="eastAsia"/>
                <w:color w:val="auto"/>
                <w:spacing w:val="0"/>
                <w:sz w:val="24"/>
                <w:szCs w:val="24"/>
                <w:highlight w:val="none"/>
                <w:lang w:val="en-US" w:eastAsia="zh-CN"/>
              </w:rPr>
              <w:t>中心</w:t>
            </w:r>
            <w:r>
              <w:rPr>
                <w:color w:val="auto"/>
                <w:spacing w:val="0"/>
                <w:sz w:val="24"/>
                <w:szCs w:val="24"/>
                <w:highlight w:val="none"/>
              </w:rPr>
              <w:t>）</w:t>
            </w:r>
          </w:p>
        </w:tc>
      </w:tr>
      <w:tr w14:paraId="7C3494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65" w:type="dxa"/>
            <w:vAlign w:val="center"/>
          </w:tcPr>
          <w:p w14:paraId="1C33D789">
            <w:pPr>
              <w:keepNext w:val="0"/>
              <w:keepLines w:val="0"/>
              <w:pageBreakBefore w:val="0"/>
              <w:widowControl w:val="0"/>
              <w:kinsoku/>
              <w:wordWrap/>
              <w:overflowPunct/>
              <w:topLinePunct w:val="0"/>
              <w:autoSpaceDE w:val="0"/>
              <w:autoSpaceDN w:val="0"/>
              <w:bidi w:val="0"/>
              <w:adjustRightInd w:val="0"/>
              <w:snapToGrid w:val="0"/>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备注</w:t>
            </w:r>
          </w:p>
        </w:tc>
        <w:tc>
          <w:tcPr>
            <w:tcW w:w="6150" w:type="dxa"/>
            <w:vAlign w:val="center"/>
          </w:tcPr>
          <w:p w14:paraId="54ED4875">
            <w:pPr>
              <w:pStyle w:val="8"/>
              <w:keepNext w:val="0"/>
              <w:keepLines w:val="0"/>
              <w:pageBreakBefore w:val="0"/>
              <w:widowControl w:val="0"/>
              <w:kinsoku/>
              <w:wordWrap/>
              <w:overflowPunct/>
              <w:topLinePunct w:val="0"/>
              <w:autoSpaceDE w:val="0"/>
              <w:autoSpaceDN w:val="0"/>
              <w:bidi w:val="0"/>
              <w:adjustRightInd w:val="0"/>
              <w:snapToGrid w:val="0"/>
              <w:spacing w:line="240" w:lineRule="auto"/>
              <w:ind w:left="0"/>
              <w:jc w:val="center"/>
              <w:textAlignment w:val="auto"/>
              <w:rPr>
                <w:rFonts w:hint="eastAsia" w:ascii="宋体" w:hAnsi="宋体" w:eastAsia="宋体" w:cs="宋体"/>
                <w:color w:val="auto"/>
                <w:highlight w:val="none"/>
              </w:rPr>
            </w:pPr>
          </w:p>
        </w:tc>
      </w:tr>
    </w:tbl>
    <w:p w14:paraId="1FA090D0">
      <w:pPr>
        <w:pageBreakBefore w:val="0"/>
        <w:widowControl w:val="0"/>
        <w:kinsoku/>
        <w:overflowPunct/>
        <w:topLinePunct w:val="0"/>
        <w:bidi w:val="0"/>
        <w:rPr>
          <w:rFonts w:hint="eastAsia" w:ascii="宋体" w:hAnsi="宋体" w:eastAsia="宋体" w:cs="宋体"/>
          <w:color w:val="auto"/>
          <w:highlight w:val="none"/>
        </w:rPr>
      </w:pPr>
    </w:p>
    <w:p w14:paraId="0263D9FE">
      <w:pPr>
        <w:pageBreakBefore w:val="0"/>
        <w:widowControl w:val="0"/>
        <w:kinsoku/>
        <w:overflowPunct/>
        <w:topLinePunct w:val="0"/>
        <w:bidi w:val="0"/>
        <w:rPr>
          <w:rFonts w:hint="eastAsia" w:ascii="宋体" w:hAnsi="宋体" w:eastAsia="宋体" w:cs="宋体"/>
          <w:color w:val="auto"/>
          <w:highlight w:val="none"/>
        </w:rPr>
        <w:sectPr>
          <w:footerReference r:id="rId3" w:type="default"/>
          <w:pgSz w:w="11906" w:h="16839"/>
          <w:pgMar w:top="1232" w:right="1786" w:bottom="1156" w:left="1786" w:header="1134" w:footer="1134" w:gutter="0"/>
          <w:cols w:space="720" w:num="1"/>
        </w:sectPr>
      </w:pPr>
    </w:p>
    <w:p w14:paraId="64582220">
      <w:pPr>
        <w:pageBreakBefore w:val="0"/>
        <w:widowControl w:val="0"/>
        <w:kinsoku/>
        <w:overflowPunct/>
        <w:topLinePunct w:val="0"/>
        <w:bidi w:val="0"/>
        <w:spacing w:before="47" w:line="219" w:lineRule="auto"/>
        <w:ind w:left="3805"/>
        <w:outlineLvl w:val="1"/>
        <w:rPr>
          <w:rFonts w:hint="eastAsia" w:ascii="宋体" w:hAnsi="宋体" w:eastAsia="宋体" w:cs="宋体"/>
          <w:color w:val="auto"/>
          <w:sz w:val="28"/>
          <w:szCs w:val="28"/>
          <w:highlight w:val="none"/>
        </w:rPr>
      </w:pPr>
      <w:bookmarkStart w:id="2" w:name="bookmark81"/>
      <w:bookmarkEnd w:id="2"/>
      <w:bookmarkStart w:id="3" w:name="_Toc16206"/>
      <w:r>
        <w:rPr>
          <w:rFonts w:hint="eastAsia" w:ascii="宋体" w:hAnsi="宋体" w:eastAsia="宋体" w:cs="宋体"/>
          <w:color w:val="auto"/>
          <w:sz w:val="28"/>
          <w:szCs w:val="28"/>
          <w:highlight w:val="none"/>
        </w:rPr>
        <w:t>二、采购需求</w:t>
      </w:r>
      <w:bookmarkEnd w:id="3"/>
    </w:p>
    <w:p w14:paraId="3C3FEB0D">
      <w:pPr>
        <w:pageBreakBefore w:val="0"/>
        <w:widowControl w:val="0"/>
        <w:kinsoku/>
        <w:overflowPunct/>
        <w:topLinePunct w:val="0"/>
        <w:bidi w:val="0"/>
        <w:spacing w:before="78" w:line="219" w:lineRule="auto"/>
        <w:outlineLvl w:val="2"/>
        <w:rPr>
          <w:rFonts w:hint="eastAsia" w:ascii="宋体" w:hAnsi="宋体" w:eastAsia="宋体" w:cs="宋体"/>
          <w:b/>
          <w:bCs/>
          <w:color w:val="auto"/>
          <w:sz w:val="28"/>
          <w:szCs w:val="28"/>
          <w:highlight w:val="none"/>
        </w:rPr>
      </w:pPr>
      <w:bookmarkStart w:id="4" w:name="_Toc3212"/>
      <w:bookmarkEnd w:id="4"/>
      <w:bookmarkStart w:id="5" w:name="_Toc52"/>
      <w:bookmarkEnd w:id="5"/>
      <w:bookmarkStart w:id="6" w:name="_Toc22742"/>
      <w:r>
        <w:rPr>
          <w:rFonts w:hint="eastAsia" w:ascii="宋体" w:hAnsi="宋体" w:eastAsia="宋体" w:cs="宋体"/>
          <w:b/>
          <w:bCs/>
          <w:color w:val="auto"/>
          <w:sz w:val="28"/>
          <w:szCs w:val="28"/>
          <w:highlight w:val="none"/>
        </w:rPr>
        <w:t>（一）</w:t>
      </w:r>
      <w:r>
        <w:rPr>
          <w:rFonts w:hint="eastAsia" w:ascii="宋体" w:hAnsi="宋体" w:eastAsia="宋体" w:cs="宋体"/>
          <w:b/>
          <w:bCs/>
          <w:color w:val="auto"/>
          <w:sz w:val="28"/>
          <w:szCs w:val="28"/>
          <w:highlight w:val="none"/>
          <w:lang w:eastAsia="zh-CN"/>
        </w:rPr>
        <w:t>服务</w:t>
      </w:r>
      <w:r>
        <w:rPr>
          <w:rFonts w:hint="eastAsia" w:ascii="宋体" w:hAnsi="宋体" w:eastAsia="宋体" w:cs="宋体"/>
          <w:b/>
          <w:bCs/>
          <w:color w:val="auto"/>
          <w:sz w:val="28"/>
          <w:szCs w:val="28"/>
          <w:highlight w:val="none"/>
        </w:rPr>
        <w:t>需求</w:t>
      </w:r>
      <w:bookmarkEnd w:id="6"/>
    </w:p>
    <w:p w14:paraId="2EDAC7D3">
      <w:pPr>
        <w:pStyle w:val="2"/>
        <w:keepNext w:val="0"/>
        <w:keepLines w:val="0"/>
        <w:pageBreakBefore w:val="0"/>
        <w:kinsoku/>
        <w:wordWrap/>
        <w:overflowPunct/>
        <w:topLinePunct w:val="0"/>
        <w:bidi w:val="0"/>
        <w:adjustRightInd w:val="0"/>
        <w:spacing w:before="92" w:line="240" w:lineRule="auto"/>
        <w:ind w:left="15"/>
        <w:outlineLvl w:val="3"/>
        <w:rPr>
          <w:rFonts w:hint="default" w:ascii="宋体" w:hAnsi="宋体" w:eastAsia="宋体" w:cs="宋体"/>
          <w:b/>
          <w:bCs/>
          <w:color w:val="auto"/>
          <w:spacing w:val="-7"/>
          <w:sz w:val="28"/>
          <w:szCs w:val="28"/>
          <w:highlight w:val="none"/>
          <w:lang w:val="en-US" w:eastAsia="zh-CN"/>
        </w:rPr>
      </w:pPr>
      <w:bookmarkStart w:id="7" w:name="_Toc217446094"/>
      <w:bookmarkEnd w:id="7"/>
      <w:bookmarkStart w:id="8" w:name="_Toc14320"/>
      <w:bookmarkEnd w:id="8"/>
      <w:r>
        <w:rPr>
          <w:rFonts w:hint="eastAsia" w:ascii="宋体" w:hAnsi="宋体" w:eastAsia="宋体" w:cs="宋体"/>
          <w:b/>
          <w:bCs/>
          <w:color w:val="auto"/>
          <w:sz w:val="24"/>
          <w:szCs w:val="24"/>
          <w:highlight w:val="none"/>
        </w:rPr>
        <w:t>一）</w:t>
      </w:r>
      <w:r>
        <w:rPr>
          <w:rFonts w:hint="eastAsia" w:ascii="宋体" w:hAnsi="宋体" w:eastAsia="宋体" w:cs="宋体"/>
          <w:b/>
          <w:bCs/>
          <w:color w:val="auto"/>
          <w:spacing w:val="-7"/>
          <w:sz w:val="28"/>
          <w:szCs w:val="28"/>
          <w:highlight w:val="none"/>
          <w:lang w:val="en-US" w:eastAsia="zh-CN"/>
        </w:rPr>
        <w:t>项目概况</w:t>
      </w:r>
    </w:p>
    <w:p w14:paraId="1BD37B54">
      <w:pPr>
        <w:keepNext w:val="0"/>
        <w:keepLines w:val="0"/>
        <w:pageBreakBefore w:val="0"/>
        <w:widowControl w:val="0"/>
        <w:kinsoku/>
        <w:wordWrap/>
        <w:overflowPunct/>
        <w:topLinePunct w:val="0"/>
        <w:autoSpaceDE/>
        <w:autoSpaceDN/>
        <w:bidi w:val="0"/>
        <w:adjustRightInd w:val="0"/>
        <w:snapToGrid/>
        <w:spacing w:line="240" w:lineRule="auto"/>
        <w:ind w:firstLine="480" w:firstLineChars="200"/>
        <w:rPr>
          <w:rFonts w:hint="default" w:asciiTheme="minorEastAsia" w:hAnsiTheme="minorEastAsia" w:eastAsiaTheme="minorEastAsia" w:cstheme="minorEastAsia"/>
          <w:color w:val="auto"/>
          <w:sz w:val="24"/>
          <w:szCs w:val="24"/>
          <w:highlight w:val="none"/>
          <w:lang w:val="en-US" w:eastAsia="zh-CN"/>
        </w:rPr>
      </w:pPr>
      <w:bookmarkStart w:id="9" w:name="bookmark21"/>
      <w:bookmarkEnd w:id="9"/>
      <w:bookmarkStart w:id="10" w:name="bookmark22"/>
      <w:bookmarkEnd w:id="10"/>
      <w:bookmarkStart w:id="11" w:name="_Toc1331"/>
      <w:r>
        <w:rPr>
          <w:rFonts w:hint="eastAsia" w:asciiTheme="minorEastAsia" w:hAnsiTheme="minorEastAsia" w:eastAsiaTheme="minorEastAsia" w:cstheme="minorEastAsia"/>
          <w:color w:val="auto"/>
          <w:sz w:val="24"/>
          <w:szCs w:val="24"/>
          <w:highlight w:val="none"/>
          <w:lang w:val="en-US" w:eastAsia="zh-CN"/>
        </w:rPr>
        <w:t>1.项目名称：萍乡市监管中心社会医疗服务采购项目。</w:t>
      </w:r>
    </w:p>
    <w:p w14:paraId="4A4C2A86">
      <w:pPr>
        <w:keepNext w:val="0"/>
        <w:keepLines w:val="0"/>
        <w:pageBreakBefore w:val="0"/>
        <w:widowControl w:val="0"/>
        <w:kinsoku/>
        <w:wordWrap/>
        <w:overflowPunct/>
        <w:topLinePunct w:val="0"/>
        <w:autoSpaceDE/>
        <w:autoSpaceDN/>
        <w:bidi w:val="0"/>
        <w:adjustRightInd w:val="0"/>
        <w:snapToGrid/>
        <w:spacing w:line="240" w:lineRule="auto"/>
        <w:ind w:firstLine="480" w:firstLineChars="200"/>
        <w:rPr>
          <w:rFonts w:hint="eastAsia"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2.预算金额：</w:t>
      </w:r>
      <w:r>
        <w:rPr>
          <w:rFonts w:hint="eastAsia" w:asciiTheme="minorEastAsia" w:hAnsiTheme="minorEastAsia" w:eastAsiaTheme="minorEastAsia" w:cstheme="minorEastAsia"/>
          <w:color w:val="auto"/>
          <w:spacing w:val="0"/>
          <w:sz w:val="24"/>
          <w:szCs w:val="24"/>
          <w:highlight w:val="none"/>
          <w:lang w:val="en-US" w:eastAsia="zh-CN"/>
        </w:rPr>
        <w:t>本次预算金额为5411340.00元，服务期为三年，即服务费为1803780.00元/年。</w:t>
      </w:r>
    </w:p>
    <w:p w14:paraId="2DA3DFA6">
      <w:pPr>
        <w:keepNext w:val="0"/>
        <w:keepLines w:val="0"/>
        <w:pageBreakBefore w:val="0"/>
        <w:widowControl w:val="0"/>
        <w:kinsoku/>
        <w:wordWrap/>
        <w:overflowPunct/>
        <w:topLinePunct w:val="0"/>
        <w:autoSpaceDE/>
        <w:autoSpaceDN/>
        <w:bidi w:val="0"/>
        <w:adjustRightInd w:val="0"/>
        <w:snapToGrid/>
        <w:spacing w:line="24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3.</w:t>
      </w:r>
      <w:r>
        <w:rPr>
          <w:rFonts w:hint="eastAsia" w:asciiTheme="minorEastAsia" w:hAnsiTheme="minorEastAsia" w:eastAsiaTheme="minorEastAsia" w:cstheme="minorEastAsia"/>
          <w:color w:val="auto"/>
          <w:sz w:val="24"/>
          <w:szCs w:val="24"/>
          <w:highlight w:val="none"/>
          <w:lang w:eastAsia="zh-CN"/>
        </w:rPr>
        <w:t>萍乡市</w:t>
      </w:r>
      <w:r>
        <w:rPr>
          <w:rFonts w:hint="eastAsia" w:asciiTheme="minorEastAsia" w:hAnsiTheme="minorEastAsia" w:eastAsiaTheme="minorEastAsia" w:cstheme="minorEastAsia"/>
          <w:color w:val="auto"/>
          <w:sz w:val="24"/>
          <w:szCs w:val="24"/>
          <w:highlight w:val="none"/>
        </w:rPr>
        <w:t>公安监管</w:t>
      </w:r>
      <w:r>
        <w:rPr>
          <w:rFonts w:hint="eastAsia" w:asciiTheme="minorEastAsia" w:hAnsiTheme="minorEastAsia" w:eastAsiaTheme="minorEastAsia" w:cstheme="minorEastAsia"/>
          <w:color w:val="auto"/>
          <w:sz w:val="24"/>
          <w:szCs w:val="24"/>
          <w:highlight w:val="none"/>
          <w:lang w:val="en-US" w:eastAsia="zh-CN"/>
        </w:rPr>
        <w:t>中心</w:t>
      </w:r>
      <w:r>
        <w:rPr>
          <w:rFonts w:hint="eastAsia" w:asciiTheme="minorEastAsia" w:hAnsiTheme="minorEastAsia" w:eastAsiaTheme="minorEastAsia" w:cstheme="minorEastAsia"/>
          <w:color w:val="auto"/>
          <w:sz w:val="24"/>
          <w:szCs w:val="24"/>
          <w:highlight w:val="none"/>
        </w:rPr>
        <w:t>按照“</w:t>
      </w:r>
      <w:r>
        <w:rPr>
          <w:rFonts w:hint="eastAsia" w:asciiTheme="minorEastAsia" w:hAnsiTheme="minorEastAsia" w:eastAsiaTheme="minorEastAsia" w:cstheme="minorEastAsia"/>
          <w:color w:val="auto"/>
          <w:sz w:val="24"/>
          <w:szCs w:val="24"/>
          <w:highlight w:val="none"/>
          <w:lang w:val="en-US" w:eastAsia="zh-CN"/>
        </w:rPr>
        <w:t>公安</w:t>
      </w:r>
      <w:r>
        <w:rPr>
          <w:rFonts w:hint="eastAsia" w:asciiTheme="minorEastAsia" w:hAnsiTheme="minorEastAsia" w:eastAsiaTheme="minorEastAsia" w:cstheme="minorEastAsia"/>
          <w:color w:val="auto"/>
          <w:sz w:val="24"/>
          <w:szCs w:val="24"/>
          <w:highlight w:val="none"/>
        </w:rPr>
        <w:t>监管部门负责监管安全、</w:t>
      </w:r>
      <w:r>
        <w:rPr>
          <w:rFonts w:hint="eastAsia" w:asciiTheme="minorEastAsia" w:hAnsiTheme="minorEastAsia" w:eastAsiaTheme="minorEastAsia" w:cstheme="minorEastAsia"/>
          <w:color w:val="auto"/>
          <w:spacing w:val="0"/>
          <w:sz w:val="24"/>
          <w:szCs w:val="24"/>
          <w:highlight w:val="none"/>
          <w:lang w:val="en-US" w:eastAsia="zh-CN"/>
        </w:rPr>
        <w:t>中标单位</w:t>
      </w:r>
      <w:r>
        <w:rPr>
          <w:rFonts w:hint="eastAsia" w:asciiTheme="minorEastAsia" w:hAnsiTheme="minorEastAsia" w:eastAsiaTheme="minorEastAsia" w:cstheme="minorEastAsia"/>
          <w:color w:val="auto"/>
          <w:sz w:val="24"/>
          <w:szCs w:val="24"/>
          <w:highlight w:val="none"/>
        </w:rPr>
        <w:t>负责医疗卫生”的专业化运行模式进行管理。</w:t>
      </w:r>
    </w:p>
    <w:p w14:paraId="78D0785B">
      <w:pPr>
        <w:keepNext w:val="0"/>
        <w:keepLines w:val="0"/>
        <w:pageBreakBefore w:val="0"/>
        <w:widowControl w:val="0"/>
        <w:kinsoku/>
        <w:wordWrap/>
        <w:overflowPunct/>
        <w:topLinePunct w:val="0"/>
        <w:autoSpaceDE/>
        <w:autoSpaceDN/>
        <w:bidi w:val="0"/>
        <w:adjustRightInd w:val="0"/>
        <w:snapToGrid/>
        <w:spacing w:line="24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4.</w:t>
      </w:r>
      <w:r>
        <w:rPr>
          <w:rFonts w:hint="eastAsia" w:asciiTheme="minorEastAsia" w:hAnsiTheme="minorEastAsia" w:eastAsiaTheme="minorEastAsia" w:cstheme="minorEastAsia"/>
          <w:color w:val="auto"/>
          <w:sz w:val="24"/>
          <w:szCs w:val="24"/>
          <w:highlight w:val="none"/>
        </w:rPr>
        <w:t>基本合作模式：</w:t>
      </w:r>
      <w:r>
        <w:rPr>
          <w:rFonts w:hint="eastAsia" w:asciiTheme="minorEastAsia" w:hAnsiTheme="minorEastAsia" w:eastAsiaTheme="minorEastAsia" w:cstheme="minorEastAsia"/>
          <w:color w:val="auto"/>
          <w:sz w:val="24"/>
          <w:szCs w:val="24"/>
          <w:highlight w:val="none"/>
          <w:lang w:val="en-US" w:eastAsia="zh-CN"/>
        </w:rPr>
        <w:t>中标单位</w:t>
      </w:r>
      <w:r>
        <w:rPr>
          <w:rFonts w:hint="eastAsia" w:asciiTheme="minorEastAsia" w:hAnsiTheme="minorEastAsia" w:eastAsiaTheme="minorEastAsia" w:cstheme="minorEastAsia"/>
          <w:color w:val="auto"/>
          <w:sz w:val="24"/>
          <w:szCs w:val="24"/>
          <w:highlight w:val="none"/>
        </w:rPr>
        <w:t>进驻</w:t>
      </w:r>
      <w:r>
        <w:rPr>
          <w:rFonts w:hint="eastAsia" w:asciiTheme="minorEastAsia" w:hAnsiTheme="minorEastAsia" w:eastAsiaTheme="minorEastAsia" w:cstheme="minorEastAsia"/>
          <w:color w:val="auto"/>
          <w:sz w:val="24"/>
          <w:szCs w:val="24"/>
          <w:highlight w:val="none"/>
          <w:lang w:eastAsia="zh-CN"/>
        </w:rPr>
        <w:t>萍乡市</w:t>
      </w:r>
      <w:r>
        <w:rPr>
          <w:rFonts w:hint="eastAsia" w:asciiTheme="minorEastAsia" w:hAnsiTheme="minorEastAsia" w:eastAsiaTheme="minorEastAsia" w:cstheme="minorEastAsia"/>
          <w:color w:val="auto"/>
          <w:sz w:val="24"/>
          <w:szCs w:val="24"/>
          <w:highlight w:val="none"/>
        </w:rPr>
        <w:t>监管中心提供医疗卫生服务，服务对象为全市公安监管场所被监管人员，医疗许可</w:t>
      </w:r>
      <w:r>
        <w:rPr>
          <w:rFonts w:hint="eastAsia" w:asciiTheme="minorEastAsia" w:hAnsiTheme="minorEastAsia" w:eastAsiaTheme="minorEastAsia" w:cstheme="minorEastAsia"/>
          <w:color w:val="auto"/>
          <w:sz w:val="24"/>
          <w:szCs w:val="24"/>
          <w:highlight w:val="none"/>
          <w:lang w:val="en-US" w:eastAsia="zh-CN"/>
        </w:rPr>
        <w:t>证</w:t>
      </w:r>
      <w:r>
        <w:rPr>
          <w:rFonts w:hint="eastAsia" w:asciiTheme="minorEastAsia" w:hAnsiTheme="minorEastAsia" w:eastAsiaTheme="minorEastAsia" w:cstheme="minorEastAsia"/>
          <w:color w:val="auto"/>
          <w:sz w:val="24"/>
          <w:szCs w:val="24"/>
          <w:highlight w:val="none"/>
        </w:rPr>
        <w:t>由中标单位进行申请办理。</w:t>
      </w:r>
      <w:r>
        <w:rPr>
          <w:rFonts w:hint="eastAsia" w:asciiTheme="minorEastAsia" w:hAnsiTheme="minorEastAsia" w:eastAsiaTheme="minorEastAsia" w:cstheme="minorEastAsia"/>
          <w:color w:val="auto"/>
          <w:sz w:val="24"/>
          <w:szCs w:val="24"/>
          <w:highlight w:val="none"/>
          <w:lang w:val="en-US" w:eastAsia="zh-CN"/>
        </w:rPr>
        <w:t>监管中心</w:t>
      </w:r>
      <w:r>
        <w:rPr>
          <w:rFonts w:hint="eastAsia" w:asciiTheme="minorEastAsia" w:hAnsiTheme="minorEastAsia" w:eastAsiaTheme="minorEastAsia" w:cstheme="minorEastAsia"/>
          <w:color w:val="auto"/>
          <w:sz w:val="24"/>
          <w:szCs w:val="24"/>
          <w:highlight w:val="none"/>
        </w:rPr>
        <w:t>医疗机构</w:t>
      </w:r>
      <w:r>
        <w:rPr>
          <w:rFonts w:hint="eastAsia" w:asciiTheme="minorEastAsia" w:hAnsiTheme="minorEastAsia" w:eastAsiaTheme="minorEastAsia" w:cstheme="minorEastAsia"/>
          <w:color w:val="auto"/>
          <w:sz w:val="24"/>
          <w:szCs w:val="24"/>
          <w:highlight w:val="none"/>
          <w:lang w:val="en-US" w:eastAsia="zh-CN"/>
        </w:rPr>
        <w:t>法定代表人及负责人</w:t>
      </w:r>
      <w:r>
        <w:rPr>
          <w:rFonts w:hint="eastAsia" w:asciiTheme="minorEastAsia" w:hAnsiTheme="minorEastAsia" w:eastAsiaTheme="minorEastAsia" w:cstheme="minorEastAsia"/>
          <w:color w:val="auto"/>
          <w:sz w:val="24"/>
          <w:szCs w:val="24"/>
          <w:highlight w:val="none"/>
        </w:rPr>
        <w:t>均为中标单位的工作人员。</w:t>
      </w:r>
      <w:r>
        <w:rPr>
          <w:rFonts w:hint="eastAsia" w:asciiTheme="minorEastAsia" w:hAnsiTheme="minorEastAsia" w:eastAsiaTheme="minorEastAsia" w:cstheme="minorEastAsia"/>
          <w:color w:val="auto"/>
          <w:sz w:val="24"/>
          <w:szCs w:val="24"/>
          <w:highlight w:val="none"/>
          <w:lang w:eastAsia="zh-CN"/>
        </w:rPr>
        <w:t>萍乡市</w:t>
      </w:r>
      <w:r>
        <w:rPr>
          <w:rFonts w:hint="eastAsia" w:asciiTheme="minorEastAsia" w:hAnsiTheme="minorEastAsia" w:eastAsiaTheme="minorEastAsia" w:cstheme="minorEastAsia"/>
          <w:color w:val="auto"/>
          <w:sz w:val="24"/>
          <w:szCs w:val="24"/>
          <w:highlight w:val="none"/>
        </w:rPr>
        <w:t>监管中心提供开展医疗卫生活动所需的场所，并采取有效措施保障中标单位</w:t>
      </w:r>
      <w:r>
        <w:rPr>
          <w:rFonts w:hint="eastAsia" w:asciiTheme="minorEastAsia" w:hAnsiTheme="minorEastAsia" w:eastAsiaTheme="minorEastAsia" w:cstheme="minorEastAsia"/>
          <w:color w:val="auto"/>
          <w:sz w:val="24"/>
          <w:szCs w:val="24"/>
          <w:highlight w:val="none"/>
          <w:lang w:val="en-US" w:eastAsia="zh-CN"/>
        </w:rPr>
        <w:t>工作</w:t>
      </w:r>
      <w:r>
        <w:rPr>
          <w:rFonts w:hint="eastAsia" w:asciiTheme="minorEastAsia" w:hAnsiTheme="minorEastAsia" w:eastAsiaTheme="minorEastAsia" w:cstheme="minorEastAsia"/>
          <w:color w:val="auto"/>
          <w:sz w:val="24"/>
          <w:szCs w:val="24"/>
          <w:highlight w:val="none"/>
        </w:rPr>
        <w:t>人员在从事医疗卫生活动中的人身安全。中标单位依法为采购人提供所需的医疗卫生服务，并</w:t>
      </w:r>
      <w:r>
        <w:rPr>
          <w:rFonts w:hint="eastAsia" w:asciiTheme="minorEastAsia" w:hAnsiTheme="minorEastAsia" w:eastAsiaTheme="minorEastAsia" w:cstheme="minorEastAsia"/>
          <w:color w:val="auto"/>
          <w:sz w:val="24"/>
          <w:szCs w:val="24"/>
          <w:highlight w:val="none"/>
          <w:lang w:val="en-US" w:eastAsia="zh-CN"/>
        </w:rPr>
        <w:t>对</w:t>
      </w:r>
      <w:r>
        <w:rPr>
          <w:rFonts w:hint="eastAsia" w:asciiTheme="minorEastAsia" w:hAnsiTheme="minorEastAsia" w:eastAsiaTheme="minorEastAsia" w:cstheme="minorEastAsia"/>
          <w:color w:val="auto"/>
          <w:sz w:val="24"/>
          <w:szCs w:val="24"/>
          <w:highlight w:val="none"/>
        </w:rPr>
        <w:t>其提供的服务负责。</w:t>
      </w:r>
    </w:p>
    <w:p w14:paraId="79B3DB2F">
      <w:pPr>
        <w:pStyle w:val="9"/>
        <w:keepNext w:val="0"/>
        <w:keepLines w:val="0"/>
        <w:pageBreakBefore w:val="0"/>
        <w:widowControl w:val="0"/>
        <w:kinsoku/>
        <w:wordWrap/>
        <w:overflowPunct/>
        <w:topLinePunct w:val="0"/>
        <w:autoSpaceDE/>
        <w:autoSpaceDN/>
        <w:bidi w:val="0"/>
        <w:adjustRightInd w:val="0"/>
        <w:snapToGrid/>
        <w:spacing w:line="240" w:lineRule="auto"/>
        <w:rPr>
          <w:rFonts w:hint="eastAsia" w:asciiTheme="minorEastAsia" w:hAnsiTheme="minorEastAsia" w:eastAsiaTheme="minorEastAsia" w:cstheme="minorEastAsia"/>
          <w:b/>
          <w:bCs/>
          <w:color w:val="auto"/>
          <w:sz w:val="24"/>
          <w:szCs w:val="24"/>
          <w:highlight w:val="none"/>
        </w:rPr>
      </w:pPr>
    </w:p>
    <w:p w14:paraId="0ABEBFD6">
      <w:pPr>
        <w:pStyle w:val="2"/>
        <w:keepNext w:val="0"/>
        <w:keepLines w:val="0"/>
        <w:pageBreakBefore w:val="0"/>
        <w:kinsoku/>
        <w:wordWrap/>
        <w:overflowPunct/>
        <w:topLinePunct w:val="0"/>
        <w:bidi w:val="0"/>
        <w:adjustRightInd w:val="0"/>
        <w:spacing w:line="240" w:lineRule="auto"/>
        <w:ind w:left="15"/>
        <w:outlineLvl w:val="3"/>
        <w:rPr>
          <w:rFonts w:hint="eastAsia" w:asciiTheme="minorEastAsia" w:hAnsiTheme="minorEastAsia" w:eastAsiaTheme="minorEastAsia" w:cstheme="minorEastAsia"/>
          <w:color w:val="auto"/>
          <w:sz w:val="28"/>
          <w:szCs w:val="28"/>
          <w:highlight w:val="none"/>
        </w:rPr>
      </w:pPr>
      <w:r>
        <w:rPr>
          <w:rFonts w:hint="eastAsia" w:ascii="宋体" w:hAnsi="宋体" w:eastAsia="宋体" w:cs="宋体"/>
          <w:b/>
          <w:bCs/>
          <w:color w:val="auto"/>
          <w:sz w:val="24"/>
          <w:szCs w:val="24"/>
          <w:highlight w:val="none"/>
          <w:lang w:val="en-US" w:eastAsia="zh-CN"/>
        </w:rPr>
        <w:t>二</w:t>
      </w:r>
      <w:r>
        <w:rPr>
          <w:rFonts w:hint="eastAsia" w:ascii="宋体" w:hAnsi="宋体" w:eastAsia="宋体" w:cs="宋体"/>
          <w:b/>
          <w:bCs/>
          <w:color w:val="auto"/>
          <w:sz w:val="24"/>
          <w:szCs w:val="24"/>
          <w:highlight w:val="none"/>
        </w:rPr>
        <w:t>）</w:t>
      </w:r>
      <w:r>
        <w:rPr>
          <w:rFonts w:hint="eastAsia" w:asciiTheme="minorEastAsia" w:hAnsiTheme="minorEastAsia" w:eastAsiaTheme="minorEastAsia" w:cstheme="minorEastAsia"/>
          <w:b/>
          <w:bCs/>
          <w:color w:val="auto"/>
          <w:spacing w:val="-7"/>
          <w:sz w:val="28"/>
          <w:szCs w:val="28"/>
          <w:highlight w:val="none"/>
          <w:lang w:val="en-US" w:eastAsia="zh-CN"/>
        </w:rPr>
        <w:t>服务要求</w:t>
      </w:r>
      <w:bookmarkEnd w:id="11"/>
    </w:p>
    <w:p w14:paraId="14F63383">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93"/>
        <w:textAlignment w:val="baseline"/>
        <w:outlineLvl w:val="9"/>
        <w:rPr>
          <w:rFonts w:hint="eastAsia" w:asciiTheme="minorEastAsia" w:hAnsiTheme="minorEastAsia" w:eastAsiaTheme="minorEastAsia" w:cstheme="minorEastAsia"/>
          <w:b/>
          <w:bCs/>
          <w:color w:val="auto"/>
          <w:spacing w:val="0"/>
          <w:sz w:val="24"/>
          <w:szCs w:val="24"/>
          <w:highlight w:val="none"/>
          <w:lang w:eastAsia="zh-CN"/>
        </w:rPr>
      </w:pPr>
      <w:bookmarkStart w:id="12" w:name="bookmark3"/>
      <w:bookmarkEnd w:id="12"/>
      <w:bookmarkStart w:id="13" w:name="bookmark2"/>
      <w:bookmarkEnd w:id="13"/>
      <w:bookmarkStart w:id="14" w:name="_Toc26496"/>
      <w:r>
        <w:rPr>
          <w:rFonts w:hint="eastAsia" w:asciiTheme="minorEastAsia" w:hAnsiTheme="minorEastAsia" w:eastAsiaTheme="minorEastAsia" w:cstheme="minorEastAsia"/>
          <w:b/>
          <w:bCs/>
          <w:color w:val="auto"/>
          <w:spacing w:val="0"/>
          <w:sz w:val="24"/>
          <w:szCs w:val="24"/>
          <w:highlight w:val="none"/>
          <w:lang w:val="en-US" w:eastAsia="zh-CN"/>
        </w:rPr>
        <w:t>1.</w:t>
      </w:r>
      <w:r>
        <w:rPr>
          <w:rFonts w:hint="eastAsia" w:asciiTheme="minorEastAsia" w:hAnsiTheme="minorEastAsia" w:eastAsiaTheme="minorEastAsia" w:cstheme="minorEastAsia"/>
          <w:b/>
          <w:bCs/>
          <w:color w:val="auto"/>
          <w:spacing w:val="0"/>
          <w:sz w:val="24"/>
          <w:szCs w:val="24"/>
          <w:highlight w:val="none"/>
        </w:rPr>
        <w:t>服务内容</w:t>
      </w:r>
      <w:bookmarkEnd w:id="14"/>
    </w:p>
    <w:p w14:paraId="24F236E4">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93"/>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承担入所体检，</w:t>
      </w:r>
      <w:r>
        <w:rPr>
          <w:rFonts w:hint="eastAsia" w:asciiTheme="minorEastAsia" w:hAnsiTheme="minorEastAsia" w:eastAsiaTheme="minorEastAsia" w:cstheme="minorEastAsia"/>
          <w:color w:val="auto"/>
          <w:spacing w:val="0"/>
          <w:sz w:val="24"/>
          <w:szCs w:val="24"/>
          <w:highlight w:val="none"/>
          <w:lang w:val="en-US" w:eastAsia="zh-CN"/>
        </w:rPr>
        <w:t>所内</w:t>
      </w:r>
      <w:r>
        <w:rPr>
          <w:rFonts w:hint="eastAsia" w:asciiTheme="minorEastAsia" w:hAnsiTheme="minorEastAsia" w:eastAsiaTheme="minorEastAsia" w:cstheme="minorEastAsia"/>
          <w:color w:val="auto"/>
          <w:spacing w:val="0"/>
          <w:sz w:val="24"/>
          <w:szCs w:val="24"/>
          <w:highlight w:val="none"/>
        </w:rPr>
        <w:t>每日两次巡诊、</w:t>
      </w:r>
      <w:r>
        <w:rPr>
          <w:rFonts w:hint="eastAsia" w:asciiTheme="minorEastAsia" w:hAnsiTheme="minorEastAsia" w:eastAsiaTheme="minorEastAsia" w:cstheme="minorEastAsia"/>
          <w:color w:val="auto"/>
          <w:spacing w:val="0"/>
          <w:sz w:val="24"/>
          <w:szCs w:val="24"/>
          <w:highlight w:val="none"/>
          <w:lang w:val="en-US" w:eastAsia="zh-CN"/>
        </w:rPr>
        <w:t>疾病治疗及</w:t>
      </w:r>
      <w:r>
        <w:rPr>
          <w:rFonts w:hint="eastAsia" w:asciiTheme="minorEastAsia" w:hAnsiTheme="minorEastAsia" w:eastAsiaTheme="minorEastAsia" w:cstheme="minorEastAsia"/>
          <w:color w:val="auto"/>
          <w:spacing w:val="0"/>
          <w:sz w:val="24"/>
          <w:szCs w:val="24"/>
          <w:highlight w:val="none"/>
        </w:rPr>
        <w:t>护理、出所就医、</w:t>
      </w:r>
      <w:r>
        <w:rPr>
          <w:rFonts w:hint="eastAsia" w:asciiTheme="minorEastAsia" w:hAnsiTheme="minorEastAsia" w:eastAsiaTheme="minorEastAsia" w:cstheme="minorEastAsia"/>
          <w:color w:val="auto"/>
          <w:spacing w:val="0"/>
          <w:sz w:val="24"/>
          <w:szCs w:val="24"/>
          <w:highlight w:val="none"/>
          <w:lang w:val="en-US" w:eastAsia="zh-CN"/>
        </w:rPr>
        <w:t>健康档案管理</w:t>
      </w:r>
      <w:r>
        <w:rPr>
          <w:rFonts w:hint="eastAsia" w:asciiTheme="minorEastAsia" w:hAnsiTheme="minorEastAsia" w:eastAsiaTheme="minorEastAsia" w:cstheme="minorEastAsia"/>
          <w:color w:val="auto"/>
          <w:spacing w:val="0"/>
          <w:sz w:val="24"/>
          <w:szCs w:val="24"/>
          <w:highlight w:val="none"/>
        </w:rPr>
        <w:t>等</w:t>
      </w:r>
      <w:r>
        <w:rPr>
          <w:rFonts w:hint="eastAsia" w:asciiTheme="minorEastAsia" w:hAnsiTheme="minorEastAsia" w:eastAsiaTheme="minorEastAsia" w:cstheme="minorEastAsia"/>
          <w:color w:val="auto"/>
          <w:spacing w:val="0"/>
          <w:sz w:val="24"/>
          <w:szCs w:val="24"/>
          <w:highlight w:val="none"/>
          <w:lang w:val="en-US" w:eastAsia="zh-CN"/>
        </w:rPr>
        <w:t>医疗保障</w:t>
      </w:r>
      <w:r>
        <w:rPr>
          <w:rFonts w:hint="eastAsia" w:asciiTheme="minorEastAsia" w:hAnsiTheme="minorEastAsia" w:eastAsiaTheme="minorEastAsia" w:cstheme="minorEastAsia"/>
          <w:color w:val="auto"/>
          <w:spacing w:val="0"/>
          <w:sz w:val="24"/>
          <w:szCs w:val="24"/>
          <w:highlight w:val="none"/>
        </w:rPr>
        <w:t>工作，</w:t>
      </w:r>
      <w:r>
        <w:rPr>
          <w:rFonts w:hint="eastAsia" w:asciiTheme="minorEastAsia" w:hAnsiTheme="minorEastAsia" w:eastAsiaTheme="minorEastAsia" w:cstheme="minorEastAsia"/>
          <w:color w:val="auto"/>
          <w:spacing w:val="0"/>
          <w:sz w:val="24"/>
          <w:szCs w:val="24"/>
          <w:highlight w:val="none"/>
          <w:lang w:val="en-US" w:eastAsia="zh-CN"/>
        </w:rPr>
        <w:t>同时保障药品和医用耗材的供应，</w:t>
      </w:r>
      <w:r>
        <w:rPr>
          <w:rFonts w:hint="eastAsia" w:asciiTheme="minorEastAsia" w:hAnsiTheme="minorEastAsia" w:eastAsiaTheme="minorEastAsia" w:cstheme="minorEastAsia"/>
          <w:color w:val="auto"/>
          <w:spacing w:val="0"/>
          <w:sz w:val="24"/>
          <w:szCs w:val="24"/>
          <w:highlight w:val="none"/>
        </w:rPr>
        <w:t>切实保障被监管人员基本医疗需求</w:t>
      </w:r>
      <w:r>
        <w:rPr>
          <w:rFonts w:hint="eastAsia" w:asciiTheme="minorEastAsia" w:hAnsiTheme="minorEastAsia" w:eastAsia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pacing w:val="0"/>
          <w:sz w:val="24"/>
          <w:szCs w:val="24"/>
          <w:highlight w:val="none"/>
          <w:lang w:val="en-US" w:eastAsia="zh-CN"/>
        </w:rPr>
        <w:t>确保监管场所不发生因病死亡事件</w:t>
      </w:r>
      <w:r>
        <w:rPr>
          <w:rFonts w:hint="eastAsia" w:asciiTheme="minorEastAsia" w:hAnsiTheme="minorEastAsia" w:eastAsiaTheme="minorEastAsia" w:cstheme="minorEastAsia"/>
          <w:color w:val="auto"/>
          <w:spacing w:val="0"/>
          <w:sz w:val="24"/>
          <w:szCs w:val="24"/>
          <w:highlight w:val="none"/>
        </w:rPr>
        <w:t>。</w:t>
      </w:r>
    </w:p>
    <w:p w14:paraId="603C9651">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80" w:firstLineChars="200"/>
        <w:textAlignment w:val="baseline"/>
        <w:outlineLvl w:val="9"/>
        <w:rPr>
          <w:rFonts w:hint="eastAsia" w:asciiTheme="minorEastAsia" w:hAnsiTheme="minorEastAsia" w:eastAsiaTheme="minorEastAsia" w:cstheme="minorEastAsia"/>
          <w:b w:val="0"/>
          <w:bCs w:val="0"/>
          <w:color w:val="auto"/>
          <w:spacing w:val="0"/>
          <w:sz w:val="24"/>
          <w:szCs w:val="24"/>
          <w:highlight w:val="none"/>
          <w:lang w:eastAsia="zh-CN"/>
        </w:rPr>
      </w:pPr>
      <w:bookmarkStart w:id="15" w:name="_Toc14062"/>
      <w:r>
        <w:rPr>
          <w:rFonts w:hint="eastAsia" w:asciiTheme="minorEastAsia" w:hAnsiTheme="minorEastAsia" w:eastAsiaTheme="minorEastAsia" w:cstheme="minorEastAsia"/>
          <w:b w:val="0"/>
          <w:bCs w:val="0"/>
          <w:color w:val="auto"/>
          <w:spacing w:val="0"/>
          <w:sz w:val="24"/>
          <w:szCs w:val="24"/>
          <w:highlight w:val="none"/>
          <w:lang w:val="en-US" w:eastAsia="zh-CN"/>
        </w:rPr>
        <w:t>1.1 入所</w:t>
      </w:r>
      <w:r>
        <w:rPr>
          <w:rFonts w:hint="eastAsia" w:asciiTheme="minorEastAsia" w:hAnsiTheme="minorEastAsia" w:eastAsiaTheme="minorEastAsia" w:cstheme="minorEastAsia"/>
          <w:b w:val="0"/>
          <w:bCs w:val="0"/>
          <w:color w:val="auto"/>
          <w:spacing w:val="0"/>
          <w:sz w:val="24"/>
          <w:szCs w:val="24"/>
          <w:highlight w:val="none"/>
        </w:rPr>
        <w:t>体检工作</w:t>
      </w:r>
    </w:p>
    <w:p w14:paraId="72EB75FC">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77"/>
        <w:textAlignment w:val="baseline"/>
        <w:rPr>
          <w:rFonts w:hint="eastAsia" w:eastAsia="宋体" w:asciiTheme="minorEastAsia" w:hAnsiTheme="minorEastAsia" w:cstheme="minorEastAsia"/>
          <w:color w:val="auto"/>
          <w:spacing w:val="0"/>
          <w:sz w:val="24"/>
          <w:szCs w:val="24"/>
          <w:highlight w:val="none"/>
          <w:lang w:eastAsia="zh-CN"/>
        </w:rPr>
      </w:pPr>
      <w:r>
        <w:rPr>
          <w:rFonts w:hint="eastAsia" w:asciiTheme="minorEastAsia" w:hAnsiTheme="minorEastAsia" w:eastAsiaTheme="minorEastAsia" w:cstheme="minorEastAsia"/>
          <w:color w:val="auto"/>
          <w:spacing w:val="0"/>
          <w:sz w:val="24"/>
          <w:szCs w:val="24"/>
          <w:highlight w:val="none"/>
        </w:rPr>
        <w:t>监管医院应24小时开展</w:t>
      </w:r>
      <w:r>
        <w:rPr>
          <w:rFonts w:hint="eastAsia" w:asciiTheme="minorEastAsia" w:hAnsiTheme="minorEastAsia" w:eastAsiaTheme="minorEastAsia" w:cstheme="minorEastAsia"/>
          <w:color w:val="auto"/>
          <w:spacing w:val="0"/>
          <w:sz w:val="24"/>
          <w:szCs w:val="24"/>
          <w:highlight w:val="none"/>
          <w:lang w:eastAsia="zh-CN"/>
        </w:rPr>
        <w:t>入</w:t>
      </w:r>
      <w:r>
        <w:rPr>
          <w:rFonts w:hint="eastAsia" w:asciiTheme="minorEastAsia" w:hAnsiTheme="minorEastAsia" w:eastAsiaTheme="minorEastAsia" w:cstheme="minorEastAsia"/>
          <w:color w:val="auto"/>
          <w:spacing w:val="0"/>
          <w:sz w:val="24"/>
          <w:szCs w:val="24"/>
          <w:highlight w:val="none"/>
          <w:lang w:val="en-US" w:eastAsia="zh-CN"/>
        </w:rPr>
        <w:t>所</w:t>
      </w:r>
      <w:r>
        <w:rPr>
          <w:rFonts w:hint="eastAsia" w:asciiTheme="minorEastAsia" w:hAnsiTheme="minorEastAsia" w:eastAsiaTheme="minorEastAsia" w:cstheme="minorEastAsia"/>
          <w:color w:val="auto"/>
          <w:spacing w:val="0"/>
          <w:sz w:val="24"/>
          <w:szCs w:val="24"/>
          <w:highlight w:val="none"/>
        </w:rPr>
        <w:t>体检工作，填写《入所人员健康检查表》、出具体检结论等流程进行。</w:t>
      </w:r>
      <w:r>
        <w:rPr>
          <w:rFonts w:hint="eastAsia" w:ascii="宋体" w:hAnsi="宋体" w:eastAsia="宋体" w:cs="宋体"/>
          <w:color w:val="auto"/>
          <w:spacing w:val="0"/>
          <w:sz w:val="24"/>
          <w:szCs w:val="24"/>
          <w:highlight w:val="none"/>
        </w:rPr>
        <w:t>医护人员根据被监管人员发病情况及时有效处置，所有被监管人员建立</w:t>
      </w:r>
      <w:r>
        <w:rPr>
          <w:rFonts w:hint="eastAsia" w:ascii="宋体" w:hAnsi="宋体" w:eastAsia="宋体" w:cs="宋体"/>
          <w:color w:val="auto"/>
          <w:spacing w:val="0"/>
          <w:sz w:val="24"/>
          <w:szCs w:val="24"/>
          <w:highlight w:val="none"/>
          <w:lang w:val="en-US" w:eastAsia="zh-CN"/>
        </w:rPr>
        <w:t>健康</w:t>
      </w:r>
      <w:r>
        <w:rPr>
          <w:rFonts w:hint="eastAsia" w:ascii="宋体" w:hAnsi="宋体" w:eastAsia="宋体" w:cs="宋体"/>
          <w:color w:val="auto"/>
          <w:spacing w:val="0"/>
          <w:sz w:val="24"/>
          <w:szCs w:val="24"/>
          <w:highlight w:val="none"/>
        </w:rPr>
        <w:t>档案(含电子档案)</w:t>
      </w:r>
      <w:r>
        <w:rPr>
          <w:rFonts w:hint="eastAsia" w:ascii="宋体" w:hAnsi="宋体" w:eastAsia="宋体" w:cs="宋体"/>
          <w:color w:val="auto"/>
          <w:spacing w:val="0"/>
          <w:sz w:val="24"/>
          <w:szCs w:val="24"/>
          <w:highlight w:val="none"/>
          <w:lang w:eastAsia="zh-CN"/>
        </w:rPr>
        <w:t>。</w:t>
      </w:r>
    </w:p>
    <w:p w14:paraId="40BE2816">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80" w:firstLineChars="200"/>
        <w:textAlignment w:val="baseline"/>
        <w:outlineLvl w:val="9"/>
        <w:rPr>
          <w:rFonts w:hint="eastAsia" w:asciiTheme="minorEastAsia" w:hAnsiTheme="minorEastAsia" w:eastAsiaTheme="minorEastAsia" w:cstheme="minorEastAsia"/>
          <w:b w:val="0"/>
          <w:bCs w:val="0"/>
          <w:color w:val="auto"/>
          <w:spacing w:val="0"/>
          <w:sz w:val="24"/>
          <w:szCs w:val="24"/>
          <w:highlight w:val="none"/>
          <w:lang w:eastAsia="zh-CN"/>
        </w:rPr>
      </w:pPr>
      <w:r>
        <w:rPr>
          <w:rFonts w:hint="eastAsia" w:asciiTheme="minorEastAsia" w:hAnsiTheme="minorEastAsia" w:eastAsiaTheme="minorEastAsia" w:cstheme="minorEastAsia"/>
          <w:b w:val="0"/>
          <w:bCs w:val="0"/>
          <w:color w:val="auto"/>
          <w:spacing w:val="0"/>
          <w:sz w:val="24"/>
          <w:szCs w:val="24"/>
          <w:highlight w:val="none"/>
          <w:lang w:val="en-US" w:eastAsia="zh-CN"/>
        </w:rPr>
        <w:t xml:space="preserve">1.2 </w:t>
      </w:r>
      <w:r>
        <w:rPr>
          <w:rFonts w:hint="eastAsia" w:asciiTheme="minorEastAsia" w:hAnsiTheme="minorEastAsia" w:eastAsiaTheme="minorEastAsia" w:cstheme="minorEastAsia"/>
          <w:color w:val="auto"/>
          <w:spacing w:val="0"/>
          <w:sz w:val="24"/>
          <w:szCs w:val="24"/>
          <w:highlight w:val="none"/>
        </w:rPr>
        <w:t>巡诊</w:t>
      </w:r>
      <w:r>
        <w:rPr>
          <w:rFonts w:hint="eastAsia" w:asciiTheme="minorEastAsia" w:hAnsiTheme="minorEastAsia" w:eastAsiaTheme="minorEastAsia" w:cstheme="minorEastAsia"/>
          <w:b w:val="0"/>
          <w:bCs w:val="0"/>
          <w:color w:val="auto"/>
          <w:spacing w:val="0"/>
          <w:sz w:val="24"/>
          <w:szCs w:val="24"/>
          <w:highlight w:val="none"/>
        </w:rPr>
        <w:t>工作</w:t>
      </w:r>
    </w:p>
    <w:p w14:paraId="46FB08CF">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80" w:firstLineChars="200"/>
        <w:textAlignment w:val="baseline"/>
        <w:outlineLvl w:val="9"/>
        <w:rPr>
          <w:rFonts w:hint="eastAsia" w:ascii="宋体" w:hAnsi="宋体" w:eastAsia="宋体" w:cs="宋体"/>
          <w:color w:val="auto"/>
          <w:spacing w:val="0"/>
          <w:sz w:val="24"/>
          <w:szCs w:val="24"/>
          <w:highlight w:val="none"/>
          <w:lang w:eastAsia="zh-CN"/>
        </w:rPr>
      </w:pPr>
      <w:r>
        <w:rPr>
          <w:rFonts w:hint="eastAsia" w:ascii="宋体" w:hAnsi="宋体" w:eastAsia="宋体" w:cs="宋体"/>
          <w:color w:val="auto"/>
          <w:spacing w:val="0"/>
          <w:sz w:val="24"/>
          <w:szCs w:val="24"/>
          <w:highlight w:val="none"/>
        </w:rPr>
        <w:t>在“</w:t>
      </w:r>
      <w:r>
        <w:rPr>
          <w:rFonts w:hint="eastAsia" w:ascii="宋体" w:hAnsi="宋体" w:eastAsia="宋体" w:cs="宋体"/>
          <w:color w:val="auto"/>
          <w:spacing w:val="0"/>
          <w:sz w:val="24"/>
          <w:szCs w:val="24"/>
          <w:highlight w:val="none"/>
          <w:lang w:val="en-US" w:eastAsia="zh-CN"/>
        </w:rPr>
        <w:t>两</w:t>
      </w:r>
      <w:r>
        <w:rPr>
          <w:rFonts w:hint="eastAsia" w:ascii="宋体" w:hAnsi="宋体" w:eastAsia="宋体" w:cs="宋体"/>
          <w:color w:val="auto"/>
          <w:spacing w:val="0"/>
          <w:sz w:val="24"/>
          <w:szCs w:val="24"/>
          <w:highlight w:val="none"/>
        </w:rPr>
        <w:t>所”</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看守所、拘戒所</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rPr>
        <w:t>监区内设立医务室，承担“</w:t>
      </w:r>
      <w:r>
        <w:rPr>
          <w:rFonts w:hint="eastAsia" w:ascii="宋体" w:hAnsi="宋体" w:eastAsia="宋体" w:cs="宋体"/>
          <w:color w:val="auto"/>
          <w:spacing w:val="0"/>
          <w:sz w:val="24"/>
          <w:szCs w:val="24"/>
          <w:highlight w:val="none"/>
          <w:lang w:val="en-US" w:eastAsia="zh-CN"/>
        </w:rPr>
        <w:t>两</w:t>
      </w:r>
      <w:r>
        <w:rPr>
          <w:rFonts w:hint="eastAsia" w:ascii="宋体" w:hAnsi="宋体" w:eastAsia="宋体" w:cs="宋体"/>
          <w:color w:val="auto"/>
          <w:spacing w:val="0"/>
          <w:sz w:val="24"/>
          <w:szCs w:val="24"/>
          <w:highlight w:val="none"/>
        </w:rPr>
        <w:t>所”每天至少两次(上午和下午)医疗巡诊发药工作，及时发现和排除被监管人员的病情隐患，被监管人员病情严重时，医护人员要及时评估并提出转诊建议。医护人员实行24小时值班制度</w:t>
      </w:r>
      <w:r>
        <w:rPr>
          <w:rFonts w:hint="eastAsia" w:ascii="宋体" w:hAnsi="宋体" w:eastAsia="宋体" w:cs="宋体"/>
          <w:color w:val="auto"/>
          <w:spacing w:val="0"/>
          <w:sz w:val="24"/>
          <w:szCs w:val="24"/>
          <w:highlight w:val="none"/>
          <w:lang w:eastAsia="zh-CN"/>
        </w:rPr>
        <w:t>。</w:t>
      </w:r>
    </w:p>
    <w:p w14:paraId="1FC89808">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80" w:firstLineChars="200"/>
        <w:textAlignment w:val="baseline"/>
        <w:outlineLvl w:val="9"/>
        <w:rPr>
          <w:rFonts w:hint="eastAsia" w:asciiTheme="minorEastAsia" w:hAnsiTheme="minorEastAsia" w:eastAsiaTheme="minorEastAsia" w:cstheme="minorEastAsia"/>
          <w:b w:val="0"/>
          <w:bCs w:val="0"/>
          <w:color w:val="auto"/>
          <w:spacing w:val="0"/>
          <w:sz w:val="24"/>
          <w:szCs w:val="24"/>
          <w:highlight w:val="none"/>
          <w:lang w:eastAsia="zh-CN"/>
        </w:rPr>
      </w:pPr>
      <w:r>
        <w:rPr>
          <w:rFonts w:hint="eastAsia" w:asciiTheme="minorEastAsia" w:hAnsiTheme="minorEastAsia" w:eastAsiaTheme="minorEastAsia" w:cstheme="minorEastAsia"/>
          <w:b w:val="0"/>
          <w:bCs w:val="0"/>
          <w:color w:val="auto"/>
          <w:spacing w:val="0"/>
          <w:sz w:val="24"/>
          <w:szCs w:val="24"/>
          <w:highlight w:val="none"/>
          <w:lang w:val="en-US" w:eastAsia="zh-CN"/>
        </w:rPr>
        <w:t xml:space="preserve">1.3 </w:t>
      </w:r>
      <w:r>
        <w:rPr>
          <w:rFonts w:hint="eastAsia" w:asciiTheme="minorEastAsia" w:hAnsiTheme="minorEastAsia" w:eastAsiaTheme="minorEastAsia" w:cstheme="minorEastAsia"/>
          <w:color w:val="auto"/>
          <w:spacing w:val="0"/>
          <w:sz w:val="24"/>
          <w:szCs w:val="24"/>
          <w:highlight w:val="none"/>
          <w:lang w:val="en-US" w:eastAsia="zh-CN"/>
        </w:rPr>
        <w:t>疾病治疗及</w:t>
      </w:r>
      <w:r>
        <w:rPr>
          <w:rFonts w:hint="eastAsia" w:asciiTheme="minorEastAsia" w:hAnsiTheme="minorEastAsia" w:eastAsiaTheme="minorEastAsia" w:cstheme="minorEastAsia"/>
          <w:color w:val="auto"/>
          <w:spacing w:val="0"/>
          <w:sz w:val="24"/>
          <w:szCs w:val="24"/>
          <w:highlight w:val="none"/>
        </w:rPr>
        <w:t>护理</w:t>
      </w:r>
    </w:p>
    <w:p w14:paraId="78432033">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80" w:firstLineChars="200"/>
        <w:textAlignment w:val="baseline"/>
        <w:outlineLvl w:val="9"/>
        <w:rPr>
          <w:rFonts w:hint="eastAsia" w:ascii="宋体" w:hAnsi="宋体" w:eastAsia="宋体" w:cs="宋体"/>
          <w:color w:val="auto"/>
          <w:spacing w:val="0"/>
          <w:sz w:val="24"/>
          <w:szCs w:val="24"/>
          <w:highlight w:val="none"/>
          <w:lang w:eastAsia="zh-CN"/>
        </w:rPr>
      </w:pPr>
      <w:r>
        <w:rPr>
          <w:rFonts w:hint="eastAsia" w:ascii="宋体" w:hAnsi="宋体" w:eastAsia="宋体" w:cs="宋体"/>
          <w:color w:val="auto"/>
          <w:spacing w:val="0"/>
          <w:sz w:val="24"/>
          <w:szCs w:val="24"/>
          <w:highlight w:val="none"/>
        </w:rPr>
        <w:t>承担“</w:t>
      </w:r>
      <w:r>
        <w:rPr>
          <w:rFonts w:hint="eastAsia" w:ascii="宋体" w:hAnsi="宋体" w:eastAsia="宋体" w:cs="宋体"/>
          <w:color w:val="auto"/>
          <w:spacing w:val="0"/>
          <w:sz w:val="24"/>
          <w:szCs w:val="24"/>
          <w:highlight w:val="none"/>
          <w:lang w:val="en-US" w:eastAsia="zh-CN"/>
        </w:rPr>
        <w:t>两</w:t>
      </w:r>
      <w:r>
        <w:rPr>
          <w:rFonts w:hint="eastAsia" w:ascii="宋体" w:hAnsi="宋体" w:eastAsia="宋体" w:cs="宋体"/>
          <w:color w:val="auto"/>
          <w:spacing w:val="0"/>
          <w:sz w:val="24"/>
          <w:szCs w:val="24"/>
          <w:highlight w:val="none"/>
        </w:rPr>
        <w:t>所”被监管人员因病住院治疗。住院的医疗流程、医疗质量与</w:t>
      </w:r>
      <w:r>
        <w:rPr>
          <w:rFonts w:hint="eastAsia" w:ascii="宋体" w:hAnsi="宋体" w:eastAsia="宋体" w:cs="宋体"/>
          <w:color w:val="auto"/>
          <w:spacing w:val="0"/>
          <w:sz w:val="24"/>
          <w:szCs w:val="24"/>
          <w:highlight w:val="none"/>
          <w:lang w:val="en-US" w:eastAsia="zh-CN"/>
        </w:rPr>
        <w:t>合作</w:t>
      </w:r>
      <w:r>
        <w:rPr>
          <w:rFonts w:hint="eastAsia" w:ascii="宋体" w:hAnsi="宋体" w:eastAsia="宋体" w:cs="宋体"/>
          <w:color w:val="auto"/>
          <w:spacing w:val="0"/>
          <w:sz w:val="24"/>
          <w:szCs w:val="24"/>
          <w:highlight w:val="none"/>
        </w:rPr>
        <w:t>医院</w:t>
      </w:r>
      <w:r>
        <w:rPr>
          <w:rFonts w:hint="eastAsia" w:ascii="宋体" w:hAnsi="宋体" w:eastAsia="宋体" w:cs="宋体"/>
          <w:color w:val="auto"/>
          <w:spacing w:val="0"/>
          <w:sz w:val="24"/>
          <w:szCs w:val="24"/>
          <w:highlight w:val="none"/>
          <w:lang w:val="en-US" w:eastAsia="zh-CN"/>
        </w:rPr>
        <w:t>本部</w:t>
      </w:r>
      <w:r>
        <w:rPr>
          <w:rFonts w:hint="eastAsia" w:ascii="宋体" w:hAnsi="宋体" w:eastAsia="宋体" w:cs="宋体"/>
          <w:color w:val="auto"/>
          <w:spacing w:val="0"/>
          <w:sz w:val="24"/>
          <w:szCs w:val="24"/>
          <w:highlight w:val="none"/>
        </w:rPr>
        <w:t>标准一致，并实行24小时值班制度</w:t>
      </w:r>
      <w:r>
        <w:rPr>
          <w:rFonts w:hint="eastAsia" w:ascii="宋体" w:hAnsi="宋体" w:eastAsia="宋体" w:cs="宋体"/>
          <w:color w:val="auto"/>
          <w:spacing w:val="0"/>
          <w:sz w:val="24"/>
          <w:szCs w:val="24"/>
          <w:highlight w:val="none"/>
          <w:lang w:eastAsia="zh-CN"/>
        </w:rPr>
        <w:t>。</w:t>
      </w:r>
    </w:p>
    <w:p w14:paraId="395D717B">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80" w:firstLineChars="200"/>
        <w:textAlignment w:val="baseline"/>
        <w:outlineLvl w:val="9"/>
        <w:rPr>
          <w:rFonts w:hint="eastAsia" w:asciiTheme="minorEastAsia" w:hAnsiTheme="minorEastAsia" w:eastAsiaTheme="minorEastAsia" w:cstheme="minorEastAsia"/>
          <w:b w:val="0"/>
          <w:bCs w:val="0"/>
          <w:color w:val="auto"/>
          <w:spacing w:val="0"/>
          <w:sz w:val="24"/>
          <w:szCs w:val="24"/>
          <w:highlight w:val="none"/>
          <w:lang w:eastAsia="zh-CN"/>
        </w:rPr>
      </w:pPr>
      <w:r>
        <w:rPr>
          <w:rFonts w:hint="eastAsia" w:asciiTheme="minorEastAsia" w:hAnsiTheme="minorEastAsia" w:eastAsiaTheme="minorEastAsia" w:cstheme="minorEastAsia"/>
          <w:b w:val="0"/>
          <w:bCs w:val="0"/>
          <w:color w:val="auto"/>
          <w:spacing w:val="0"/>
          <w:sz w:val="24"/>
          <w:szCs w:val="24"/>
          <w:highlight w:val="none"/>
          <w:lang w:val="en-US" w:eastAsia="zh-CN"/>
        </w:rPr>
        <w:t xml:space="preserve">1.4 </w:t>
      </w:r>
      <w:r>
        <w:rPr>
          <w:rFonts w:hint="eastAsia" w:asciiTheme="minorEastAsia" w:hAnsiTheme="minorEastAsia" w:eastAsiaTheme="minorEastAsia" w:cstheme="minorEastAsia"/>
          <w:color w:val="auto"/>
          <w:spacing w:val="0"/>
          <w:sz w:val="24"/>
          <w:szCs w:val="24"/>
          <w:highlight w:val="none"/>
        </w:rPr>
        <w:t>出所就医</w:t>
      </w:r>
    </w:p>
    <w:p w14:paraId="7F34E4B0">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80" w:firstLineChars="200"/>
        <w:textAlignment w:val="baseline"/>
        <w:rPr>
          <w:rFonts w:hint="eastAsia"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对需要</w:t>
      </w:r>
      <w:r>
        <w:rPr>
          <w:rFonts w:hint="eastAsia" w:asciiTheme="minorEastAsia" w:hAnsiTheme="minorEastAsia" w:eastAsiaTheme="minorEastAsia" w:cstheme="minorEastAsia"/>
          <w:color w:val="auto"/>
          <w:spacing w:val="0"/>
          <w:sz w:val="24"/>
          <w:szCs w:val="24"/>
          <w:highlight w:val="none"/>
        </w:rPr>
        <w:t>出所</w:t>
      </w:r>
      <w:r>
        <w:rPr>
          <w:rFonts w:hint="eastAsia" w:asciiTheme="minorEastAsia" w:hAnsiTheme="minorEastAsia" w:eastAsiaTheme="minorEastAsia" w:cstheme="minorEastAsia"/>
          <w:color w:val="auto"/>
          <w:spacing w:val="0"/>
          <w:sz w:val="24"/>
          <w:szCs w:val="24"/>
          <w:highlight w:val="none"/>
          <w:lang w:val="en-US" w:eastAsia="zh-CN"/>
        </w:rPr>
        <w:t>到社会医院就医的患者及时按要求提出出所就医建议，并建立绿色通道，及时对接协调医疗工作，对出所就医的被监管人员提供随车医疗保障。</w:t>
      </w:r>
    </w:p>
    <w:p w14:paraId="45404955">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80" w:firstLineChars="200"/>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lang w:val="en-US" w:eastAsia="zh-CN"/>
        </w:rPr>
        <w:t>1.5健康档案管理</w:t>
      </w:r>
    </w:p>
    <w:p w14:paraId="7C1A81FC">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81"/>
        <w:jc w:val="both"/>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建立并完善</w:t>
      </w:r>
      <w:r>
        <w:rPr>
          <w:rFonts w:hint="eastAsia" w:asciiTheme="minorEastAsia" w:hAnsiTheme="minorEastAsia" w:eastAsiaTheme="minorEastAsia" w:cstheme="minorEastAsia"/>
          <w:color w:val="auto"/>
          <w:spacing w:val="0"/>
          <w:sz w:val="24"/>
          <w:szCs w:val="24"/>
          <w:highlight w:val="none"/>
          <w:lang w:val="en-US" w:eastAsia="zh-CN"/>
        </w:rPr>
        <w:t>被监管人员</w:t>
      </w:r>
      <w:r>
        <w:rPr>
          <w:rFonts w:hint="eastAsia" w:ascii="宋体" w:hAnsi="宋体" w:eastAsia="宋体" w:cs="宋体"/>
          <w:color w:val="auto"/>
          <w:spacing w:val="0"/>
          <w:sz w:val="24"/>
          <w:szCs w:val="24"/>
          <w:highlight w:val="none"/>
          <w:lang w:val="en-US" w:eastAsia="zh-CN"/>
        </w:rPr>
        <w:t>健康</w:t>
      </w:r>
      <w:r>
        <w:rPr>
          <w:rFonts w:hint="eastAsia" w:asciiTheme="minorEastAsia" w:hAnsiTheme="minorEastAsia" w:eastAsiaTheme="minorEastAsia" w:cstheme="minorEastAsia"/>
          <w:color w:val="auto"/>
          <w:spacing w:val="0"/>
          <w:sz w:val="24"/>
          <w:szCs w:val="24"/>
          <w:highlight w:val="none"/>
        </w:rPr>
        <w:t>档案做到“一人一档”，驻所医生每日巡诊、</w:t>
      </w:r>
      <w:r>
        <w:rPr>
          <w:rFonts w:hint="eastAsia" w:asciiTheme="minorEastAsia" w:hAnsiTheme="minorEastAsia" w:eastAsiaTheme="minorEastAsia" w:cstheme="minorEastAsia"/>
          <w:color w:val="auto"/>
          <w:spacing w:val="0"/>
          <w:sz w:val="24"/>
          <w:szCs w:val="24"/>
          <w:highlight w:val="none"/>
          <w:lang w:val="en-US" w:eastAsia="zh-CN"/>
        </w:rPr>
        <w:t>住院</w:t>
      </w:r>
      <w:r>
        <w:rPr>
          <w:rFonts w:hint="eastAsia" w:asciiTheme="minorEastAsia" w:hAnsiTheme="minorEastAsia" w:eastAsiaTheme="minorEastAsia" w:cstheme="minorEastAsia"/>
          <w:color w:val="auto"/>
          <w:spacing w:val="0"/>
          <w:sz w:val="24"/>
          <w:szCs w:val="24"/>
          <w:highlight w:val="none"/>
        </w:rPr>
        <w:t>治疗时开具的处方、病历等医疗文书需及时进行归类妥善保存，以备查。驻所医生书写的病历、处方等材料应当按照卫生行政部门的相关规定、规范书写。每日巡诊、</w:t>
      </w:r>
      <w:r>
        <w:rPr>
          <w:rFonts w:hint="eastAsia" w:asciiTheme="minorEastAsia" w:hAnsiTheme="minorEastAsia" w:eastAsiaTheme="minorEastAsia" w:cstheme="minorEastAsia"/>
          <w:color w:val="auto"/>
          <w:spacing w:val="0"/>
          <w:sz w:val="24"/>
          <w:szCs w:val="24"/>
          <w:highlight w:val="none"/>
          <w:lang w:val="en-US" w:eastAsia="zh-CN"/>
        </w:rPr>
        <w:t>住院治疗</w:t>
      </w:r>
      <w:r>
        <w:rPr>
          <w:rFonts w:hint="eastAsia" w:asciiTheme="minorEastAsia" w:hAnsiTheme="minorEastAsia" w:eastAsiaTheme="minorEastAsia" w:cstheme="minorEastAsia"/>
          <w:color w:val="auto"/>
          <w:spacing w:val="0"/>
          <w:sz w:val="24"/>
          <w:szCs w:val="24"/>
          <w:highlight w:val="none"/>
        </w:rPr>
        <w:t>、出所就医等医疗工作情况，均需同步在</w:t>
      </w:r>
      <w:r>
        <w:rPr>
          <w:rFonts w:hint="eastAsia" w:asciiTheme="minorEastAsia" w:hAnsiTheme="minorEastAsia" w:eastAsiaTheme="minorEastAsia" w:cstheme="minorEastAsia"/>
          <w:color w:val="auto"/>
          <w:spacing w:val="0"/>
          <w:sz w:val="24"/>
          <w:szCs w:val="24"/>
          <w:highlight w:val="none"/>
          <w:lang w:val="en-US" w:eastAsia="zh-CN"/>
        </w:rPr>
        <w:t>公安</w:t>
      </w:r>
      <w:r>
        <w:rPr>
          <w:rFonts w:hint="eastAsia" w:asciiTheme="minorEastAsia" w:hAnsiTheme="minorEastAsia" w:eastAsiaTheme="minorEastAsia" w:cstheme="minorEastAsia"/>
          <w:color w:val="auto"/>
          <w:spacing w:val="0"/>
          <w:sz w:val="24"/>
          <w:szCs w:val="24"/>
          <w:highlight w:val="none"/>
        </w:rPr>
        <w:t>信息系统进行记录，所有记录均应真实、详细。</w:t>
      </w:r>
    </w:p>
    <w:p w14:paraId="5AB15664">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80" w:firstLineChars="200"/>
        <w:textAlignment w:val="baseline"/>
        <w:outlineLvl w:val="9"/>
        <w:rPr>
          <w:rFonts w:hint="eastAsia" w:asciiTheme="minorEastAsia" w:hAnsiTheme="minorEastAsia" w:eastAsiaTheme="minorEastAsia" w:cstheme="minorEastAsia"/>
          <w:b w:val="0"/>
          <w:bCs w:val="0"/>
          <w:color w:val="auto"/>
          <w:spacing w:val="0"/>
          <w:sz w:val="24"/>
          <w:szCs w:val="24"/>
          <w:highlight w:val="none"/>
        </w:rPr>
      </w:pPr>
      <w:r>
        <w:rPr>
          <w:rFonts w:hint="eastAsia" w:asciiTheme="minorEastAsia" w:hAnsiTheme="minorEastAsia" w:eastAsiaTheme="minorEastAsia" w:cstheme="minorEastAsia"/>
          <w:b w:val="0"/>
          <w:bCs w:val="0"/>
          <w:color w:val="auto"/>
          <w:spacing w:val="0"/>
          <w:sz w:val="24"/>
          <w:szCs w:val="24"/>
          <w:highlight w:val="none"/>
          <w:lang w:val="en-US" w:eastAsia="zh-CN"/>
        </w:rPr>
        <w:t>1.6</w:t>
      </w:r>
      <w:r>
        <w:rPr>
          <w:rFonts w:hint="eastAsia" w:asciiTheme="minorEastAsia" w:hAnsiTheme="minorEastAsia" w:eastAsiaTheme="minorEastAsia" w:cstheme="minorEastAsia"/>
          <w:b w:val="0"/>
          <w:bCs w:val="0"/>
          <w:color w:val="auto"/>
          <w:spacing w:val="0"/>
          <w:sz w:val="24"/>
          <w:szCs w:val="24"/>
          <w:highlight w:val="none"/>
        </w:rPr>
        <w:t>药品管理</w:t>
      </w:r>
    </w:p>
    <w:p w14:paraId="43774E78">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76"/>
        <w:textAlignment w:val="baseline"/>
        <w:rPr>
          <w:rFonts w:hint="eastAsia"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rPr>
        <w:t>监管医院内设立药房，</w:t>
      </w:r>
      <w:r>
        <w:rPr>
          <w:rFonts w:hint="eastAsia" w:asciiTheme="minorEastAsia" w:hAnsiTheme="minorEastAsia" w:eastAsiaTheme="minorEastAsia" w:cstheme="minorEastAsia"/>
          <w:color w:val="auto"/>
          <w:spacing w:val="0"/>
          <w:sz w:val="24"/>
          <w:szCs w:val="24"/>
          <w:highlight w:val="none"/>
          <w:lang w:val="en-US" w:eastAsia="zh-CN"/>
        </w:rPr>
        <w:t>合作医院负责</w:t>
      </w:r>
      <w:r>
        <w:rPr>
          <w:rFonts w:hint="eastAsia" w:asciiTheme="minorEastAsia" w:hAnsiTheme="minorEastAsia" w:eastAsiaTheme="minorEastAsia" w:cstheme="minorEastAsia"/>
          <w:color w:val="auto"/>
          <w:spacing w:val="0"/>
          <w:sz w:val="24"/>
          <w:szCs w:val="24"/>
          <w:highlight w:val="none"/>
        </w:rPr>
        <w:t>对药房内的药品、处方等相关内容进行管理。驻所医生开具的药品均由</w:t>
      </w:r>
      <w:r>
        <w:rPr>
          <w:rFonts w:hint="eastAsia" w:asciiTheme="minorEastAsia" w:hAnsiTheme="minorEastAsia" w:eastAsiaTheme="minorEastAsia" w:cstheme="minorEastAsia"/>
          <w:color w:val="auto"/>
          <w:spacing w:val="0"/>
          <w:sz w:val="24"/>
          <w:szCs w:val="24"/>
          <w:highlight w:val="none"/>
          <w:lang w:val="en-US" w:eastAsia="zh-CN"/>
        </w:rPr>
        <w:t>合作医院提供</w:t>
      </w:r>
      <w:r>
        <w:rPr>
          <w:rFonts w:hint="eastAsia" w:asciiTheme="minorEastAsia" w:hAnsiTheme="minorEastAsia" w:eastAsiaTheme="minorEastAsia" w:cstheme="minorEastAsia"/>
          <w:color w:val="auto"/>
          <w:spacing w:val="0"/>
          <w:sz w:val="24"/>
          <w:szCs w:val="24"/>
          <w:highlight w:val="none"/>
        </w:rPr>
        <w:t>，值班人员负责值班期间药品的调配和保管，确保所有药品均在保质期内，切实保障</w:t>
      </w:r>
      <w:r>
        <w:rPr>
          <w:rFonts w:hint="eastAsia" w:asciiTheme="minorEastAsia" w:hAnsiTheme="minorEastAsia" w:eastAsiaTheme="minorEastAsia" w:cstheme="minorEastAsia"/>
          <w:color w:val="auto"/>
          <w:spacing w:val="0"/>
          <w:sz w:val="24"/>
          <w:szCs w:val="24"/>
          <w:highlight w:val="none"/>
          <w:lang w:val="en-US" w:eastAsia="zh-CN"/>
        </w:rPr>
        <w:t>被监管人员</w:t>
      </w:r>
      <w:r>
        <w:rPr>
          <w:rFonts w:hint="eastAsia" w:asciiTheme="minorEastAsia" w:hAnsiTheme="minorEastAsia" w:eastAsiaTheme="minorEastAsia" w:cstheme="minorEastAsia"/>
          <w:color w:val="auto"/>
          <w:spacing w:val="0"/>
          <w:sz w:val="24"/>
          <w:szCs w:val="24"/>
          <w:highlight w:val="none"/>
        </w:rPr>
        <w:t>的用药安全。</w:t>
      </w:r>
    </w:p>
    <w:p w14:paraId="3A4975CE">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80" w:firstLineChars="200"/>
        <w:textAlignment w:val="baseline"/>
        <w:outlineLvl w:val="9"/>
        <w:rPr>
          <w:rFonts w:hint="eastAsia" w:asciiTheme="minorEastAsia" w:hAnsiTheme="minorEastAsia" w:eastAsiaTheme="minorEastAsia" w:cstheme="minorEastAsia"/>
          <w:b w:val="0"/>
          <w:bCs w:val="0"/>
          <w:color w:val="auto"/>
          <w:spacing w:val="0"/>
          <w:sz w:val="24"/>
          <w:szCs w:val="24"/>
          <w:highlight w:val="none"/>
        </w:rPr>
      </w:pPr>
      <w:r>
        <w:rPr>
          <w:rFonts w:hint="eastAsia" w:asciiTheme="minorEastAsia" w:hAnsiTheme="minorEastAsia" w:eastAsiaTheme="minorEastAsia" w:cstheme="minorEastAsia"/>
          <w:b w:val="0"/>
          <w:bCs w:val="0"/>
          <w:color w:val="auto"/>
          <w:spacing w:val="0"/>
          <w:sz w:val="24"/>
          <w:szCs w:val="24"/>
          <w:highlight w:val="none"/>
          <w:lang w:val="en-US" w:eastAsia="zh-CN"/>
        </w:rPr>
        <w:t>1.7</w:t>
      </w:r>
      <w:r>
        <w:rPr>
          <w:rFonts w:hint="eastAsia" w:asciiTheme="minorEastAsia" w:hAnsiTheme="minorEastAsia" w:eastAsiaTheme="minorEastAsia" w:cstheme="minorEastAsia"/>
          <w:b w:val="0"/>
          <w:bCs w:val="0"/>
          <w:color w:val="auto"/>
          <w:spacing w:val="0"/>
          <w:sz w:val="24"/>
          <w:szCs w:val="24"/>
          <w:highlight w:val="none"/>
        </w:rPr>
        <w:t>其他相关要求</w:t>
      </w:r>
    </w:p>
    <w:p w14:paraId="692A020B">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80" w:firstLineChars="200"/>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lang w:val="en-US" w:eastAsia="zh-CN"/>
        </w:rPr>
        <w:t>1.7.1</w:t>
      </w:r>
      <w:r>
        <w:rPr>
          <w:rFonts w:hint="eastAsia" w:asciiTheme="minorEastAsia" w:hAnsiTheme="minorEastAsia" w:eastAsiaTheme="minorEastAsia" w:cstheme="minorEastAsia"/>
          <w:color w:val="auto"/>
          <w:spacing w:val="0"/>
          <w:sz w:val="24"/>
          <w:szCs w:val="24"/>
          <w:highlight w:val="none"/>
        </w:rPr>
        <w:t>根据公安监管场所实际需求，派相应科室专家</w:t>
      </w:r>
      <w:r>
        <w:rPr>
          <w:rFonts w:hint="eastAsia" w:asciiTheme="minorEastAsia" w:hAnsiTheme="minorEastAsia" w:eastAsia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pacing w:val="0"/>
          <w:sz w:val="24"/>
          <w:szCs w:val="24"/>
          <w:highlight w:val="none"/>
        </w:rPr>
        <w:t>副主任医师及以上</w:t>
      </w:r>
      <w:r>
        <w:rPr>
          <w:rFonts w:hint="eastAsia" w:asciiTheme="minorEastAsia" w:hAnsiTheme="minorEastAsia" w:eastAsia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pacing w:val="0"/>
          <w:sz w:val="24"/>
          <w:szCs w:val="24"/>
          <w:highlight w:val="none"/>
        </w:rPr>
        <w:t>到公安监管场所进行会诊和专业指导。</w:t>
      </w:r>
      <w:r>
        <w:rPr>
          <w:rFonts w:hint="eastAsia" w:asciiTheme="minorEastAsia" w:hAnsiTheme="minorEastAsia" w:eastAsiaTheme="minorEastAsia" w:cstheme="minorEastAsia"/>
          <w:color w:val="auto"/>
          <w:spacing w:val="0"/>
          <w:sz w:val="24"/>
          <w:szCs w:val="24"/>
          <w:highlight w:val="none"/>
          <w:lang w:val="en-US" w:eastAsia="zh-CN"/>
        </w:rPr>
        <w:t>合作医院</w:t>
      </w:r>
      <w:r>
        <w:rPr>
          <w:rFonts w:hint="eastAsia" w:asciiTheme="minorEastAsia" w:hAnsiTheme="minorEastAsia" w:eastAsiaTheme="minorEastAsia" w:cstheme="minorEastAsia"/>
          <w:color w:val="auto"/>
          <w:spacing w:val="0"/>
          <w:sz w:val="24"/>
          <w:szCs w:val="24"/>
          <w:highlight w:val="none"/>
        </w:rPr>
        <w:t>应做好传染病的预防、诊疗、指导、处置工作。</w:t>
      </w:r>
    </w:p>
    <w:p w14:paraId="75CE083E">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80" w:firstLineChars="200"/>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lang w:val="en-US" w:eastAsia="zh-CN"/>
        </w:rPr>
        <w:t>1.7.2合作医院</w:t>
      </w:r>
      <w:r>
        <w:rPr>
          <w:rFonts w:hint="eastAsia" w:asciiTheme="minorEastAsia" w:hAnsiTheme="minorEastAsia" w:eastAsiaTheme="minorEastAsia" w:cstheme="minorEastAsia"/>
          <w:color w:val="auto"/>
          <w:spacing w:val="0"/>
          <w:sz w:val="24"/>
          <w:szCs w:val="24"/>
          <w:highlight w:val="none"/>
        </w:rPr>
        <w:t>应在</w:t>
      </w:r>
      <w:r>
        <w:rPr>
          <w:rFonts w:hint="eastAsia" w:asciiTheme="minorEastAsia" w:hAnsiTheme="minorEastAsia" w:eastAsiaTheme="minorEastAsia" w:cstheme="minorEastAsia"/>
          <w:color w:val="auto"/>
          <w:spacing w:val="0"/>
          <w:sz w:val="24"/>
          <w:szCs w:val="24"/>
          <w:highlight w:val="none"/>
          <w:lang w:val="en-US" w:eastAsia="zh-CN"/>
        </w:rPr>
        <w:t>院</w:t>
      </w:r>
      <w:r>
        <w:rPr>
          <w:rFonts w:hint="eastAsia" w:asciiTheme="minorEastAsia" w:hAnsiTheme="minorEastAsia" w:eastAsiaTheme="minorEastAsia" w:cstheme="minorEastAsia"/>
          <w:color w:val="auto"/>
          <w:spacing w:val="0"/>
          <w:sz w:val="24"/>
          <w:szCs w:val="24"/>
          <w:highlight w:val="none"/>
        </w:rPr>
        <w:t>本部提供至少</w:t>
      </w:r>
      <w:r>
        <w:rPr>
          <w:rFonts w:hint="eastAsia" w:asciiTheme="minorEastAsia" w:hAnsiTheme="minorEastAsia" w:eastAsiaTheme="minorEastAsia" w:cstheme="minorEastAsia"/>
          <w:color w:val="auto"/>
          <w:spacing w:val="0"/>
          <w:sz w:val="24"/>
          <w:szCs w:val="24"/>
          <w:highlight w:val="none"/>
          <w:lang w:val="en-US" w:eastAsia="zh-CN"/>
        </w:rPr>
        <w:t>2</w:t>
      </w:r>
      <w:r>
        <w:rPr>
          <w:rFonts w:hint="eastAsia" w:asciiTheme="minorEastAsia" w:hAnsiTheme="minorEastAsia" w:eastAsiaTheme="minorEastAsia" w:cstheme="minorEastAsia"/>
          <w:color w:val="auto"/>
          <w:spacing w:val="0"/>
          <w:sz w:val="24"/>
          <w:szCs w:val="24"/>
          <w:highlight w:val="none"/>
        </w:rPr>
        <w:t>间病房作为公安监管场所的</w:t>
      </w:r>
      <w:r>
        <w:rPr>
          <w:rFonts w:hint="eastAsia" w:asciiTheme="minorEastAsia" w:hAnsiTheme="minorEastAsia" w:eastAsiaTheme="minorEastAsia" w:cstheme="minorEastAsia"/>
          <w:color w:val="auto"/>
          <w:spacing w:val="0"/>
          <w:sz w:val="24"/>
          <w:szCs w:val="24"/>
          <w:highlight w:val="none"/>
          <w:lang w:val="en-US" w:eastAsia="zh-CN"/>
        </w:rPr>
        <w:t>出所就医</w:t>
      </w:r>
      <w:r>
        <w:rPr>
          <w:rFonts w:hint="eastAsia" w:asciiTheme="minorEastAsia" w:hAnsiTheme="minorEastAsia" w:eastAsiaTheme="minorEastAsia" w:cstheme="minorEastAsia"/>
          <w:color w:val="auto"/>
          <w:spacing w:val="0"/>
          <w:sz w:val="24"/>
          <w:szCs w:val="24"/>
          <w:highlight w:val="none"/>
        </w:rPr>
        <w:t>监管病房，监管病房由</w:t>
      </w:r>
      <w:r>
        <w:rPr>
          <w:rFonts w:hint="eastAsia" w:asciiTheme="minorEastAsia" w:hAnsiTheme="minorEastAsia" w:eastAsiaTheme="minorEastAsia" w:cstheme="minorEastAsia"/>
          <w:color w:val="auto"/>
          <w:spacing w:val="0"/>
          <w:sz w:val="24"/>
          <w:szCs w:val="24"/>
          <w:highlight w:val="none"/>
          <w:lang w:val="en-US" w:eastAsia="zh-CN"/>
        </w:rPr>
        <w:t>合作医院</w:t>
      </w:r>
      <w:r>
        <w:rPr>
          <w:rFonts w:hint="eastAsia" w:asciiTheme="minorEastAsia" w:hAnsiTheme="minorEastAsia" w:eastAsiaTheme="minorEastAsia" w:cstheme="minorEastAsia"/>
          <w:color w:val="auto"/>
          <w:spacing w:val="0"/>
          <w:sz w:val="24"/>
          <w:szCs w:val="24"/>
          <w:highlight w:val="none"/>
        </w:rPr>
        <w:t>负责安全改造和监控弱电安装联通，由</w:t>
      </w:r>
      <w:r>
        <w:rPr>
          <w:rFonts w:hint="eastAsia" w:asciiTheme="minorEastAsia" w:hAnsiTheme="minorEastAsia" w:eastAsiaTheme="minorEastAsia" w:cstheme="minorEastAsia"/>
          <w:color w:val="auto"/>
          <w:spacing w:val="0"/>
          <w:sz w:val="24"/>
          <w:szCs w:val="24"/>
          <w:highlight w:val="none"/>
          <w:lang w:eastAsia="zh-CN"/>
        </w:rPr>
        <w:t>采购人</w:t>
      </w:r>
      <w:r>
        <w:rPr>
          <w:rFonts w:hint="eastAsia" w:asciiTheme="minorEastAsia" w:hAnsiTheme="minorEastAsia" w:eastAsiaTheme="minorEastAsia" w:cstheme="minorEastAsia"/>
          <w:color w:val="auto"/>
          <w:spacing w:val="0"/>
          <w:sz w:val="24"/>
          <w:szCs w:val="24"/>
          <w:highlight w:val="none"/>
        </w:rPr>
        <w:t>负责提供技术参数和方案，并负责安全改造完成后的验收。监管病房用于收治公安监管场所病情复杂危重、诊断不明或手术治疗等需要到院本部住院治疗的被监管人员。</w:t>
      </w:r>
    </w:p>
    <w:p w14:paraId="5D313B60">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80" w:firstLineChars="200"/>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lang w:val="en-US" w:eastAsia="zh-CN"/>
        </w:rPr>
        <w:t>1.7.3</w:t>
      </w:r>
      <w:r>
        <w:rPr>
          <w:rFonts w:hint="eastAsia" w:asciiTheme="minorEastAsia" w:hAnsiTheme="minorEastAsia" w:eastAsiaTheme="minorEastAsia" w:cstheme="minorEastAsia"/>
          <w:color w:val="auto"/>
          <w:spacing w:val="0"/>
          <w:sz w:val="24"/>
          <w:szCs w:val="24"/>
          <w:highlight w:val="none"/>
        </w:rPr>
        <w:t>需要出具医学鉴定或者处理医疗纠纷时，</w:t>
      </w:r>
      <w:r>
        <w:rPr>
          <w:rFonts w:hint="eastAsia" w:asciiTheme="minorEastAsia" w:hAnsiTheme="minorEastAsia" w:eastAsiaTheme="minorEastAsia" w:cstheme="minorEastAsia"/>
          <w:color w:val="auto"/>
          <w:spacing w:val="0"/>
          <w:sz w:val="24"/>
          <w:szCs w:val="24"/>
          <w:highlight w:val="none"/>
          <w:lang w:val="en-US" w:eastAsia="zh-CN"/>
        </w:rPr>
        <w:t>合作医院</w:t>
      </w:r>
      <w:r>
        <w:rPr>
          <w:rFonts w:hint="eastAsia" w:asciiTheme="minorEastAsia" w:hAnsiTheme="minorEastAsia" w:eastAsiaTheme="minorEastAsia" w:cstheme="minorEastAsia"/>
          <w:color w:val="auto"/>
          <w:spacing w:val="0"/>
          <w:sz w:val="24"/>
          <w:szCs w:val="24"/>
          <w:highlight w:val="none"/>
        </w:rPr>
        <w:t>应本着“合法、快速、准确”的原则无条件配合公安监管部门处理相关事宜</w:t>
      </w:r>
      <w:r>
        <w:rPr>
          <w:rFonts w:hint="eastAsia" w:asciiTheme="minorEastAsia" w:hAnsiTheme="minorEastAsia" w:eastAsia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pacing w:val="0"/>
          <w:sz w:val="24"/>
          <w:szCs w:val="24"/>
          <w:highlight w:val="none"/>
        </w:rPr>
        <w:t>包括医学鉴定、伤情鉴定、精神病鉴定、医疗事故鉴定等</w:t>
      </w:r>
      <w:r>
        <w:rPr>
          <w:rFonts w:hint="eastAsia" w:asciiTheme="minorEastAsia" w:hAnsiTheme="minorEastAsia" w:eastAsia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pacing w:val="0"/>
          <w:sz w:val="24"/>
          <w:szCs w:val="24"/>
          <w:highlight w:val="none"/>
        </w:rPr>
        <w:t>。</w:t>
      </w:r>
    </w:p>
    <w:p w14:paraId="18A8169D">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83"/>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lang w:val="en-US" w:eastAsia="zh-CN"/>
        </w:rPr>
        <w:t>1.7.4合作医院</w:t>
      </w:r>
      <w:r>
        <w:rPr>
          <w:rFonts w:hint="eastAsia" w:asciiTheme="minorEastAsia" w:hAnsiTheme="minorEastAsia" w:eastAsiaTheme="minorEastAsia" w:cstheme="minorEastAsia"/>
          <w:color w:val="auto"/>
          <w:spacing w:val="0"/>
          <w:sz w:val="24"/>
          <w:szCs w:val="24"/>
          <w:highlight w:val="none"/>
        </w:rPr>
        <w:t>必须按照劳动部门的相关规定规范用工，与员工签订劳动合同，如因</w:t>
      </w:r>
      <w:r>
        <w:rPr>
          <w:rFonts w:hint="eastAsia" w:asciiTheme="minorEastAsia" w:hAnsiTheme="minorEastAsia" w:eastAsiaTheme="minorEastAsia" w:cstheme="minorEastAsia"/>
          <w:color w:val="auto"/>
          <w:spacing w:val="0"/>
          <w:sz w:val="24"/>
          <w:szCs w:val="24"/>
          <w:highlight w:val="none"/>
          <w:lang w:val="en-US" w:eastAsia="zh-CN"/>
        </w:rPr>
        <w:t>合作医院</w:t>
      </w:r>
      <w:r>
        <w:rPr>
          <w:rFonts w:hint="eastAsia" w:asciiTheme="minorEastAsia" w:hAnsiTheme="minorEastAsia" w:eastAsiaTheme="minorEastAsia" w:cstheme="minorEastAsia"/>
          <w:color w:val="auto"/>
          <w:spacing w:val="0"/>
          <w:sz w:val="24"/>
          <w:szCs w:val="24"/>
          <w:highlight w:val="none"/>
        </w:rPr>
        <w:t>原因发生的劳资纠纷与采购人无关。</w:t>
      </w:r>
    </w:p>
    <w:p w14:paraId="02D1CC56">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83"/>
        <w:textAlignment w:val="baseline"/>
        <w:rPr>
          <w:rFonts w:hint="default"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1.7.5派驻的医护人员要经过严格的政治审查，进入监管中心前进行健康体检、岗前培训，遵守监管中心的规章制度。所有人员要持证上岗，人员名单需经采购人审定，采购人同意后才可上岗，原则上</w:t>
      </w:r>
      <w:r>
        <w:rPr>
          <w:rFonts w:hint="eastAsia" w:asciiTheme="minorEastAsia" w:hAnsiTheme="minorEastAsia" w:eastAsiaTheme="minorEastAsia" w:cstheme="minorEastAsia"/>
          <w:color w:val="auto"/>
          <w:spacing w:val="0"/>
          <w:sz w:val="24"/>
          <w:szCs w:val="24"/>
          <w:highlight w:val="none"/>
          <w:lang w:val="en-US" w:eastAsia="zh-CN"/>
        </w:rPr>
        <w:t>半年内</w:t>
      </w:r>
      <w:r>
        <w:rPr>
          <w:rFonts w:hint="eastAsia" w:asciiTheme="minorEastAsia" w:hAnsiTheme="minorEastAsia" w:eastAsiaTheme="minorEastAsia" w:cstheme="minorEastAsia"/>
          <w:color w:val="auto"/>
          <w:spacing w:val="0"/>
          <w:sz w:val="24"/>
          <w:szCs w:val="24"/>
          <w:highlight w:val="none"/>
          <w:lang w:val="en-US" w:eastAsia="zh-CN"/>
        </w:rPr>
        <w:t>不得替换。采购人有权提出更换不能胜任工作要求或严重违反采购人的相关法律法规及管理规定的医护人员，合作医院应无条件接受采购人的要求，并在三天内予以更换。</w:t>
      </w:r>
    </w:p>
    <w:p w14:paraId="031D5824">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83"/>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lang w:val="en-US" w:eastAsia="zh-CN"/>
        </w:rPr>
        <w:t>1.7.6合作医院</w:t>
      </w:r>
      <w:r>
        <w:rPr>
          <w:rFonts w:hint="eastAsia" w:asciiTheme="minorEastAsia" w:hAnsiTheme="minorEastAsia" w:eastAsiaTheme="minorEastAsia" w:cstheme="minorEastAsia"/>
          <w:color w:val="auto"/>
          <w:spacing w:val="0"/>
          <w:sz w:val="24"/>
          <w:szCs w:val="24"/>
          <w:highlight w:val="none"/>
        </w:rPr>
        <w:t>须与采购人签订保密协议；所派驻的医护人员须与</w:t>
      </w:r>
      <w:r>
        <w:rPr>
          <w:rFonts w:hint="eastAsia" w:asciiTheme="minorEastAsia" w:hAnsiTheme="minorEastAsia" w:eastAsiaTheme="minorEastAsia" w:cstheme="minorEastAsia"/>
          <w:color w:val="auto"/>
          <w:spacing w:val="0"/>
          <w:sz w:val="24"/>
          <w:szCs w:val="24"/>
          <w:highlight w:val="none"/>
          <w:lang w:val="en-US" w:eastAsia="zh-CN"/>
        </w:rPr>
        <w:t>合作医院</w:t>
      </w:r>
      <w:r>
        <w:rPr>
          <w:rFonts w:hint="eastAsia" w:asciiTheme="minorEastAsia" w:hAnsiTheme="minorEastAsia" w:eastAsiaTheme="minorEastAsia" w:cstheme="minorEastAsia"/>
          <w:color w:val="auto"/>
          <w:spacing w:val="0"/>
          <w:sz w:val="24"/>
          <w:szCs w:val="24"/>
          <w:highlight w:val="none"/>
        </w:rPr>
        <w:t>签订为采购人保密的承诺书，</w:t>
      </w:r>
      <w:r>
        <w:rPr>
          <w:rFonts w:hint="eastAsia" w:asciiTheme="minorEastAsia" w:hAnsiTheme="minorEastAsia" w:eastAsiaTheme="minorEastAsia" w:cstheme="minorEastAsia"/>
          <w:color w:val="auto"/>
          <w:spacing w:val="0"/>
          <w:sz w:val="24"/>
          <w:szCs w:val="24"/>
          <w:highlight w:val="none"/>
          <w:lang w:val="en-US" w:eastAsia="zh-CN"/>
        </w:rPr>
        <w:t>合作医院</w:t>
      </w:r>
      <w:r>
        <w:rPr>
          <w:rFonts w:hint="eastAsia" w:asciiTheme="minorEastAsia" w:hAnsiTheme="minorEastAsia" w:eastAsiaTheme="minorEastAsia" w:cstheme="minorEastAsia"/>
          <w:color w:val="auto"/>
          <w:spacing w:val="0"/>
          <w:sz w:val="24"/>
          <w:szCs w:val="24"/>
          <w:highlight w:val="none"/>
        </w:rPr>
        <w:t>需将保密承诺书交给采购人备案；</w:t>
      </w:r>
      <w:r>
        <w:rPr>
          <w:rFonts w:hint="eastAsia" w:asciiTheme="minorEastAsia" w:hAnsiTheme="minorEastAsia" w:eastAsiaTheme="minorEastAsia" w:cstheme="minorEastAsia"/>
          <w:color w:val="auto"/>
          <w:spacing w:val="0"/>
          <w:sz w:val="24"/>
          <w:szCs w:val="24"/>
          <w:highlight w:val="none"/>
          <w:lang w:val="en-US" w:eastAsia="zh-CN"/>
        </w:rPr>
        <w:t>合作医院</w:t>
      </w:r>
      <w:r>
        <w:rPr>
          <w:rFonts w:hint="eastAsia" w:asciiTheme="minorEastAsia" w:hAnsiTheme="minorEastAsia" w:eastAsiaTheme="minorEastAsia" w:cstheme="minorEastAsia"/>
          <w:color w:val="auto"/>
          <w:spacing w:val="0"/>
          <w:sz w:val="24"/>
          <w:szCs w:val="24"/>
          <w:highlight w:val="none"/>
        </w:rPr>
        <w:t>确保所派驻的医护人员保守采购人所有相关的秘密，严禁泄露给无关的第三</w:t>
      </w:r>
      <w:r>
        <w:rPr>
          <w:rFonts w:hint="eastAsia" w:asciiTheme="minorEastAsia" w:hAnsiTheme="minorEastAsia" w:eastAsiaTheme="minorEastAsia" w:cstheme="minorEastAsia"/>
          <w:color w:val="auto"/>
          <w:spacing w:val="0"/>
          <w:sz w:val="24"/>
          <w:szCs w:val="24"/>
          <w:highlight w:val="none"/>
          <w:lang w:val="en-US" w:eastAsia="zh-CN"/>
        </w:rPr>
        <w:t>方</w:t>
      </w:r>
      <w:r>
        <w:rPr>
          <w:rFonts w:hint="eastAsia" w:asciiTheme="minorEastAsia" w:hAnsiTheme="minorEastAsia" w:eastAsiaTheme="minorEastAsia" w:cstheme="minorEastAsia"/>
          <w:color w:val="auto"/>
          <w:spacing w:val="0"/>
          <w:sz w:val="24"/>
          <w:szCs w:val="24"/>
          <w:highlight w:val="none"/>
        </w:rPr>
        <w:t>。因</w:t>
      </w:r>
      <w:r>
        <w:rPr>
          <w:rFonts w:hint="eastAsia" w:asciiTheme="minorEastAsia" w:hAnsiTheme="minorEastAsia" w:eastAsiaTheme="minorEastAsia" w:cstheme="minorEastAsia"/>
          <w:color w:val="auto"/>
          <w:spacing w:val="0"/>
          <w:sz w:val="24"/>
          <w:szCs w:val="24"/>
          <w:highlight w:val="none"/>
          <w:lang w:val="en-US" w:eastAsia="zh-CN"/>
        </w:rPr>
        <w:t>合作医院</w:t>
      </w:r>
      <w:r>
        <w:rPr>
          <w:rFonts w:hint="eastAsia" w:asciiTheme="minorEastAsia" w:hAnsiTheme="minorEastAsia" w:eastAsiaTheme="minorEastAsia" w:cstheme="minorEastAsia"/>
          <w:color w:val="auto"/>
          <w:spacing w:val="0"/>
          <w:sz w:val="24"/>
          <w:szCs w:val="24"/>
          <w:highlight w:val="none"/>
        </w:rPr>
        <w:t>保密履责不到位，造成不良影响和</w:t>
      </w:r>
      <w:r>
        <w:rPr>
          <w:rFonts w:hint="eastAsia" w:asciiTheme="minorEastAsia" w:hAnsiTheme="minorEastAsia" w:eastAsiaTheme="minorEastAsia" w:cstheme="minorEastAsia"/>
          <w:color w:val="auto"/>
          <w:spacing w:val="0"/>
          <w:sz w:val="24"/>
          <w:szCs w:val="24"/>
          <w:highlight w:val="none"/>
          <w:lang w:val="en-US" w:eastAsia="zh-CN"/>
        </w:rPr>
        <w:t>后果</w:t>
      </w:r>
      <w:r>
        <w:rPr>
          <w:rFonts w:hint="eastAsia" w:asciiTheme="minorEastAsia" w:hAnsiTheme="minorEastAsia" w:eastAsiaTheme="minorEastAsia" w:cstheme="minorEastAsia"/>
          <w:color w:val="auto"/>
          <w:spacing w:val="0"/>
          <w:sz w:val="24"/>
          <w:szCs w:val="24"/>
          <w:highlight w:val="none"/>
        </w:rPr>
        <w:t>的，采购人有权即时终止合同并追究</w:t>
      </w:r>
      <w:r>
        <w:rPr>
          <w:rFonts w:hint="eastAsia" w:asciiTheme="minorEastAsia" w:hAnsiTheme="minorEastAsia" w:eastAsiaTheme="minorEastAsia" w:cstheme="minorEastAsia"/>
          <w:color w:val="auto"/>
          <w:spacing w:val="0"/>
          <w:sz w:val="24"/>
          <w:szCs w:val="24"/>
          <w:highlight w:val="none"/>
          <w:lang w:val="en-US" w:eastAsia="zh-CN"/>
        </w:rPr>
        <w:t>合作医院相关</w:t>
      </w:r>
      <w:r>
        <w:rPr>
          <w:rFonts w:hint="eastAsia" w:asciiTheme="minorEastAsia" w:hAnsiTheme="minorEastAsia" w:eastAsiaTheme="minorEastAsia" w:cstheme="minorEastAsia"/>
          <w:color w:val="auto"/>
          <w:spacing w:val="0"/>
          <w:sz w:val="24"/>
          <w:szCs w:val="24"/>
          <w:highlight w:val="none"/>
        </w:rPr>
        <w:t>法律责任。</w:t>
      </w:r>
    </w:p>
    <w:p w14:paraId="04E80F32">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93"/>
        <w:textAlignment w:val="baseline"/>
        <w:outlineLvl w:val="9"/>
        <w:rPr>
          <w:rFonts w:hint="eastAsia" w:asciiTheme="minorEastAsia" w:hAnsiTheme="minorEastAsia" w:eastAsiaTheme="minorEastAsia" w:cstheme="minorEastAsia"/>
          <w:b/>
          <w:bCs/>
          <w:color w:val="auto"/>
          <w:spacing w:val="0"/>
          <w:sz w:val="24"/>
          <w:szCs w:val="24"/>
          <w:highlight w:val="none"/>
          <w:lang w:val="en-US" w:eastAsia="zh-CN"/>
        </w:rPr>
      </w:pPr>
    </w:p>
    <w:p w14:paraId="0E090C46">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93"/>
        <w:textAlignment w:val="baseline"/>
        <w:outlineLvl w:val="9"/>
        <w:rPr>
          <w:rFonts w:hint="eastAsia" w:asciiTheme="minorEastAsia" w:hAnsiTheme="minorEastAsia" w:eastAsiaTheme="minorEastAsia" w:cstheme="minorEastAsia"/>
          <w:b/>
          <w:bCs/>
          <w:color w:val="auto"/>
          <w:spacing w:val="0"/>
          <w:sz w:val="24"/>
          <w:szCs w:val="24"/>
          <w:highlight w:val="none"/>
        </w:rPr>
      </w:pPr>
      <w:r>
        <w:rPr>
          <w:rFonts w:hint="eastAsia" w:asciiTheme="minorEastAsia" w:hAnsiTheme="minorEastAsia" w:eastAsiaTheme="minorEastAsia" w:cstheme="minorEastAsia"/>
          <w:b/>
          <w:bCs/>
          <w:color w:val="auto"/>
          <w:spacing w:val="0"/>
          <w:sz w:val="24"/>
          <w:szCs w:val="24"/>
          <w:highlight w:val="none"/>
          <w:lang w:val="en-US" w:eastAsia="zh-CN"/>
        </w:rPr>
        <w:t>2.</w:t>
      </w:r>
      <w:r>
        <w:rPr>
          <w:rFonts w:hint="eastAsia" w:asciiTheme="minorEastAsia" w:hAnsiTheme="minorEastAsia" w:eastAsiaTheme="minorEastAsia" w:cstheme="minorEastAsia"/>
          <w:b/>
          <w:bCs/>
          <w:color w:val="auto"/>
          <w:spacing w:val="0"/>
          <w:sz w:val="24"/>
          <w:szCs w:val="24"/>
          <w:highlight w:val="none"/>
        </w:rPr>
        <w:t>医护岗位设置及要求</w:t>
      </w:r>
      <w:bookmarkEnd w:id="15"/>
    </w:p>
    <w:p w14:paraId="37910411">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80" w:firstLineChars="200"/>
        <w:jc w:val="both"/>
        <w:textAlignment w:val="baseline"/>
        <w:rPr>
          <w:rFonts w:hint="default" w:eastAsia="宋体" w:asciiTheme="minorEastAsia" w:hAnsi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rPr>
        <w:t>根据</w:t>
      </w:r>
      <w:r>
        <w:rPr>
          <w:rFonts w:hint="eastAsia" w:asciiTheme="minorEastAsia" w:hAnsiTheme="minorEastAsia" w:eastAsiaTheme="minorEastAsia" w:cstheme="minorEastAsia"/>
          <w:color w:val="auto"/>
          <w:spacing w:val="0"/>
          <w:sz w:val="24"/>
          <w:szCs w:val="24"/>
          <w:highlight w:val="none"/>
          <w:lang w:val="en-US" w:eastAsia="zh-CN"/>
        </w:rPr>
        <w:t>前一年运行数据</w:t>
      </w:r>
      <w:r>
        <w:rPr>
          <w:rFonts w:hint="eastAsia" w:asciiTheme="minorEastAsia" w:hAnsiTheme="minorEastAsia" w:eastAsiaTheme="minorEastAsia" w:cstheme="minorEastAsia"/>
          <w:color w:val="auto"/>
          <w:spacing w:val="0"/>
          <w:sz w:val="24"/>
          <w:szCs w:val="24"/>
          <w:highlight w:val="none"/>
        </w:rPr>
        <w:t>，需要完成每年约5</w:t>
      </w:r>
      <w:r>
        <w:rPr>
          <w:rFonts w:hint="eastAsia" w:asciiTheme="minorEastAsia" w:hAnsiTheme="minorEastAsia" w:eastAsiaTheme="minorEastAsia" w:cstheme="minorEastAsia"/>
          <w:color w:val="auto"/>
          <w:spacing w:val="0"/>
          <w:sz w:val="24"/>
          <w:szCs w:val="24"/>
          <w:highlight w:val="none"/>
          <w:lang w:val="en-US" w:eastAsia="zh-CN"/>
        </w:rPr>
        <w:t>500</w:t>
      </w:r>
      <w:r>
        <w:rPr>
          <w:rFonts w:hint="eastAsia" w:asciiTheme="minorEastAsia" w:hAnsiTheme="minorEastAsia" w:eastAsiaTheme="minorEastAsia" w:cstheme="minorEastAsia"/>
          <w:color w:val="auto"/>
          <w:spacing w:val="0"/>
          <w:sz w:val="24"/>
          <w:szCs w:val="24"/>
          <w:highlight w:val="none"/>
        </w:rPr>
        <w:t>人</w:t>
      </w:r>
      <w:r>
        <w:rPr>
          <w:rFonts w:hint="eastAsia" w:asciiTheme="minorEastAsia" w:hAnsiTheme="minorEastAsia" w:eastAsiaTheme="minorEastAsia" w:cstheme="minorEastAsia"/>
          <w:color w:val="auto"/>
          <w:spacing w:val="0"/>
          <w:sz w:val="24"/>
          <w:szCs w:val="24"/>
          <w:highlight w:val="none"/>
          <w:lang w:eastAsia="zh-CN"/>
        </w:rPr>
        <w:t>的</w:t>
      </w:r>
      <w:r>
        <w:rPr>
          <w:rFonts w:hint="eastAsia" w:asciiTheme="minorEastAsia" w:hAnsiTheme="minorEastAsia" w:eastAsiaTheme="minorEastAsia" w:cstheme="minorEastAsia"/>
          <w:color w:val="auto"/>
          <w:spacing w:val="0"/>
          <w:sz w:val="24"/>
          <w:szCs w:val="24"/>
          <w:highlight w:val="none"/>
        </w:rPr>
        <w:t>入所体检</w:t>
      </w:r>
      <w:r>
        <w:rPr>
          <w:rFonts w:hint="eastAsia" w:asciiTheme="minorEastAsia" w:hAnsiTheme="minorEastAsia" w:eastAsia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pacing w:val="0"/>
          <w:sz w:val="24"/>
          <w:szCs w:val="24"/>
          <w:highlight w:val="none"/>
          <w:lang w:val="en-US" w:eastAsia="zh-CN"/>
        </w:rPr>
        <w:t>每年约150名</w:t>
      </w:r>
      <w:bookmarkStart w:id="21" w:name="_GoBack"/>
      <w:bookmarkEnd w:id="21"/>
      <w:r>
        <w:rPr>
          <w:rFonts w:hint="eastAsia" w:asciiTheme="minorEastAsia" w:hAnsiTheme="minorEastAsia" w:eastAsiaTheme="minorEastAsia" w:cstheme="minorEastAsia"/>
          <w:color w:val="auto"/>
          <w:spacing w:val="0"/>
          <w:sz w:val="24"/>
          <w:szCs w:val="24"/>
          <w:highlight w:val="none"/>
          <w:lang w:val="en-US" w:eastAsia="zh-CN"/>
        </w:rPr>
        <w:t>在押（拘）人员的住院治疗，</w:t>
      </w:r>
      <w:r>
        <w:rPr>
          <w:rFonts w:hint="eastAsia" w:asciiTheme="minorEastAsia" w:hAnsiTheme="minorEastAsia" w:eastAsiaTheme="minorEastAsia" w:cstheme="minorEastAsia"/>
          <w:color w:val="auto"/>
          <w:spacing w:val="0"/>
          <w:sz w:val="24"/>
          <w:szCs w:val="24"/>
          <w:highlight w:val="none"/>
        </w:rPr>
        <w:t>每</w:t>
      </w:r>
      <w:r>
        <w:rPr>
          <w:rFonts w:hint="eastAsia" w:asciiTheme="minorEastAsia" w:hAnsiTheme="minorEastAsia" w:eastAsiaTheme="minorEastAsia" w:cstheme="minorEastAsia"/>
          <w:color w:val="auto"/>
          <w:spacing w:val="0"/>
          <w:sz w:val="24"/>
          <w:szCs w:val="24"/>
          <w:highlight w:val="none"/>
          <w:lang w:val="en-US" w:eastAsia="zh-CN"/>
        </w:rPr>
        <w:t>日</w:t>
      </w:r>
      <w:r>
        <w:rPr>
          <w:rFonts w:hint="eastAsia" w:asciiTheme="minorEastAsia" w:hAnsiTheme="minorEastAsia" w:eastAsiaTheme="minorEastAsia" w:cstheme="minorEastAsia"/>
          <w:color w:val="auto"/>
          <w:spacing w:val="0"/>
          <w:sz w:val="24"/>
          <w:szCs w:val="24"/>
          <w:highlight w:val="none"/>
        </w:rPr>
        <w:t>约</w:t>
      </w:r>
      <w:r>
        <w:rPr>
          <w:rFonts w:hint="eastAsia" w:asciiTheme="minorEastAsia" w:hAnsiTheme="minorEastAsia" w:eastAsiaTheme="minorEastAsia" w:cstheme="minorEastAsia"/>
          <w:color w:val="auto"/>
          <w:spacing w:val="0"/>
          <w:sz w:val="24"/>
          <w:szCs w:val="24"/>
          <w:highlight w:val="none"/>
          <w:lang w:val="en-US" w:eastAsia="zh-CN"/>
        </w:rPr>
        <w:t>7</w:t>
      </w:r>
      <w:r>
        <w:rPr>
          <w:rFonts w:hint="eastAsia" w:asciiTheme="minorEastAsia" w:hAnsiTheme="minorEastAsia" w:eastAsiaTheme="minorEastAsia" w:cstheme="minorEastAsia"/>
          <w:color w:val="auto"/>
          <w:spacing w:val="0"/>
          <w:sz w:val="24"/>
          <w:szCs w:val="24"/>
          <w:highlight w:val="none"/>
        </w:rPr>
        <w:t>00</w:t>
      </w:r>
      <w:r>
        <w:rPr>
          <w:rFonts w:hint="eastAsia" w:asciiTheme="minorEastAsia" w:hAnsiTheme="minorEastAsia" w:eastAsiaTheme="minorEastAsia" w:cstheme="minorEastAsia"/>
          <w:color w:val="auto"/>
          <w:spacing w:val="0"/>
          <w:sz w:val="24"/>
          <w:szCs w:val="24"/>
          <w:highlight w:val="none"/>
          <w:lang w:val="en-US" w:eastAsia="zh-CN"/>
        </w:rPr>
        <w:t>名在押（拘）人员的</w:t>
      </w:r>
      <w:r>
        <w:rPr>
          <w:rFonts w:hint="eastAsia" w:asciiTheme="minorEastAsia" w:hAnsiTheme="minorEastAsia" w:eastAsiaTheme="minorEastAsia" w:cstheme="minorEastAsia"/>
          <w:color w:val="auto"/>
          <w:spacing w:val="0"/>
          <w:sz w:val="24"/>
          <w:szCs w:val="24"/>
          <w:highlight w:val="none"/>
        </w:rPr>
        <w:t>两次巡诊</w:t>
      </w:r>
      <w:r>
        <w:rPr>
          <w:rFonts w:hint="eastAsia" w:asciiTheme="minorEastAsia" w:hAnsiTheme="minorEastAsia" w:eastAsia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pacing w:val="0"/>
          <w:sz w:val="24"/>
          <w:szCs w:val="24"/>
          <w:highlight w:val="none"/>
          <w:lang w:val="en-US" w:eastAsia="zh-CN"/>
        </w:rPr>
        <w:t>每日约160名在押（拘）人员的门诊治疗等医疗任务</w:t>
      </w:r>
      <w:r>
        <w:rPr>
          <w:rFonts w:hint="eastAsia" w:asciiTheme="minorEastAsia" w:hAnsiTheme="minorEastAsia" w:eastAsia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pacing w:val="0"/>
          <w:sz w:val="24"/>
          <w:szCs w:val="24"/>
          <w:highlight w:val="none"/>
        </w:rPr>
        <w:t>为满足正常运转需求</w:t>
      </w:r>
      <w:r>
        <w:rPr>
          <w:rFonts w:hint="eastAsia" w:asciiTheme="minorEastAsia" w:hAnsiTheme="minorEastAsia" w:eastAsia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pacing w:val="0"/>
          <w:sz w:val="24"/>
          <w:szCs w:val="24"/>
          <w:highlight w:val="none"/>
          <w:lang w:val="en-US" w:eastAsia="zh-CN"/>
        </w:rPr>
        <w:t>保证</w:t>
      </w:r>
      <w:r>
        <w:rPr>
          <w:rFonts w:hint="eastAsia" w:asciiTheme="minorEastAsia" w:hAnsiTheme="minorEastAsia" w:eastAsiaTheme="minorEastAsia" w:cstheme="minorEastAsia"/>
          <w:color w:val="auto"/>
          <w:spacing w:val="0"/>
          <w:sz w:val="24"/>
          <w:szCs w:val="24"/>
          <w:highlight w:val="none"/>
        </w:rPr>
        <w:t>每天派驻医护人员</w:t>
      </w:r>
      <w:r>
        <w:rPr>
          <w:rFonts w:hint="eastAsia" w:asciiTheme="minorEastAsia" w:hAnsiTheme="minorEastAsia" w:eastAsiaTheme="minorEastAsia" w:cstheme="minorEastAsia"/>
          <w:color w:val="auto"/>
          <w:spacing w:val="0"/>
          <w:sz w:val="24"/>
          <w:szCs w:val="24"/>
          <w:highlight w:val="none"/>
          <w:lang w:val="en-US" w:eastAsia="zh-CN"/>
        </w:rPr>
        <w:t>不少于11</w:t>
      </w:r>
      <w:r>
        <w:rPr>
          <w:rFonts w:hint="eastAsia" w:asciiTheme="minorEastAsia" w:hAnsiTheme="minorEastAsia" w:eastAsiaTheme="minorEastAsia" w:cstheme="minorEastAsia"/>
          <w:color w:val="auto"/>
          <w:spacing w:val="0"/>
          <w:sz w:val="24"/>
          <w:szCs w:val="24"/>
          <w:highlight w:val="none"/>
        </w:rPr>
        <w:t>人</w:t>
      </w:r>
      <w:r>
        <w:rPr>
          <w:rFonts w:hint="eastAsia" w:asciiTheme="minorEastAsia" w:hAnsiTheme="minorEastAsia" w:eastAsiaTheme="minorEastAsia" w:cstheme="minorEastAsia"/>
          <w:color w:val="auto"/>
          <w:spacing w:val="0"/>
          <w:sz w:val="24"/>
          <w:szCs w:val="24"/>
          <w:highlight w:val="none"/>
          <w:lang w:eastAsia="zh-CN"/>
        </w:rPr>
        <w:t>，</w:t>
      </w:r>
      <w:r>
        <w:rPr>
          <w:rFonts w:hint="eastAsia" w:ascii="宋体" w:hAnsi="宋体" w:eastAsia="宋体" w:cs="宋体"/>
          <w:color w:val="auto"/>
          <w:spacing w:val="0"/>
          <w:sz w:val="24"/>
          <w:szCs w:val="24"/>
          <w:highlight w:val="none"/>
        </w:rPr>
        <w:t>实行24小时值班制度</w:t>
      </w:r>
      <w:r>
        <w:rPr>
          <w:rFonts w:hint="eastAsia" w:asciiTheme="minorEastAsia" w:hAnsiTheme="minorEastAsia" w:eastAsia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pacing w:val="0"/>
          <w:sz w:val="24"/>
          <w:szCs w:val="24"/>
          <w:highlight w:val="none"/>
          <w:lang w:val="en-US" w:eastAsia="zh-CN"/>
        </w:rPr>
        <w:t>岗位要求设置如下：</w:t>
      </w:r>
    </w:p>
    <w:tbl>
      <w:tblPr>
        <w:tblStyle w:val="7"/>
        <w:tblW w:w="829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4"/>
        <w:gridCol w:w="1309"/>
        <w:gridCol w:w="1473"/>
        <w:gridCol w:w="4840"/>
      </w:tblGrid>
      <w:tr w14:paraId="62AA71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0" w:hRule="atLeast"/>
        </w:trPr>
        <w:tc>
          <w:tcPr>
            <w:tcW w:w="674" w:type="dxa"/>
            <w:noWrap w:val="0"/>
            <w:vAlign w:val="center"/>
          </w:tcPr>
          <w:p w14:paraId="56FE2D6F">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b/>
                <w:bCs/>
                <w:color w:val="auto"/>
                <w:spacing w:val="0"/>
                <w:sz w:val="24"/>
                <w:szCs w:val="24"/>
                <w:highlight w:val="none"/>
              </w:rPr>
            </w:pPr>
            <w:r>
              <w:rPr>
                <w:rFonts w:hint="eastAsia" w:asciiTheme="minorEastAsia" w:hAnsiTheme="minorEastAsia" w:eastAsiaTheme="minorEastAsia" w:cstheme="minorEastAsia"/>
                <w:b/>
                <w:bCs/>
                <w:color w:val="auto"/>
                <w:spacing w:val="0"/>
                <w:sz w:val="24"/>
                <w:szCs w:val="24"/>
                <w:highlight w:val="none"/>
              </w:rPr>
              <w:t>序号</w:t>
            </w:r>
          </w:p>
        </w:tc>
        <w:tc>
          <w:tcPr>
            <w:tcW w:w="1309" w:type="dxa"/>
            <w:noWrap w:val="0"/>
            <w:vAlign w:val="center"/>
          </w:tcPr>
          <w:p w14:paraId="67CEB6B7">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b/>
                <w:bCs/>
                <w:color w:val="auto"/>
                <w:spacing w:val="0"/>
                <w:sz w:val="24"/>
                <w:szCs w:val="24"/>
                <w:highlight w:val="none"/>
                <w:lang w:eastAsia="zh-CN"/>
              </w:rPr>
            </w:pPr>
            <w:r>
              <w:rPr>
                <w:rFonts w:hint="eastAsia" w:asciiTheme="minorEastAsia" w:hAnsiTheme="minorEastAsia" w:eastAsiaTheme="minorEastAsia" w:cstheme="minorEastAsia"/>
                <w:b/>
                <w:bCs/>
                <w:color w:val="auto"/>
                <w:spacing w:val="0"/>
                <w:sz w:val="24"/>
                <w:szCs w:val="24"/>
                <w:highlight w:val="none"/>
                <w:lang w:val="en-US" w:eastAsia="zh-CN"/>
              </w:rPr>
              <w:t>岗位</w:t>
            </w:r>
          </w:p>
        </w:tc>
        <w:tc>
          <w:tcPr>
            <w:tcW w:w="1473" w:type="dxa"/>
            <w:noWrap w:val="0"/>
            <w:vAlign w:val="center"/>
          </w:tcPr>
          <w:p w14:paraId="7F562298">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b/>
                <w:bCs/>
                <w:color w:val="auto"/>
                <w:spacing w:val="0"/>
                <w:sz w:val="24"/>
                <w:szCs w:val="24"/>
                <w:highlight w:val="none"/>
              </w:rPr>
            </w:pPr>
            <w:r>
              <w:rPr>
                <w:rFonts w:hint="eastAsia" w:asciiTheme="minorEastAsia" w:hAnsiTheme="minorEastAsia" w:eastAsiaTheme="minorEastAsia" w:cstheme="minorEastAsia"/>
                <w:b/>
                <w:bCs/>
                <w:color w:val="auto"/>
                <w:spacing w:val="0"/>
                <w:sz w:val="24"/>
                <w:szCs w:val="24"/>
                <w:highlight w:val="none"/>
              </w:rPr>
              <w:t>职称</w:t>
            </w:r>
          </w:p>
        </w:tc>
        <w:tc>
          <w:tcPr>
            <w:tcW w:w="4840" w:type="dxa"/>
            <w:noWrap w:val="0"/>
            <w:vAlign w:val="center"/>
          </w:tcPr>
          <w:p w14:paraId="18FE6C0A">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b/>
                <w:bCs/>
                <w:color w:val="auto"/>
                <w:spacing w:val="0"/>
                <w:sz w:val="24"/>
                <w:szCs w:val="24"/>
                <w:highlight w:val="none"/>
              </w:rPr>
            </w:pPr>
            <w:r>
              <w:rPr>
                <w:rFonts w:hint="eastAsia" w:asciiTheme="minorEastAsia" w:hAnsiTheme="minorEastAsia" w:eastAsiaTheme="minorEastAsia" w:cstheme="minorEastAsia"/>
                <w:b/>
                <w:bCs/>
                <w:color w:val="auto"/>
                <w:spacing w:val="0"/>
                <w:sz w:val="24"/>
                <w:szCs w:val="24"/>
                <w:highlight w:val="none"/>
              </w:rPr>
              <w:t>要求</w:t>
            </w:r>
          </w:p>
        </w:tc>
      </w:tr>
      <w:tr w14:paraId="240C98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15" w:hRule="atLeast"/>
        </w:trPr>
        <w:tc>
          <w:tcPr>
            <w:tcW w:w="674" w:type="dxa"/>
            <w:noWrap w:val="0"/>
            <w:vAlign w:val="center"/>
          </w:tcPr>
          <w:p w14:paraId="654E704E">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snapToGrid w:val="0"/>
                <w:color w:val="auto"/>
                <w:spacing w:val="0"/>
                <w:kern w:val="0"/>
                <w:sz w:val="24"/>
                <w:szCs w:val="24"/>
                <w:highlight w:val="none"/>
                <w:lang w:val="en-US" w:eastAsia="zh-CN" w:bidi="ar-SA"/>
              </w:rPr>
            </w:pPr>
            <w:r>
              <w:rPr>
                <w:rFonts w:hint="eastAsia" w:asciiTheme="minorEastAsia" w:hAnsiTheme="minorEastAsia" w:eastAsiaTheme="minorEastAsia" w:cstheme="minorEastAsia"/>
                <w:color w:val="auto"/>
                <w:spacing w:val="0"/>
                <w:sz w:val="24"/>
                <w:szCs w:val="24"/>
                <w:highlight w:val="none"/>
                <w:lang w:val="en-US" w:eastAsia="zh-CN"/>
              </w:rPr>
              <w:t>1</w:t>
            </w:r>
          </w:p>
        </w:tc>
        <w:tc>
          <w:tcPr>
            <w:tcW w:w="1309" w:type="dxa"/>
            <w:noWrap w:val="0"/>
            <w:vAlign w:val="center"/>
          </w:tcPr>
          <w:p w14:paraId="081576F1">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负责人</w:t>
            </w:r>
          </w:p>
        </w:tc>
        <w:tc>
          <w:tcPr>
            <w:tcW w:w="1473" w:type="dxa"/>
            <w:noWrap w:val="0"/>
            <w:vAlign w:val="center"/>
          </w:tcPr>
          <w:p w14:paraId="330EC3B2">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副主任医师</w:t>
            </w:r>
          </w:p>
        </w:tc>
        <w:tc>
          <w:tcPr>
            <w:tcW w:w="4840" w:type="dxa"/>
            <w:noWrap w:val="0"/>
            <w:vAlign w:val="center"/>
          </w:tcPr>
          <w:p w14:paraId="33156726">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left"/>
              <w:textAlignment w:val="baseline"/>
              <w:rPr>
                <w:rFonts w:hint="eastAsia" w:asciiTheme="minorEastAsia" w:hAnsiTheme="minorEastAsia" w:eastAsiaTheme="minorEastAsia" w:cstheme="minorEastAsia"/>
                <w:color w:val="auto"/>
                <w:spacing w:val="0"/>
                <w:sz w:val="24"/>
                <w:szCs w:val="24"/>
                <w:highlight w:val="none"/>
                <w:lang w:eastAsia="zh-CN"/>
              </w:rPr>
            </w:pPr>
            <w:r>
              <w:rPr>
                <w:rFonts w:hint="eastAsia" w:asciiTheme="minorEastAsia" w:hAnsiTheme="minorEastAsia" w:eastAsiaTheme="minorEastAsia" w:cstheme="minorEastAsia"/>
                <w:color w:val="auto"/>
                <w:spacing w:val="0"/>
                <w:sz w:val="24"/>
                <w:szCs w:val="24"/>
                <w:highlight w:val="none"/>
                <w:lang w:eastAsia="zh-CN"/>
              </w:rPr>
              <w:t>具有副主任医师及以上职称，执业范围为心血管内科或急诊内科</w:t>
            </w:r>
            <w:r>
              <w:rPr>
                <w:rFonts w:hint="eastAsia" w:asciiTheme="minorEastAsia" w:hAnsiTheme="minorEastAsia" w:eastAsiaTheme="minorEastAsia" w:cstheme="minorEastAsia"/>
                <w:color w:val="auto"/>
                <w:spacing w:val="0"/>
                <w:sz w:val="24"/>
                <w:szCs w:val="24"/>
                <w:highlight w:val="none"/>
                <w:lang w:val="en-US" w:eastAsia="zh-CN"/>
              </w:rPr>
              <w:t>等内科</w:t>
            </w:r>
            <w:r>
              <w:rPr>
                <w:rFonts w:hint="eastAsia" w:asciiTheme="minorEastAsia" w:hAnsiTheme="minorEastAsia" w:eastAsiaTheme="minorEastAsia" w:cstheme="minorEastAsia"/>
                <w:color w:val="auto"/>
                <w:spacing w:val="0"/>
                <w:sz w:val="24"/>
                <w:szCs w:val="24"/>
                <w:highlight w:val="none"/>
                <w:lang w:eastAsia="zh-CN"/>
              </w:rPr>
              <w:t>专业。</w:t>
            </w:r>
          </w:p>
          <w:p w14:paraId="03333A6E">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left"/>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lang w:val="en-US" w:eastAsia="zh-CN"/>
              </w:rPr>
              <w:t>岗位要求：每天负责人1人，</w:t>
            </w:r>
            <w:r>
              <w:rPr>
                <w:rFonts w:hint="eastAsia" w:asciiTheme="minorEastAsia" w:hAnsiTheme="minorEastAsia" w:eastAsiaTheme="minorEastAsia" w:cstheme="minorEastAsia"/>
                <w:color w:val="auto"/>
                <w:spacing w:val="0"/>
                <w:sz w:val="24"/>
                <w:szCs w:val="24"/>
                <w:highlight w:val="none"/>
              </w:rPr>
              <w:t>全面负责监管场所医疗工作。</w:t>
            </w:r>
          </w:p>
        </w:tc>
      </w:tr>
      <w:tr w14:paraId="2F1A9D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674" w:type="dxa"/>
            <w:noWrap w:val="0"/>
            <w:vAlign w:val="center"/>
          </w:tcPr>
          <w:p w14:paraId="4DDF0D85">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snapToGrid w:val="0"/>
                <w:color w:val="auto"/>
                <w:spacing w:val="0"/>
                <w:kern w:val="0"/>
                <w:sz w:val="24"/>
                <w:szCs w:val="24"/>
                <w:highlight w:val="none"/>
                <w:lang w:val="en-US" w:eastAsia="zh-CN" w:bidi="ar-SA"/>
              </w:rPr>
            </w:pPr>
            <w:r>
              <w:rPr>
                <w:rFonts w:hint="eastAsia" w:asciiTheme="minorEastAsia" w:hAnsiTheme="minorEastAsia" w:eastAsiaTheme="minorEastAsia" w:cstheme="minorEastAsia"/>
                <w:color w:val="auto"/>
                <w:spacing w:val="0"/>
                <w:sz w:val="24"/>
                <w:szCs w:val="24"/>
                <w:highlight w:val="none"/>
              </w:rPr>
              <w:t>2</w:t>
            </w:r>
          </w:p>
        </w:tc>
        <w:tc>
          <w:tcPr>
            <w:tcW w:w="1309" w:type="dxa"/>
            <w:noWrap w:val="0"/>
            <w:vAlign w:val="center"/>
          </w:tcPr>
          <w:p w14:paraId="1B1C9DE9">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color w:val="auto"/>
                <w:spacing w:val="0"/>
                <w:sz w:val="24"/>
                <w:szCs w:val="24"/>
                <w:highlight w:val="none"/>
                <w:lang w:eastAsia="zh-CN"/>
              </w:rPr>
            </w:pPr>
            <w:r>
              <w:rPr>
                <w:rFonts w:hint="eastAsia" w:asciiTheme="minorEastAsia" w:hAnsiTheme="minorEastAsia" w:eastAsiaTheme="minorEastAsia" w:cstheme="minorEastAsia"/>
                <w:color w:val="auto"/>
                <w:spacing w:val="0"/>
                <w:sz w:val="24"/>
                <w:szCs w:val="24"/>
                <w:highlight w:val="none"/>
              </w:rPr>
              <w:t>临床</w:t>
            </w:r>
            <w:r>
              <w:rPr>
                <w:rFonts w:hint="eastAsia" w:asciiTheme="minorEastAsia" w:hAnsiTheme="minorEastAsia" w:eastAsiaTheme="minorEastAsia" w:cstheme="minorEastAsia"/>
                <w:color w:val="auto"/>
                <w:spacing w:val="0"/>
                <w:sz w:val="24"/>
                <w:szCs w:val="24"/>
                <w:highlight w:val="none"/>
                <w:lang w:val="en-US" w:eastAsia="zh-CN"/>
              </w:rPr>
              <w:t>医生</w:t>
            </w:r>
          </w:p>
        </w:tc>
        <w:tc>
          <w:tcPr>
            <w:tcW w:w="1473" w:type="dxa"/>
            <w:noWrap w:val="0"/>
            <w:vAlign w:val="center"/>
          </w:tcPr>
          <w:p w14:paraId="6ACEC65F">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snapToGrid w:val="0"/>
                <w:color w:val="auto"/>
                <w:spacing w:val="0"/>
                <w:kern w:val="0"/>
                <w:sz w:val="24"/>
                <w:szCs w:val="24"/>
                <w:highlight w:val="none"/>
                <w:lang w:val="en-US" w:eastAsia="en-US" w:bidi="ar-SA"/>
              </w:rPr>
            </w:pPr>
            <w:r>
              <w:rPr>
                <w:rFonts w:hint="eastAsia" w:asciiTheme="minorEastAsia" w:hAnsiTheme="minorEastAsia" w:eastAsiaTheme="minorEastAsia" w:cstheme="minorEastAsia"/>
                <w:color w:val="auto"/>
                <w:spacing w:val="0"/>
                <w:sz w:val="24"/>
                <w:szCs w:val="24"/>
                <w:highlight w:val="none"/>
                <w:lang w:val="en-US" w:eastAsia="zh-CN"/>
              </w:rPr>
              <w:t>主治</w:t>
            </w:r>
            <w:r>
              <w:rPr>
                <w:rFonts w:hint="eastAsia" w:asciiTheme="minorEastAsia" w:hAnsiTheme="minorEastAsia" w:eastAsiaTheme="minorEastAsia" w:cstheme="minorEastAsia"/>
                <w:color w:val="auto"/>
                <w:spacing w:val="0"/>
                <w:sz w:val="24"/>
                <w:szCs w:val="24"/>
                <w:highlight w:val="none"/>
              </w:rPr>
              <w:t>医师</w:t>
            </w:r>
          </w:p>
        </w:tc>
        <w:tc>
          <w:tcPr>
            <w:tcW w:w="4840" w:type="dxa"/>
            <w:noWrap w:val="0"/>
            <w:vAlign w:val="center"/>
          </w:tcPr>
          <w:p w14:paraId="193ED09E">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left"/>
              <w:textAlignment w:val="baseline"/>
              <w:rPr>
                <w:rFonts w:hint="eastAsia" w:asciiTheme="minorEastAsia" w:hAnsiTheme="minorEastAsia" w:eastAsiaTheme="minorEastAsia" w:cstheme="minorEastAsia"/>
                <w:color w:val="auto"/>
                <w:spacing w:val="0"/>
                <w:sz w:val="24"/>
                <w:szCs w:val="24"/>
                <w:highlight w:val="none"/>
                <w:lang w:eastAsia="zh-CN"/>
              </w:rPr>
            </w:pPr>
            <w:r>
              <w:rPr>
                <w:rFonts w:hint="eastAsia" w:asciiTheme="minorEastAsia" w:hAnsiTheme="minorEastAsia" w:eastAsiaTheme="minorEastAsia" w:cstheme="minorEastAsia"/>
                <w:color w:val="auto"/>
                <w:spacing w:val="0"/>
                <w:sz w:val="24"/>
                <w:szCs w:val="24"/>
                <w:highlight w:val="none"/>
                <w:lang w:eastAsia="zh-CN"/>
              </w:rPr>
              <w:t>具有主治医师及以上职称，执业范围为心血管内科或急诊内科</w:t>
            </w:r>
            <w:r>
              <w:rPr>
                <w:rFonts w:hint="eastAsia" w:asciiTheme="minorEastAsia" w:hAnsiTheme="minorEastAsia" w:eastAsiaTheme="minorEastAsia" w:cstheme="minorEastAsia"/>
                <w:color w:val="auto"/>
                <w:spacing w:val="0"/>
                <w:sz w:val="24"/>
                <w:szCs w:val="24"/>
                <w:highlight w:val="none"/>
                <w:lang w:val="en-US" w:eastAsia="zh-CN"/>
              </w:rPr>
              <w:t>等内科</w:t>
            </w:r>
            <w:r>
              <w:rPr>
                <w:rFonts w:hint="eastAsia" w:asciiTheme="minorEastAsia" w:hAnsiTheme="minorEastAsia" w:eastAsiaTheme="minorEastAsia" w:cstheme="minorEastAsia"/>
                <w:color w:val="auto"/>
                <w:spacing w:val="0"/>
                <w:sz w:val="24"/>
                <w:szCs w:val="24"/>
                <w:highlight w:val="none"/>
                <w:lang w:eastAsia="zh-CN"/>
              </w:rPr>
              <w:t>专业。</w:t>
            </w:r>
          </w:p>
          <w:p w14:paraId="31584CBE">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left"/>
              <w:textAlignment w:val="baseline"/>
              <w:rPr>
                <w:rFonts w:hint="eastAsia"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岗位要求：每天</w:t>
            </w:r>
            <w:r>
              <w:rPr>
                <w:rFonts w:hint="eastAsia" w:asciiTheme="minorEastAsia" w:hAnsiTheme="minorEastAsia" w:eastAsiaTheme="minorEastAsia" w:cstheme="minorEastAsia"/>
                <w:color w:val="auto"/>
                <w:spacing w:val="0"/>
                <w:sz w:val="24"/>
                <w:szCs w:val="24"/>
                <w:highlight w:val="none"/>
              </w:rPr>
              <w:t>临床</w:t>
            </w:r>
            <w:r>
              <w:rPr>
                <w:rFonts w:hint="eastAsia" w:asciiTheme="minorEastAsia" w:hAnsiTheme="minorEastAsia" w:eastAsiaTheme="minorEastAsia" w:cstheme="minorEastAsia"/>
                <w:color w:val="auto"/>
                <w:spacing w:val="0"/>
                <w:sz w:val="24"/>
                <w:szCs w:val="24"/>
                <w:highlight w:val="none"/>
                <w:lang w:val="en-US" w:eastAsia="zh-CN"/>
              </w:rPr>
              <w:t>医生3人，1人负责入所体检及住院诊疗；看守所，拘戒所各1人负责每日两次巡诊及医务室治疗。</w:t>
            </w:r>
          </w:p>
        </w:tc>
      </w:tr>
      <w:tr w14:paraId="0A193C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674" w:type="dxa"/>
            <w:noWrap w:val="0"/>
            <w:vAlign w:val="center"/>
          </w:tcPr>
          <w:p w14:paraId="7287B6DA">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snapToGrid w:val="0"/>
                <w:color w:val="auto"/>
                <w:spacing w:val="0"/>
                <w:kern w:val="0"/>
                <w:sz w:val="24"/>
                <w:szCs w:val="24"/>
                <w:highlight w:val="none"/>
                <w:lang w:val="en-US" w:eastAsia="en-US" w:bidi="ar-SA"/>
              </w:rPr>
            </w:pPr>
            <w:r>
              <w:rPr>
                <w:rFonts w:hint="eastAsia" w:asciiTheme="minorEastAsia" w:hAnsiTheme="minorEastAsia" w:eastAsiaTheme="minorEastAsia" w:cstheme="minorEastAsia"/>
                <w:color w:val="auto"/>
                <w:spacing w:val="0"/>
                <w:sz w:val="24"/>
                <w:szCs w:val="24"/>
                <w:highlight w:val="none"/>
              </w:rPr>
              <w:t>3</w:t>
            </w:r>
          </w:p>
        </w:tc>
        <w:tc>
          <w:tcPr>
            <w:tcW w:w="1309" w:type="dxa"/>
            <w:noWrap w:val="0"/>
            <w:vAlign w:val="center"/>
          </w:tcPr>
          <w:p w14:paraId="2F14D37D">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snapToGrid w:val="0"/>
                <w:color w:val="auto"/>
                <w:spacing w:val="0"/>
                <w:kern w:val="0"/>
                <w:sz w:val="24"/>
                <w:szCs w:val="24"/>
                <w:highlight w:val="none"/>
                <w:lang w:val="en-US" w:eastAsia="en-US" w:bidi="ar-SA"/>
              </w:rPr>
            </w:pPr>
            <w:r>
              <w:rPr>
                <w:rFonts w:hint="eastAsia" w:asciiTheme="minorEastAsia" w:hAnsiTheme="minorEastAsia" w:eastAsiaTheme="minorEastAsia" w:cstheme="minorEastAsia"/>
                <w:color w:val="auto"/>
                <w:spacing w:val="0"/>
                <w:sz w:val="24"/>
                <w:szCs w:val="24"/>
                <w:highlight w:val="none"/>
              </w:rPr>
              <w:t>护士</w:t>
            </w:r>
          </w:p>
        </w:tc>
        <w:tc>
          <w:tcPr>
            <w:tcW w:w="1473" w:type="dxa"/>
            <w:noWrap w:val="0"/>
            <w:vAlign w:val="center"/>
          </w:tcPr>
          <w:p w14:paraId="67BBAFA5">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snapToGrid w:val="0"/>
                <w:color w:val="auto"/>
                <w:spacing w:val="0"/>
                <w:kern w:val="0"/>
                <w:sz w:val="24"/>
                <w:szCs w:val="24"/>
                <w:highlight w:val="none"/>
                <w:lang w:val="en-US" w:eastAsia="en-US" w:bidi="ar-SA"/>
              </w:rPr>
            </w:pPr>
            <w:r>
              <w:rPr>
                <w:rFonts w:hint="eastAsia" w:asciiTheme="minorEastAsia" w:hAnsiTheme="minorEastAsia" w:eastAsiaTheme="minorEastAsia" w:cstheme="minorEastAsia"/>
                <w:color w:val="auto"/>
                <w:spacing w:val="0"/>
                <w:sz w:val="24"/>
                <w:szCs w:val="24"/>
                <w:highlight w:val="none"/>
              </w:rPr>
              <w:t>护士</w:t>
            </w:r>
          </w:p>
        </w:tc>
        <w:tc>
          <w:tcPr>
            <w:tcW w:w="4840" w:type="dxa"/>
            <w:noWrap w:val="0"/>
            <w:vAlign w:val="center"/>
          </w:tcPr>
          <w:p w14:paraId="635A85AD">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left"/>
              <w:textAlignment w:val="baseline"/>
              <w:rPr>
                <w:rFonts w:hint="eastAsia" w:asciiTheme="minorEastAsia" w:hAnsiTheme="minorEastAsia" w:eastAsiaTheme="minorEastAsia" w:cstheme="minorEastAsia"/>
                <w:color w:val="auto"/>
                <w:spacing w:val="0"/>
                <w:sz w:val="24"/>
                <w:szCs w:val="24"/>
                <w:highlight w:val="none"/>
                <w:lang w:eastAsia="zh-CN"/>
              </w:rPr>
            </w:pPr>
            <w:r>
              <w:rPr>
                <w:rFonts w:hint="eastAsia" w:asciiTheme="minorEastAsia" w:hAnsiTheme="minorEastAsia" w:eastAsiaTheme="minorEastAsia" w:cstheme="minorEastAsia"/>
                <w:color w:val="auto"/>
                <w:spacing w:val="0"/>
                <w:sz w:val="24"/>
                <w:szCs w:val="24"/>
                <w:highlight w:val="none"/>
              </w:rPr>
              <w:t>具有护士及以上专业技术资格</w:t>
            </w:r>
            <w:r>
              <w:rPr>
                <w:rFonts w:hint="eastAsia" w:asciiTheme="minorEastAsia" w:hAnsiTheme="minorEastAsia" w:eastAsiaTheme="minorEastAsia" w:cstheme="minorEastAsia"/>
                <w:color w:val="auto"/>
                <w:spacing w:val="0"/>
                <w:sz w:val="24"/>
                <w:szCs w:val="24"/>
                <w:highlight w:val="none"/>
                <w:lang w:eastAsia="zh-CN"/>
              </w:rPr>
              <w:t>。</w:t>
            </w:r>
          </w:p>
          <w:p w14:paraId="1F7DC3E5">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left"/>
              <w:textAlignment w:val="baseline"/>
              <w:rPr>
                <w:rFonts w:hint="eastAsia"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岗位要求：每天护士3人，1人负责入所体检登记、抽血及住院部护理。看守所、拘戒所各1人负责每日两次巡诊发药及医务室护理。</w:t>
            </w:r>
          </w:p>
        </w:tc>
      </w:tr>
      <w:tr w14:paraId="2E1578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2" w:hRule="atLeast"/>
        </w:trPr>
        <w:tc>
          <w:tcPr>
            <w:tcW w:w="674" w:type="dxa"/>
            <w:noWrap w:val="0"/>
            <w:vAlign w:val="center"/>
          </w:tcPr>
          <w:p w14:paraId="79BA96DD">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4</w:t>
            </w:r>
          </w:p>
        </w:tc>
        <w:tc>
          <w:tcPr>
            <w:tcW w:w="1309" w:type="dxa"/>
            <w:noWrap w:val="0"/>
            <w:vAlign w:val="center"/>
          </w:tcPr>
          <w:p w14:paraId="4FFD08CF">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default"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医学影像</w:t>
            </w:r>
          </w:p>
        </w:tc>
        <w:tc>
          <w:tcPr>
            <w:tcW w:w="1473" w:type="dxa"/>
            <w:noWrap w:val="0"/>
            <w:vAlign w:val="center"/>
          </w:tcPr>
          <w:p w14:paraId="7478315C">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default"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执业医生</w:t>
            </w:r>
          </w:p>
        </w:tc>
        <w:tc>
          <w:tcPr>
            <w:tcW w:w="4840" w:type="dxa"/>
            <w:shd w:val="clear" w:color="auto" w:fill="auto"/>
            <w:noWrap w:val="0"/>
            <w:vAlign w:val="center"/>
          </w:tcPr>
          <w:p w14:paraId="41DDE326">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left"/>
              <w:textAlignment w:val="baseline"/>
              <w:rPr>
                <w:rFonts w:hint="eastAsia" w:eastAsia="宋体" w:asciiTheme="minorEastAsia" w:hAnsiTheme="minorEastAsia" w:cstheme="minorEastAsia"/>
                <w:color w:val="auto"/>
                <w:spacing w:val="0"/>
                <w:sz w:val="24"/>
                <w:szCs w:val="24"/>
                <w:highlight w:val="none"/>
                <w:lang w:eastAsia="zh-CN"/>
              </w:rPr>
            </w:pPr>
            <w:r>
              <w:rPr>
                <w:rFonts w:hint="eastAsia" w:asciiTheme="minorEastAsia" w:hAnsiTheme="minorEastAsia" w:eastAsiaTheme="minorEastAsia" w:cstheme="minorEastAsia"/>
                <w:color w:val="auto"/>
                <w:spacing w:val="0"/>
                <w:sz w:val="24"/>
                <w:szCs w:val="24"/>
                <w:highlight w:val="none"/>
                <w:lang w:eastAsia="zh-CN"/>
              </w:rPr>
              <w:t>具有</w:t>
            </w:r>
            <w:r>
              <w:rPr>
                <w:rFonts w:hint="eastAsia" w:asciiTheme="minorEastAsia" w:hAnsiTheme="minorEastAsia" w:eastAsiaTheme="minorEastAsia" w:cstheme="minorEastAsia"/>
                <w:color w:val="auto"/>
                <w:spacing w:val="0"/>
                <w:sz w:val="24"/>
                <w:szCs w:val="24"/>
                <w:highlight w:val="none"/>
                <w:lang w:val="en-US" w:eastAsia="zh-CN"/>
              </w:rPr>
              <w:t>执业</w:t>
            </w:r>
            <w:r>
              <w:rPr>
                <w:rFonts w:hint="eastAsia" w:asciiTheme="minorEastAsia" w:hAnsiTheme="minorEastAsia" w:eastAsiaTheme="minorEastAsia" w:cstheme="minorEastAsia"/>
                <w:color w:val="auto"/>
                <w:spacing w:val="0"/>
                <w:sz w:val="24"/>
                <w:szCs w:val="24"/>
                <w:highlight w:val="none"/>
                <w:lang w:eastAsia="zh-CN"/>
              </w:rPr>
              <w:t>医师</w:t>
            </w:r>
            <w:r>
              <w:rPr>
                <w:rFonts w:hint="eastAsia" w:asciiTheme="minorEastAsia" w:hAnsiTheme="minorEastAsia" w:eastAsiaTheme="minorEastAsia" w:cstheme="minorEastAsia"/>
                <w:color w:val="auto"/>
                <w:spacing w:val="0"/>
                <w:sz w:val="24"/>
                <w:szCs w:val="24"/>
                <w:highlight w:val="none"/>
                <w:lang w:val="en-US" w:eastAsia="zh-CN"/>
              </w:rPr>
              <w:t>资格</w:t>
            </w:r>
            <w:r>
              <w:rPr>
                <w:rFonts w:hint="eastAsia" w:asciiTheme="minorEastAsia" w:hAnsiTheme="minorEastAsia" w:eastAsiaTheme="minorEastAsia" w:cstheme="minorEastAsia"/>
                <w:color w:val="auto"/>
                <w:spacing w:val="0"/>
                <w:sz w:val="24"/>
                <w:szCs w:val="24"/>
                <w:highlight w:val="none"/>
                <w:lang w:eastAsia="zh-CN"/>
              </w:rPr>
              <w:t>，</w:t>
            </w:r>
            <w:r>
              <w:rPr>
                <w:rFonts w:ascii="宋体" w:hAnsi="宋体" w:eastAsia="宋体" w:cs="宋体"/>
                <w:color w:val="auto"/>
                <w:sz w:val="24"/>
                <w:szCs w:val="24"/>
                <w:highlight w:val="none"/>
              </w:rPr>
              <w:t>执业范围为医学影像</w:t>
            </w:r>
            <w:r>
              <w:rPr>
                <w:rFonts w:hint="eastAsia" w:ascii="宋体" w:hAnsi="宋体" w:eastAsia="宋体" w:cs="宋体"/>
                <w:color w:val="auto"/>
                <w:sz w:val="24"/>
                <w:szCs w:val="24"/>
                <w:highlight w:val="none"/>
                <w:lang w:val="en-US" w:eastAsia="zh-CN"/>
              </w:rPr>
              <w:t>和</w:t>
            </w:r>
            <w:r>
              <w:rPr>
                <w:rFonts w:ascii="宋体" w:hAnsi="宋体" w:eastAsia="宋体" w:cs="宋体"/>
                <w:color w:val="auto"/>
                <w:sz w:val="24"/>
                <w:szCs w:val="24"/>
                <w:highlight w:val="none"/>
              </w:rPr>
              <w:t>放射治疗专业</w:t>
            </w:r>
            <w:r>
              <w:rPr>
                <w:rFonts w:hint="eastAsia" w:ascii="宋体" w:hAnsi="宋体" w:eastAsia="宋体" w:cs="宋体"/>
                <w:color w:val="auto"/>
                <w:sz w:val="24"/>
                <w:szCs w:val="24"/>
                <w:highlight w:val="none"/>
                <w:lang w:eastAsia="zh-CN"/>
              </w:rPr>
              <w:t>。</w:t>
            </w:r>
          </w:p>
          <w:p w14:paraId="462A61EB">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eastAsia" w:asciiTheme="minorEastAsia" w:hAnsiTheme="minorEastAsia" w:eastAsiaTheme="minorEastAsia" w:cstheme="minorEastAsia"/>
                <w:color w:val="auto"/>
                <w:spacing w:val="0"/>
                <w:sz w:val="24"/>
                <w:szCs w:val="24"/>
                <w:highlight w:val="none"/>
                <w:lang w:val="en-US" w:eastAsia="zh-CN" w:bidi="ar-SA"/>
              </w:rPr>
            </w:pPr>
            <w:r>
              <w:rPr>
                <w:rFonts w:hint="eastAsia" w:asciiTheme="minorEastAsia" w:hAnsiTheme="minorEastAsia" w:eastAsiaTheme="minorEastAsia" w:cstheme="minorEastAsia"/>
                <w:color w:val="auto"/>
                <w:spacing w:val="0"/>
                <w:sz w:val="24"/>
                <w:szCs w:val="24"/>
                <w:highlight w:val="none"/>
                <w:lang w:val="en-US" w:eastAsia="zh-CN"/>
              </w:rPr>
              <w:t>岗位要求：每天执业医生2人，</w:t>
            </w:r>
            <w:r>
              <w:rPr>
                <w:rFonts w:hint="eastAsia" w:asciiTheme="minorEastAsia" w:hAnsiTheme="minorEastAsia" w:eastAsiaTheme="minorEastAsia" w:cstheme="minorEastAsia"/>
                <w:color w:val="auto"/>
                <w:spacing w:val="0"/>
                <w:sz w:val="24"/>
                <w:szCs w:val="24"/>
                <w:highlight w:val="none"/>
              </w:rPr>
              <w:t>负责超声检查</w:t>
            </w:r>
            <w:r>
              <w:rPr>
                <w:rFonts w:hint="eastAsia" w:asciiTheme="minorEastAsia" w:hAnsiTheme="minorEastAsia" w:eastAsia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pacing w:val="0"/>
                <w:sz w:val="24"/>
                <w:szCs w:val="24"/>
                <w:highlight w:val="none"/>
                <w:lang w:val="en-US" w:eastAsia="zh-CN"/>
              </w:rPr>
              <w:t>CT</w:t>
            </w:r>
            <w:r>
              <w:rPr>
                <w:rFonts w:hint="eastAsia" w:asciiTheme="minorEastAsia" w:hAnsiTheme="minorEastAsia" w:eastAsiaTheme="minorEastAsia" w:cstheme="minorEastAsia"/>
                <w:color w:val="auto"/>
                <w:spacing w:val="0"/>
                <w:sz w:val="24"/>
                <w:szCs w:val="24"/>
                <w:highlight w:val="none"/>
              </w:rPr>
              <w:t>检查和DR检查。</w:t>
            </w:r>
          </w:p>
        </w:tc>
      </w:tr>
      <w:tr w14:paraId="0298D5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674" w:type="dxa"/>
            <w:noWrap w:val="0"/>
            <w:vAlign w:val="center"/>
          </w:tcPr>
          <w:p w14:paraId="70C20927">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5</w:t>
            </w:r>
          </w:p>
        </w:tc>
        <w:tc>
          <w:tcPr>
            <w:tcW w:w="1309" w:type="dxa"/>
            <w:noWrap w:val="0"/>
            <w:vAlign w:val="center"/>
          </w:tcPr>
          <w:p w14:paraId="56369D1C">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default"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医学检验</w:t>
            </w:r>
          </w:p>
        </w:tc>
        <w:tc>
          <w:tcPr>
            <w:tcW w:w="1473" w:type="dxa"/>
            <w:noWrap w:val="0"/>
            <w:vAlign w:val="center"/>
          </w:tcPr>
          <w:p w14:paraId="18E28EC9">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技师</w:t>
            </w:r>
          </w:p>
        </w:tc>
        <w:tc>
          <w:tcPr>
            <w:tcW w:w="4840" w:type="dxa"/>
            <w:noWrap w:val="0"/>
            <w:vAlign w:val="center"/>
          </w:tcPr>
          <w:p w14:paraId="7A8FFF9E">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left"/>
              <w:textAlignment w:val="baseline"/>
              <w:rPr>
                <w:rFonts w:hint="eastAsia" w:asciiTheme="minorEastAsia" w:hAnsiTheme="minorEastAsia" w:eastAsiaTheme="minorEastAsia" w:cstheme="minorEastAsia"/>
                <w:color w:val="auto"/>
                <w:spacing w:val="0"/>
                <w:sz w:val="24"/>
                <w:szCs w:val="24"/>
                <w:highlight w:val="none"/>
                <w:lang w:eastAsia="zh-CN"/>
              </w:rPr>
            </w:pPr>
            <w:r>
              <w:rPr>
                <w:rFonts w:hint="eastAsia" w:asciiTheme="minorEastAsia" w:hAnsiTheme="minorEastAsia" w:eastAsiaTheme="minorEastAsia" w:cstheme="minorEastAsia"/>
                <w:color w:val="auto"/>
                <w:spacing w:val="0"/>
                <w:sz w:val="24"/>
                <w:szCs w:val="24"/>
                <w:highlight w:val="none"/>
              </w:rPr>
              <w:t>取得</w:t>
            </w:r>
            <w:r>
              <w:rPr>
                <w:rFonts w:hint="eastAsia" w:asciiTheme="minorEastAsia" w:hAnsiTheme="minorEastAsia" w:eastAsiaTheme="minorEastAsia" w:cstheme="minorEastAsia"/>
                <w:color w:val="auto"/>
                <w:spacing w:val="0"/>
                <w:sz w:val="24"/>
                <w:szCs w:val="24"/>
                <w:highlight w:val="none"/>
                <w:lang w:val="en-US" w:eastAsia="zh-CN"/>
              </w:rPr>
              <w:t>技师</w:t>
            </w:r>
            <w:r>
              <w:rPr>
                <w:rFonts w:hint="eastAsia" w:asciiTheme="minorEastAsia" w:hAnsiTheme="minorEastAsia" w:eastAsiaTheme="minorEastAsia" w:cstheme="minorEastAsia"/>
                <w:color w:val="auto"/>
                <w:spacing w:val="0"/>
                <w:sz w:val="24"/>
                <w:szCs w:val="24"/>
                <w:highlight w:val="none"/>
              </w:rPr>
              <w:t>或以上职称，并能熟练掌握</w:t>
            </w:r>
            <w:r>
              <w:rPr>
                <w:rFonts w:hint="eastAsia" w:asciiTheme="minorEastAsia" w:hAnsiTheme="minorEastAsia" w:eastAsiaTheme="minorEastAsia" w:cstheme="minorEastAsia"/>
                <w:color w:val="auto"/>
                <w:spacing w:val="0"/>
                <w:sz w:val="24"/>
                <w:szCs w:val="24"/>
                <w:highlight w:val="none"/>
                <w:lang w:val="en-US" w:eastAsia="zh-CN"/>
              </w:rPr>
              <w:t>相关设备仪器</w:t>
            </w:r>
            <w:r>
              <w:rPr>
                <w:rFonts w:hint="eastAsia" w:asciiTheme="minorEastAsia" w:hAnsiTheme="minorEastAsia" w:eastAsiaTheme="minorEastAsia" w:cstheme="minorEastAsia"/>
                <w:color w:val="auto"/>
                <w:spacing w:val="0"/>
                <w:sz w:val="24"/>
                <w:szCs w:val="24"/>
                <w:highlight w:val="none"/>
              </w:rPr>
              <w:t>操作</w:t>
            </w:r>
            <w:r>
              <w:rPr>
                <w:rFonts w:hint="eastAsia" w:asciiTheme="minorEastAsia" w:hAnsiTheme="minorEastAsia" w:eastAsiaTheme="minorEastAsia" w:cstheme="minorEastAsia"/>
                <w:color w:val="auto"/>
                <w:spacing w:val="0"/>
                <w:sz w:val="24"/>
                <w:szCs w:val="24"/>
                <w:highlight w:val="none"/>
                <w:lang w:eastAsia="zh-CN"/>
              </w:rPr>
              <w:t>。</w:t>
            </w:r>
          </w:p>
          <w:p w14:paraId="678979BC">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left"/>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lang w:val="en-US" w:eastAsia="zh-CN"/>
              </w:rPr>
              <w:t>岗位要求：每天医技1人，</w:t>
            </w:r>
            <w:r>
              <w:rPr>
                <w:rFonts w:hint="eastAsia" w:asciiTheme="minorEastAsia" w:hAnsiTheme="minorEastAsia" w:eastAsiaTheme="minorEastAsia" w:cstheme="minorEastAsia"/>
                <w:color w:val="auto"/>
                <w:spacing w:val="0"/>
                <w:sz w:val="24"/>
                <w:szCs w:val="24"/>
                <w:highlight w:val="none"/>
              </w:rPr>
              <w:t>负责生化检验。</w:t>
            </w:r>
          </w:p>
        </w:tc>
      </w:tr>
      <w:tr w14:paraId="264421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471" w:hRule="atLeast"/>
        </w:trPr>
        <w:tc>
          <w:tcPr>
            <w:tcW w:w="674" w:type="dxa"/>
            <w:noWrap w:val="0"/>
            <w:vAlign w:val="center"/>
          </w:tcPr>
          <w:p w14:paraId="670759D7">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6</w:t>
            </w:r>
          </w:p>
        </w:tc>
        <w:tc>
          <w:tcPr>
            <w:tcW w:w="1309" w:type="dxa"/>
            <w:noWrap w:val="0"/>
            <w:vAlign w:val="center"/>
          </w:tcPr>
          <w:p w14:paraId="0B8FFA30">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rPr>
              <w:t>药师</w:t>
            </w:r>
          </w:p>
        </w:tc>
        <w:tc>
          <w:tcPr>
            <w:tcW w:w="1473" w:type="dxa"/>
            <w:noWrap w:val="0"/>
            <w:vAlign w:val="center"/>
          </w:tcPr>
          <w:p w14:paraId="6A295A47">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lang w:val="en-US" w:eastAsia="zh-CN"/>
              </w:rPr>
              <w:t>临床</w:t>
            </w:r>
            <w:r>
              <w:rPr>
                <w:rFonts w:hint="eastAsia" w:asciiTheme="minorEastAsia" w:hAnsiTheme="minorEastAsia" w:eastAsiaTheme="minorEastAsia" w:cstheme="minorEastAsia"/>
                <w:color w:val="auto"/>
                <w:spacing w:val="0"/>
                <w:sz w:val="24"/>
                <w:szCs w:val="24"/>
                <w:highlight w:val="none"/>
              </w:rPr>
              <w:t>药师</w:t>
            </w:r>
          </w:p>
        </w:tc>
        <w:tc>
          <w:tcPr>
            <w:tcW w:w="4840" w:type="dxa"/>
            <w:noWrap w:val="0"/>
            <w:vAlign w:val="center"/>
          </w:tcPr>
          <w:p w14:paraId="40BD02D6">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left"/>
              <w:textAlignment w:val="baseline"/>
              <w:rPr>
                <w:rFonts w:hint="eastAsia" w:asciiTheme="minorEastAsia" w:hAnsiTheme="minorEastAsia" w:eastAsiaTheme="minorEastAsia" w:cstheme="minorEastAsia"/>
                <w:color w:val="auto"/>
                <w:spacing w:val="0"/>
                <w:sz w:val="24"/>
                <w:szCs w:val="24"/>
                <w:highlight w:val="none"/>
                <w:lang w:eastAsia="zh-CN"/>
              </w:rPr>
            </w:pPr>
            <w:r>
              <w:rPr>
                <w:rFonts w:hint="eastAsia" w:asciiTheme="minorEastAsia" w:hAnsiTheme="minorEastAsia" w:eastAsiaTheme="minorEastAsia" w:cstheme="minorEastAsia"/>
                <w:color w:val="auto"/>
                <w:spacing w:val="0"/>
                <w:sz w:val="24"/>
                <w:szCs w:val="24"/>
                <w:highlight w:val="none"/>
              </w:rPr>
              <w:t>具有</w:t>
            </w:r>
            <w:r>
              <w:rPr>
                <w:rFonts w:hint="eastAsia" w:asciiTheme="minorEastAsia" w:hAnsiTheme="minorEastAsia" w:eastAsiaTheme="minorEastAsia" w:cstheme="minorEastAsia"/>
                <w:color w:val="auto"/>
                <w:spacing w:val="0"/>
                <w:sz w:val="24"/>
                <w:szCs w:val="24"/>
                <w:highlight w:val="none"/>
                <w:lang w:val="en-US" w:eastAsia="zh-CN"/>
              </w:rPr>
              <w:t>有效的</w:t>
            </w:r>
            <w:r>
              <w:rPr>
                <w:rFonts w:hint="eastAsia" w:asciiTheme="minorEastAsia" w:hAnsiTheme="minorEastAsia" w:eastAsiaTheme="minorEastAsia" w:cstheme="minorEastAsia"/>
                <w:color w:val="auto"/>
                <w:spacing w:val="0"/>
                <w:sz w:val="24"/>
                <w:szCs w:val="24"/>
                <w:highlight w:val="none"/>
              </w:rPr>
              <w:t>药师资格证</w:t>
            </w:r>
            <w:r>
              <w:rPr>
                <w:rFonts w:hint="eastAsia" w:asciiTheme="minorEastAsia" w:hAnsiTheme="minorEastAsia" w:eastAsiaTheme="minorEastAsia" w:cstheme="minorEastAsia"/>
                <w:color w:val="auto"/>
                <w:spacing w:val="0"/>
                <w:sz w:val="24"/>
                <w:szCs w:val="24"/>
                <w:highlight w:val="none"/>
                <w:lang w:eastAsia="zh-CN"/>
              </w:rPr>
              <w:t>。</w:t>
            </w:r>
          </w:p>
          <w:p w14:paraId="6CEDF6D4">
            <w:pPr>
              <w:pStyle w:val="8"/>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0" w:firstLineChars="0"/>
              <w:jc w:val="left"/>
              <w:textAlignment w:val="baseline"/>
              <w:rPr>
                <w:rFonts w:hint="eastAsia"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岗位要求：每天</w:t>
            </w:r>
            <w:r>
              <w:rPr>
                <w:rFonts w:hint="eastAsia" w:asciiTheme="minorEastAsia" w:hAnsiTheme="minorEastAsia" w:eastAsiaTheme="minorEastAsia" w:cstheme="minorEastAsia"/>
                <w:color w:val="auto"/>
                <w:spacing w:val="0"/>
                <w:sz w:val="24"/>
                <w:szCs w:val="24"/>
                <w:highlight w:val="none"/>
              </w:rPr>
              <w:t>药师</w:t>
            </w:r>
            <w:r>
              <w:rPr>
                <w:rFonts w:hint="eastAsia" w:asciiTheme="minorEastAsia" w:hAnsiTheme="minorEastAsia" w:eastAsiaTheme="minorEastAsia" w:cstheme="minorEastAsia"/>
                <w:color w:val="auto"/>
                <w:spacing w:val="0"/>
                <w:sz w:val="24"/>
                <w:szCs w:val="24"/>
                <w:highlight w:val="none"/>
                <w:lang w:val="en-US" w:eastAsia="zh-CN"/>
              </w:rPr>
              <w:t>1人，</w:t>
            </w:r>
            <w:r>
              <w:rPr>
                <w:rFonts w:hint="eastAsia" w:asciiTheme="minorEastAsia" w:hAnsiTheme="minorEastAsia" w:eastAsiaTheme="minorEastAsia" w:cstheme="minorEastAsia"/>
                <w:color w:val="auto"/>
                <w:spacing w:val="0"/>
                <w:sz w:val="24"/>
                <w:szCs w:val="24"/>
                <w:highlight w:val="none"/>
              </w:rPr>
              <w:t>负责药品管理及发放工作。</w:t>
            </w:r>
          </w:p>
        </w:tc>
      </w:tr>
    </w:tbl>
    <w:p w14:paraId="20A56821">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93"/>
        <w:textAlignment w:val="baseline"/>
        <w:outlineLvl w:val="9"/>
        <w:rPr>
          <w:rFonts w:hint="default" w:asciiTheme="minorEastAsia" w:hAnsiTheme="minorEastAsia" w:eastAsiaTheme="minorEastAsia" w:cstheme="minorEastAsia"/>
          <w:b/>
          <w:bCs/>
          <w:color w:val="auto"/>
          <w:spacing w:val="0"/>
          <w:sz w:val="24"/>
          <w:szCs w:val="24"/>
          <w:highlight w:val="none"/>
          <w:lang w:val="en-US" w:eastAsia="zh-CN"/>
        </w:rPr>
      </w:pPr>
      <w:bookmarkStart w:id="16" w:name="_Toc28370"/>
      <w:r>
        <w:rPr>
          <w:rFonts w:hint="eastAsia" w:asciiTheme="minorEastAsia" w:hAnsiTheme="minorEastAsia" w:eastAsiaTheme="minorEastAsia" w:cstheme="minorEastAsia"/>
          <w:b/>
          <w:bCs/>
          <w:color w:val="auto"/>
          <w:spacing w:val="0"/>
          <w:sz w:val="24"/>
          <w:szCs w:val="24"/>
          <w:highlight w:val="none"/>
          <w:lang w:val="en-US" w:eastAsia="zh-CN"/>
        </w:rPr>
        <w:t>注：需在投标文件内提供以上人员证书扫描件加盖公章。</w:t>
      </w:r>
    </w:p>
    <w:p w14:paraId="376F72D9">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93"/>
        <w:textAlignment w:val="baseline"/>
        <w:outlineLvl w:val="9"/>
        <w:rPr>
          <w:rFonts w:hint="eastAsia" w:asciiTheme="minorEastAsia" w:hAnsiTheme="minorEastAsia" w:eastAsiaTheme="minorEastAsia" w:cstheme="minorEastAsia"/>
          <w:b/>
          <w:bCs/>
          <w:color w:val="auto"/>
          <w:spacing w:val="0"/>
          <w:sz w:val="24"/>
          <w:szCs w:val="24"/>
          <w:highlight w:val="none"/>
          <w:lang w:val="en-US" w:eastAsia="zh-CN"/>
        </w:rPr>
      </w:pPr>
    </w:p>
    <w:bookmarkEnd w:id="16"/>
    <w:p w14:paraId="36CB8AB3">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82" w:firstLineChars="200"/>
        <w:textAlignment w:val="baseline"/>
        <w:outlineLvl w:val="9"/>
        <w:rPr>
          <w:rFonts w:hint="eastAsia" w:asciiTheme="minorEastAsia" w:hAnsiTheme="minorEastAsia" w:eastAsiaTheme="minorEastAsia" w:cstheme="minorEastAsia"/>
          <w:color w:val="auto"/>
          <w:spacing w:val="0"/>
          <w:sz w:val="24"/>
          <w:szCs w:val="24"/>
          <w:highlight w:val="none"/>
        </w:rPr>
      </w:pPr>
      <w:bookmarkStart w:id="17" w:name="bookmark5"/>
      <w:bookmarkEnd w:id="17"/>
      <w:bookmarkStart w:id="18" w:name="_Toc19276"/>
      <w:r>
        <w:rPr>
          <w:rFonts w:hint="eastAsia" w:asciiTheme="minorEastAsia" w:hAnsiTheme="minorEastAsia" w:eastAsiaTheme="minorEastAsia" w:cstheme="minorEastAsia"/>
          <w:b/>
          <w:bCs/>
          <w:color w:val="auto"/>
          <w:spacing w:val="0"/>
          <w:sz w:val="24"/>
          <w:szCs w:val="24"/>
          <w:highlight w:val="none"/>
          <w:lang w:val="en-US" w:eastAsia="zh-CN"/>
        </w:rPr>
        <w:t>3.</w:t>
      </w:r>
      <w:r>
        <w:rPr>
          <w:rFonts w:hint="eastAsia" w:asciiTheme="minorEastAsia" w:hAnsiTheme="minorEastAsia" w:eastAsiaTheme="minorEastAsia" w:cstheme="minorEastAsia"/>
          <w:b/>
          <w:bCs/>
          <w:color w:val="auto"/>
          <w:spacing w:val="0"/>
          <w:sz w:val="24"/>
          <w:szCs w:val="24"/>
          <w:highlight w:val="none"/>
        </w:rPr>
        <w:t>医疗设备</w:t>
      </w:r>
      <w:bookmarkEnd w:id="18"/>
    </w:p>
    <w:p w14:paraId="232709EC">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80" w:firstLineChars="200"/>
        <w:jc w:val="both"/>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lang w:val="en-US" w:eastAsia="zh-CN"/>
        </w:rPr>
        <w:t>监管医院</w:t>
      </w:r>
      <w:r>
        <w:rPr>
          <w:rFonts w:hint="eastAsia" w:asciiTheme="minorEastAsia" w:hAnsiTheme="minorEastAsia" w:eastAsiaTheme="minorEastAsia" w:cstheme="minorEastAsia"/>
          <w:color w:val="auto"/>
          <w:spacing w:val="0"/>
          <w:sz w:val="24"/>
          <w:szCs w:val="24"/>
          <w:highlight w:val="none"/>
        </w:rPr>
        <w:t>内</w:t>
      </w:r>
      <w:r>
        <w:rPr>
          <w:rFonts w:hint="eastAsia" w:asciiTheme="minorEastAsia" w:hAnsiTheme="minorEastAsia" w:eastAsiaTheme="minorEastAsia" w:cstheme="minorEastAsia"/>
          <w:color w:val="auto"/>
          <w:spacing w:val="0"/>
          <w:sz w:val="24"/>
          <w:szCs w:val="24"/>
          <w:highlight w:val="none"/>
          <w:lang w:val="en-US" w:eastAsia="zh-CN"/>
        </w:rPr>
        <w:t>缺少的</w:t>
      </w:r>
      <w:r>
        <w:rPr>
          <w:rFonts w:hint="eastAsia" w:asciiTheme="minorEastAsia" w:hAnsiTheme="minorEastAsia" w:eastAsiaTheme="minorEastAsia" w:cstheme="minorEastAsia"/>
          <w:color w:val="auto"/>
          <w:spacing w:val="0"/>
          <w:sz w:val="24"/>
          <w:szCs w:val="24"/>
          <w:highlight w:val="none"/>
        </w:rPr>
        <w:t>医疗设备由</w:t>
      </w:r>
      <w:r>
        <w:rPr>
          <w:rFonts w:hint="eastAsia" w:asciiTheme="minorEastAsia" w:hAnsiTheme="minorEastAsia" w:eastAsiaTheme="minorEastAsia" w:cstheme="minorEastAsia"/>
          <w:color w:val="auto"/>
          <w:spacing w:val="0"/>
          <w:sz w:val="24"/>
          <w:szCs w:val="24"/>
          <w:highlight w:val="none"/>
          <w:lang w:eastAsia="zh-CN"/>
        </w:rPr>
        <w:t>中标单位</w:t>
      </w:r>
      <w:r>
        <w:rPr>
          <w:rFonts w:hint="eastAsia" w:asciiTheme="minorEastAsia" w:hAnsiTheme="minorEastAsia" w:eastAsiaTheme="minorEastAsia" w:cstheme="minorEastAsia"/>
          <w:color w:val="auto"/>
          <w:spacing w:val="0"/>
          <w:sz w:val="24"/>
          <w:szCs w:val="24"/>
          <w:highlight w:val="none"/>
        </w:rPr>
        <w:t>负责提供</w:t>
      </w:r>
      <w:r>
        <w:rPr>
          <w:rFonts w:hint="eastAsia" w:asciiTheme="minorEastAsia" w:hAnsiTheme="minorEastAsia" w:eastAsia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pacing w:val="0"/>
          <w:sz w:val="24"/>
          <w:szCs w:val="24"/>
          <w:highlight w:val="none"/>
          <w:lang w:val="en-US" w:eastAsia="zh-CN"/>
        </w:rPr>
        <w:t>如</w:t>
      </w:r>
      <w:r>
        <w:rPr>
          <w:rFonts w:hint="eastAsia" w:asciiTheme="minorEastAsia" w:hAnsiTheme="minorEastAsia" w:eastAsiaTheme="minorEastAsia" w:cstheme="minorEastAsia"/>
          <w:color w:val="auto"/>
          <w:spacing w:val="0"/>
          <w:sz w:val="24"/>
          <w:szCs w:val="24"/>
          <w:highlight w:val="none"/>
        </w:rPr>
        <w:t>检验、</w:t>
      </w:r>
      <w:r>
        <w:rPr>
          <w:rFonts w:hint="eastAsia" w:asciiTheme="minorEastAsia" w:hAnsiTheme="minorEastAsia" w:eastAsiaTheme="minorEastAsia" w:cstheme="minorEastAsia"/>
          <w:color w:val="auto"/>
          <w:spacing w:val="0"/>
          <w:sz w:val="24"/>
          <w:szCs w:val="24"/>
          <w:highlight w:val="none"/>
          <w:lang w:val="en-US" w:eastAsia="zh-CN"/>
        </w:rPr>
        <w:t>抢救等</w:t>
      </w:r>
      <w:r>
        <w:rPr>
          <w:rFonts w:hint="eastAsia" w:asciiTheme="minorEastAsia" w:hAnsiTheme="minorEastAsia" w:eastAsiaTheme="minorEastAsia" w:cstheme="minorEastAsia"/>
          <w:color w:val="auto"/>
          <w:spacing w:val="0"/>
          <w:sz w:val="24"/>
          <w:szCs w:val="24"/>
          <w:highlight w:val="none"/>
        </w:rPr>
        <w:t>设备</w:t>
      </w:r>
      <w:r>
        <w:rPr>
          <w:rFonts w:hint="eastAsia" w:asciiTheme="minorEastAsia" w:hAnsiTheme="minorEastAsia" w:eastAsiaTheme="minorEastAsia" w:cstheme="minorEastAsia"/>
          <w:color w:val="auto"/>
          <w:spacing w:val="0"/>
          <w:sz w:val="24"/>
          <w:szCs w:val="24"/>
          <w:highlight w:val="none"/>
        </w:rPr>
        <w:t>，如有损坏等异常情况及时维修并提供备用设备，确保正常运行。</w:t>
      </w:r>
    </w:p>
    <w:p w14:paraId="589B3F7B">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82" w:firstLineChars="200"/>
        <w:textAlignment w:val="baseline"/>
        <w:outlineLvl w:val="9"/>
        <w:rPr>
          <w:rFonts w:hint="eastAsia" w:asciiTheme="minorEastAsia" w:hAnsiTheme="minorEastAsia" w:eastAsiaTheme="minorEastAsia" w:cstheme="minorEastAsia"/>
          <w:b/>
          <w:bCs/>
          <w:color w:val="auto"/>
          <w:spacing w:val="0"/>
          <w:sz w:val="24"/>
          <w:szCs w:val="24"/>
          <w:highlight w:val="none"/>
          <w:lang w:val="en-US" w:eastAsia="zh-CN"/>
        </w:rPr>
      </w:pPr>
      <w:bookmarkStart w:id="19" w:name="_Toc1371"/>
    </w:p>
    <w:p w14:paraId="0C0055E1">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82" w:firstLineChars="200"/>
        <w:textAlignment w:val="baseline"/>
        <w:outlineLvl w:val="9"/>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b/>
          <w:bCs/>
          <w:color w:val="auto"/>
          <w:spacing w:val="0"/>
          <w:sz w:val="24"/>
          <w:szCs w:val="24"/>
          <w:highlight w:val="none"/>
          <w:lang w:val="en-US" w:eastAsia="zh-CN"/>
        </w:rPr>
        <w:t>4.</w:t>
      </w:r>
      <w:r>
        <w:rPr>
          <w:rFonts w:hint="eastAsia" w:asciiTheme="minorEastAsia" w:hAnsiTheme="minorEastAsia" w:eastAsiaTheme="minorEastAsia" w:cstheme="minorEastAsia"/>
          <w:b/>
          <w:bCs/>
          <w:color w:val="auto"/>
          <w:spacing w:val="0"/>
          <w:sz w:val="24"/>
          <w:szCs w:val="24"/>
          <w:highlight w:val="none"/>
        </w:rPr>
        <w:t>证件事项</w:t>
      </w:r>
      <w:bookmarkEnd w:id="19"/>
    </w:p>
    <w:p w14:paraId="447C2606">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80" w:firstLineChars="200"/>
        <w:jc w:val="both"/>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lang w:eastAsia="zh-CN"/>
        </w:rPr>
        <w:t>中标单位</w:t>
      </w:r>
      <w:r>
        <w:rPr>
          <w:rFonts w:hint="eastAsia" w:asciiTheme="minorEastAsia" w:hAnsiTheme="minorEastAsia" w:eastAsiaTheme="minorEastAsia" w:cstheme="minorEastAsia"/>
          <w:color w:val="auto"/>
          <w:spacing w:val="0"/>
          <w:sz w:val="24"/>
          <w:szCs w:val="24"/>
          <w:highlight w:val="none"/>
        </w:rPr>
        <w:t>负责办理《医疗机构执业许可证</w:t>
      </w:r>
      <w:r>
        <w:rPr>
          <w:rFonts w:hint="eastAsia" w:asciiTheme="minorEastAsia" w:hAnsiTheme="minorEastAsia" w:eastAsia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pacing w:val="0"/>
          <w:sz w:val="24"/>
          <w:szCs w:val="24"/>
          <w:highlight w:val="none"/>
        </w:rPr>
        <w:t>放射诊疗许可证》等医疗执业所需证件，医疗机构</w:t>
      </w:r>
      <w:r>
        <w:rPr>
          <w:rFonts w:hint="eastAsia" w:asciiTheme="minorEastAsia" w:hAnsiTheme="minorEastAsia" w:eastAsiaTheme="minorEastAsia" w:cstheme="minorEastAsia"/>
          <w:color w:val="auto"/>
          <w:sz w:val="24"/>
          <w:szCs w:val="24"/>
          <w:highlight w:val="none"/>
          <w:lang w:val="en-US" w:eastAsia="zh-CN"/>
        </w:rPr>
        <w:t>法定代表人及负责人</w:t>
      </w:r>
      <w:r>
        <w:rPr>
          <w:rFonts w:hint="eastAsia" w:asciiTheme="minorEastAsia" w:hAnsiTheme="minorEastAsia" w:eastAsiaTheme="minorEastAsia" w:cstheme="minorEastAsia"/>
          <w:color w:val="auto"/>
          <w:spacing w:val="0"/>
          <w:sz w:val="24"/>
          <w:szCs w:val="24"/>
          <w:highlight w:val="none"/>
        </w:rPr>
        <w:t>由</w:t>
      </w:r>
      <w:r>
        <w:rPr>
          <w:rFonts w:hint="eastAsia" w:asciiTheme="minorEastAsia" w:hAnsiTheme="minorEastAsia" w:eastAsiaTheme="minorEastAsia" w:cstheme="minorEastAsia"/>
          <w:color w:val="auto"/>
          <w:spacing w:val="0"/>
          <w:sz w:val="24"/>
          <w:szCs w:val="24"/>
          <w:highlight w:val="none"/>
          <w:lang w:eastAsia="zh-CN"/>
        </w:rPr>
        <w:t>中标单位</w:t>
      </w:r>
      <w:r>
        <w:rPr>
          <w:rFonts w:hint="eastAsia" w:asciiTheme="minorEastAsia" w:hAnsiTheme="minorEastAsia" w:eastAsiaTheme="minorEastAsia" w:cstheme="minorEastAsia"/>
          <w:color w:val="auto"/>
          <w:spacing w:val="0"/>
          <w:sz w:val="24"/>
          <w:szCs w:val="24"/>
          <w:highlight w:val="none"/>
        </w:rPr>
        <w:t>担任。</w:t>
      </w:r>
    </w:p>
    <w:p w14:paraId="4FDD4FF6">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82" w:firstLineChars="200"/>
        <w:textAlignment w:val="baseline"/>
        <w:outlineLvl w:val="9"/>
        <w:rPr>
          <w:rFonts w:hint="eastAsia" w:asciiTheme="minorEastAsia" w:hAnsiTheme="minorEastAsia" w:eastAsiaTheme="minorEastAsia" w:cstheme="minorEastAsia"/>
          <w:b/>
          <w:bCs/>
          <w:color w:val="auto"/>
          <w:spacing w:val="0"/>
          <w:sz w:val="24"/>
          <w:szCs w:val="24"/>
          <w:highlight w:val="none"/>
          <w:lang w:val="en-US" w:eastAsia="zh-CN"/>
        </w:rPr>
      </w:pPr>
      <w:bookmarkStart w:id="20" w:name="_Toc5352"/>
    </w:p>
    <w:p w14:paraId="1139811A">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82" w:firstLineChars="200"/>
        <w:textAlignment w:val="baseline"/>
        <w:outlineLvl w:val="9"/>
        <w:rPr>
          <w:rFonts w:hint="default"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b/>
          <w:bCs/>
          <w:color w:val="auto"/>
          <w:spacing w:val="0"/>
          <w:sz w:val="24"/>
          <w:szCs w:val="24"/>
          <w:highlight w:val="none"/>
          <w:lang w:val="en-US" w:eastAsia="zh-CN"/>
        </w:rPr>
        <w:t>5.责任划分</w:t>
      </w:r>
    </w:p>
    <w:p w14:paraId="37F5557D">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80" w:firstLineChars="200"/>
        <w:jc w:val="both"/>
        <w:textAlignment w:val="baseline"/>
        <w:rPr>
          <w:rFonts w:hint="default" w:eastAsia="宋体" w:asciiTheme="minorEastAsia" w:hAnsi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双方严格遵循“公安部门负责监管安全，中标单位负责医疗卫生”的医</w:t>
      </w:r>
      <w:r>
        <w:rPr>
          <w:rFonts w:hint="eastAsia" w:ascii="宋体" w:hAnsi="宋体" w:eastAsia="宋体" w:cs="宋体"/>
          <w:color w:val="auto"/>
          <w:spacing w:val="0"/>
          <w:sz w:val="24"/>
          <w:szCs w:val="24"/>
          <w:highlight w:val="none"/>
        </w:rPr>
        <w:t>疗专业化运作模式，安全事故导致被监管人员伤害、死亡等事件由</w:t>
      </w:r>
      <w:r>
        <w:rPr>
          <w:rFonts w:hint="eastAsia" w:ascii="宋体" w:hAnsi="宋体" w:eastAsia="宋体" w:cs="宋体"/>
          <w:color w:val="auto"/>
          <w:spacing w:val="0"/>
          <w:sz w:val="24"/>
          <w:szCs w:val="24"/>
          <w:highlight w:val="none"/>
          <w:lang w:eastAsia="zh-CN"/>
        </w:rPr>
        <w:t>采购人</w:t>
      </w:r>
      <w:r>
        <w:rPr>
          <w:rFonts w:hint="eastAsia" w:ascii="宋体" w:hAnsi="宋体" w:eastAsia="宋体" w:cs="宋体"/>
          <w:color w:val="auto"/>
          <w:spacing w:val="0"/>
          <w:sz w:val="24"/>
          <w:szCs w:val="24"/>
          <w:highlight w:val="none"/>
        </w:rPr>
        <w:t>负责，</w:t>
      </w:r>
      <w:r>
        <w:rPr>
          <w:rFonts w:hint="eastAsia" w:ascii="宋体" w:hAnsi="宋体" w:eastAsia="宋体" w:cs="宋体"/>
          <w:color w:val="auto"/>
          <w:spacing w:val="0"/>
          <w:sz w:val="24"/>
          <w:szCs w:val="24"/>
          <w:highlight w:val="none"/>
          <w:lang w:val="en-US" w:eastAsia="zh-CN"/>
        </w:rPr>
        <w:t>中标单位医务人员发生</w:t>
      </w:r>
      <w:r>
        <w:rPr>
          <w:rFonts w:hint="eastAsia" w:ascii="宋体" w:hAnsi="宋体" w:eastAsia="宋体" w:cs="宋体"/>
          <w:color w:val="auto"/>
          <w:spacing w:val="0"/>
          <w:sz w:val="24"/>
          <w:szCs w:val="24"/>
          <w:highlight w:val="none"/>
        </w:rPr>
        <w:t>被监管人员伤害等事件由</w:t>
      </w:r>
      <w:r>
        <w:rPr>
          <w:rFonts w:hint="eastAsia" w:ascii="宋体" w:hAnsi="宋体" w:eastAsia="宋体" w:cs="宋体"/>
          <w:color w:val="auto"/>
          <w:spacing w:val="0"/>
          <w:sz w:val="24"/>
          <w:szCs w:val="24"/>
          <w:highlight w:val="none"/>
          <w:lang w:eastAsia="zh-CN"/>
        </w:rPr>
        <w:t>采购人</w:t>
      </w:r>
      <w:r>
        <w:rPr>
          <w:rFonts w:hint="eastAsia" w:ascii="宋体" w:hAnsi="宋体" w:eastAsia="宋体" w:cs="宋体"/>
          <w:color w:val="auto"/>
          <w:spacing w:val="0"/>
          <w:sz w:val="24"/>
          <w:szCs w:val="24"/>
          <w:highlight w:val="none"/>
        </w:rPr>
        <w:t>负责，</w:t>
      </w:r>
      <w:r>
        <w:rPr>
          <w:rFonts w:hint="eastAsia" w:ascii="宋体" w:hAnsi="宋体" w:eastAsia="宋体" w:cs="宋体"/>
          <w:color w:val="auto"/>
          <w:spacing w:val="0"/>
          <w:sz w:val="24"/>
          <w:szCs w:val="24"/>
          <w:highlight w:val="none"/>
          <w:lang w:val="en-US" w:eastAsia="zh-CN"/>
        </w:rPr>
        <w:t>中标单位医务人员</w:t>
      </w:r>
      <w:r>
        <w:rPr>
          <w:rFonts w:hint="eastAsia" w:ascii="宋体" w:hAnsi="宋体" w:eastAsia="宋体" w:cs="宋体"/>
          <w:color w:val="auto"/>
          <w:spacing w:val="0"/>
          <w:sz w:val="24"/>
          <w:szCs w:val="24"/>
          <w:highlight w:val="none"/>
        </w:rPr>
        <w:t>违反诊疗规范发生的医疗差错、医疗事故导致被监管人员伤害、死亡等医疗纠纷由</w:t>
      </w:r>
      <w:r>
        <w:rPr>
          <w:rFonts w:hint="eastAsia" w:ascii="宋体" w:hAnsi="宋体" w:eastAsia="宋体" w:cs="宋体"/>
          <w:color w:val="auto"/>
          <w:spacing w:val="0"/>
          <w:sz w:val="24"/>
          <w:szCs w:val="24"/>
          <w:highlight w:val="none"/>
          <w:lang w:eastAsia="zh-CN"/>
        </w:rPr>
        <w:t>中标单位</w:t>
      </w:r>
      <w:r>
        <w:rPr>
          <w:rFonts w:hint="eastAsia" w:ascii="宋体" w:hAnsi="宋体" w:eastAsia="宋体" w:cs="宋体"/>
          <w:color w:val="auto"/>
          <w:spacing w:val="0"/>
          <w:sz w:val="24"/>
          <w:szCs w:val="24"/>
          <w:highlight w:val="none"/>
        </w:rPr>
        <w:t>负责</w:t>
      </w:r>
      <w:r>
        <w:rPr>
          <w:rFonts w:hint="eastAsia" w:ascii="宋体" w:hAnsi="宋体" w:eastAsia="宋体" w:cs="宋体"/>
          <w:color w:val="auto"/>
          <w:spacing w:val="0"/>
          <w:sz w:val="24"/>
          <w:szCs w:val="24"/>
          <w:highlight w:val="none"/>
          <w:lang w:eastAsia="zh-CN"/>
        </w:rPr>
        <w:t>。</w:t>
      </w:r>
    </w:p>
    <w:p w14:paraId="6F894739">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82" w:firstLineChars="200"/>
        <w:textAlignment w:val="baseline"/>
        <w:outlineLvl w:val="9"/>
        <w:rPr>
          <w:rFonts w:hint="eastAsia" w:asciiTheme="minorEastAsia" w:hAnsiTheme="minorEastAsia" w:eastAsiaTheme="minorEastAsia" w:cstheme="minorEastAsia"/>
          <w:b/>
          <w:bCs/>
          <w:color w:val="auto"/>
          <w:spacing w:val="0"/>
          <w:sz w:val="24"/>
          <w:szCs w:val="24"/>
          <w:highlight w:val="none"/>
          <w:lang w:val="en-US" w:eastAsia="zh-CN"/>
        </w:rPr>
      </w:pPr>
    </w:p>
    <w:p w14:paraId="191313DA">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82" w:firstLineChars="200"/>
        <w:textAlignment w:val="baseline"/>
        <w:outlineLvl w:val="9"/>
        <w:rPr>
          <w:rFonts w:hint="default" w:asciiTheme="minorEastAsia" w:hAnsiTheme="minorEastAsia" w:eastAsiaTheme="minorEastAsia" w:cstheme="minorEastAsia"/>
          <w:b/>
          <w:bCs/>
          <w:color w:val="auto"/>
          <w:spacing w:val="0"/>
          <w:sz w:val="24"/>
          <w:szCs w:val="24"/>
          <w:highlight w:val="none"/>
          <w:lang w:val="en-US" w:eastAsia="zh-CN"/>
        </w:rPr>
      </w:pPr>
      <w:r>
        <w:rPr>
          <w:rFonts w:hint="eastAsia" w:asciiTheme="minorEastAsia" w:hAnsiTheme="minorEastAsia" w:eastAsiaTheme="minorEastAsia" w:cstheme="minorEastAsia"/>
          <w:b/>
          <w:bCs/>
          <w:color w:val="auto"/>
          <w:spacing w:val="0"/>
          <w:sz w:val="24"/>
          <w:szCs w:val="24"/>
          <w:highlight w:val="none"/>
          <w:lang w:val="en-US" w:eastAsia="zh-CN"/>
        </w:rPr>
        <w:t>6.违约责任</w:t>
      </w:r>
    </w:p>
    <w:p w14:paraId="204A1906">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78"/>
        <w:textAlignment w:val="baseline"/>
        <w:rPr>
          <w:rFonts w:hint="default" w:asciiTheme="minorEastAsia" w:hAnsiTheme="minorEastAsia" w:eastAsiaTheme="minorEastAsia" w:cstheme="minorEastAsia"/>
          <w:color w:val="auto"/>
          <w:spacing w:val="0"/>
          <w:sz w:val="24"/>
          <w:szCs w:val="24"/>
          <w:highlight w:val="none"/>
          <w:lang w:val="en-US"/>
        </w:rPr>
      </w:pPr>
      <w:r>
        <w:rPr>
          <w:rFonts w:hint="eastAsia" w:asciiTheme="minorEastAsia" w:hAnsiTheme="minorEastAsia" w:eastAsiaTheme="minorEastAsia" w:cstheme="minorEastAsia"/>
          <w:color w:val="auto"/>
          <w:spacing w:val="0"/>
          <w:sz w:val="24"/>
          <w:szCs w:val="24"/>
          <w:highlight w:val="none"/>
          <w:lang w:val="en-US" w:eastAsia="zh-CN"/>
        </w:rPr>
        <w:t>中标单位未按采购人要求完成监管场所医疗专业化任务，采购人有权拒绝支付合作费用或无条件单方面解除协议。</w:t>
      </w:r>
    </w:p>
    <w:p w14:paraId="2D82F1CE">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82" w:firstLineChars="200"/>
        <w:textAlignment w:val="baseline"/>
        <w:outlineLvl w:val="9"/>
        <w:rPr>
          <w:rFonts w:hint="eastAsia" w:asciiTheme="minorEastAsia" w:hAnsiTheme="minorEastAsia" w:eastAsiaTheme="minorEastAsia" w:cstheme="minorEastAsia"/>
          <w:b/>
          <w:bCs/>
          <w:color w:val="auto"/>
          <w:spacing w:val="0"/>
          <w:sz w:val="24"/>
          <w:szCs w:val="24"/>
          <w:highlight w:val="none"/>
          <w:lang w:val="en-US" w:eastAsia="zh-CN"/>
        </w:rPr>
      </w:pPr>
    </w:p>
    <w:p w14:paraId="37B0E277">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82" w:firstLineChars="200"/>
        <w:textAlignment w:val="baseline"/>
        <w:outlineLvl w:val="9"/>
        <w:rPr>
          <w:rFonts w:hint="eastAsia" w:asciiTheme="minorEastAsia" w:hAnsiTheme="minorEastAsia" w:eastAsiaTheme="minorEastAsia" w:cstheme="minorEastAsia"/>
          <w:b/>
          <w:bCs/>
          <w:color w:val="auto"/>
          <w:spacing w:val="0"/>
          <w:sz w:val="24"/>
          <w:szCs w:val="24"/>
          <w:highlight w:val="none"/>
        </w:rPr>
      </w:pPr>
      <w:r>
        <w:rPr>
          <w:rFonts w:hint="eastAsia" w:asciiTheme="minorEastAsia" w:hAnsiTheme="minorEastAsia" w:eastAsiaTheme="minorEastAsia" w:cstheme="minorEastAsia"/>
          <w:b/>
          <w:bCs/>
          <w:color w:val="auto"/>
          <w:spacing w:val="0"/>
          <w:sz w:val="24"/>
          <w:szCs w:val="24"/>
          <w:highlight w:val="none"/>
          <w:lang w:val="en-US" w:eastAsia="zh-CN"/>
        </w:rPr>
        <w:t>7.</w:t>
      </w:r>
      <w:r>
        <w:rPr>
          <w:rFonts w:hint="eastAsia" w:asciiTheme="minorEastAsia" w:hAnsiTheme="minorEastAsia" w:eastAsiaTheme="minorEastAsia" w:cstheme="minorEastAsia"/>
          <w:b/>
          <w:bCs/>
          <w:color w:val="auto"/>
          <w:spacing w:val="0"/>
          <w:sz w:val="24"/>
          <w:szCs w:val="24"/>
          <w:highlight w:val="none"/>
        </w:rPr>
        <w:t>考核内容</w:t>
      </w:r>
      <w:bookmarkEnd w:id="20"/>
    </w:p>
    <w:p w14:paraId="7AEACADF">
      <w:pPr>
        <w:pStyle w:val="2"/>
        <w:keepNext w:val="0"/>
        <w:keepLines w:val="0"/>
        <w:pageBreakBefore w:val="0"/>
        <w:widowControl/>
        <w:kinsoku/>
        <w:wordWrap/>
        <w:overflowPunct/>
        <w:topLinePunct w:val="0"/>
        <w:autoSpaceDE w:val="0"/>
        <w:autoSpaceDN w:val="0"/>
        <w:bidi w:val="0"/>
        <w:adjustRightInd w:val="0"/>
        <w:snapToGrid w:val="0"/>
        <w:spacing w:line="240" w:lineRule="auto"/>
        <w:ind w:left="0" w:leftChars="0" w:right="0" w:firstLine="478"/>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派驻的医护人员应接受监管中心的全方位监督、检查和</w:t>
      </w:r>
      <w:r>
        <w:rPr>
          <w:rFonts w:hint="eastAsia" w:asciiTheme="minorEastAsia" w:hAnsiTheme="minorEastAsia" w:eastAsiaTheme="minorEastAsia" w:cstheme="minorEastAsia"/>
          <w:color w:val="auto"/>
          <w:spacing w:val="0"/>
          <w:sz w:val="24"/>
          <w:szCs w:val="24"/>
          <w:highlight w:val="none"/>
          <w:lang w:val="en-US" w:eastAsia="zh-CN"/>
        </w:rPr>
        <w:t>考评</w:t>
      </w:r>
      <w:r>
        <w:rPr>
          <w:rFonts w:hint="eastAsia" w:asciiTheme="minorEastAsia" w:hAnsiTheme="minorEastAsia" w:eastAsiaTheme="minorEastAsia" w:cstheme="minorEastAsia"/>
          <w:color w:val="auto"/>
          <w:spacing w:val="0"/>
          <w:sz w:val="24"/>
          <w:szCs w:val="24"/>
          <w:highlight w:val="none"/>
        </w:rPr>
        <w:t>，监管中心组织相关人员每月对医护人员开展考核。考核办法按照打分制进行</w:t>
      </w:r>
      <w:r>
        <w:rPr>
          <w:rFonts w:hint="eastAsia" w:asciiTheme="minorEastAsia" w:hAnsiTheme="minorEastAsia" w:eastAsiaTheme="minorEastAsia" w:cstheme="minorEastAsia"/>
          <w:color w:val="auto"/>
          <w:spacing w:val="0"/>
          <w:sz w:val="24"/>
          <w:szCs w:val="24"/>
          <w:highlight w:val="none"/>
          <w:lang w:eastAsia="zh-CN"/>
        </w:rPr>
        <w:t>，</w:t>
      </w:r>
      <w:r>
        <w:rPr>
          <w:rFonts w:hint="eastAsia" w:asciiTheme="minorEastAsia" w:hAnsiTheme="minorEastAsia" w:eastAsiaTheme="minorEastAsia" w:cstheme="minorEastAsia"/>
          <w:color w:val="auto"/>
          <w:spacing w:val="0"/>
          <w:sz w:val="24"/>
          <w:szCs w:val="24"/>
          <w:highlight w:val="none"/>
        </w:rPr>
        <w:t>考核结果与服务费直接挂钩。</w:t>
      </w:r>
    </w:p>
    <w:p w14:paraId="6116FEAC">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480" w:firstLineChars="200"/>
        <w:textAlignment w:val="baseline"/>
        <w:rPr>
          <w:rFonts w:hint="eastAsia" w:asciiTheme="minorEastAsia" w:hAnsiTheme="minorEastAsia" w:eastAsiaTheme="minorEastAsia" w:cstheme="minorEastAsia"/>
          <w:color w:val="auto"/>
          <w:spacing w:val="0"/>
          <w:sz w:val="24"/>
          <w:szCs w:val="24"/>
          <w:highlight w:val="none"/>
          <w:u w:val="none" w:color="auto"/>
          <w:lang w:val="en-US" w:eastAsia="zh-CN"/>
        </w:rPr>
      </w:pPr>
      <w:r>
        <w:rPr>
          <w:rFonts w:hint="eastAsia" w:asciiTheme="minorEastAsia" w:hAnsiTheme="minorEastAsia" w:eastAsiaTheme="minorEastAsia" w:cstheme="minorEastAsia"/>
          <w:color w:val="auto"/>
          <w:spacing w:val="0"/>
          <w:sz w:val="24"/>
          <w:szCs w:val="24"/>
          <w:highlight w:val="none"/>
          <w:u w:val="none" w:color="auto"/>
          <w:lang w:val="en-US" w:eastAsia="zh-CN"/>
        </w:rPr>
        <w:t>7.1 考核方式</w:t>
      </w:r>
    </w:p>
    <w:p w14:paraId="2E528510">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480" w:firstLineChars="200"/>
        <w:textAlignment w:val="baseline"/>
        <w:rPr>
          <w:rFonts w:hint="eastAsia" w:asciiTheme="minorEastAsia" w:hAnsiTheme="minorEastAsia" w:eastAsiaTheme="minorEastAsia" w:cstheme="minorEastAsia"/>
          <w:color w:val="auto"/>
          <w:spacing w:val="0"/>
          <w:sz w:val="24"/>
          <w:szCs w:val="24"/>
          <w:highlight w:val="none"/>
          <w:u w:val="none" w:color="auto"/>
          <w:lang w:val="en-US" w:eastAsia="zh-CN"/>
        </w:rPr>
      </w:pPr>
      <w:r>
        <w:rPr>
          <w:rFonts w:hint="eastAsia" w:asciiTheme="minorEastAsia" w:hAnsiTheme="minorEastAsia" w:eastAsiaTheme="minorEastAsia" w:cstheme="minorEastAsia"/>
          <w:color w:val="auto"/>
          <w:spacing w:val="0"/>
          <w:sz w:val="24"/>
          <w:szCs w:val="24"/>
          <w:highlight w:val="none"/>
          <w:u w:val="none" w:color="auto"/>
          <w:lang w:val="en-US" w:eastAsia="zh-CN"/>
        </w:rPr>
        <w:t>（1）月度考核：对照《考核计分表》，根据日常考核记录，每月对医护人员开展考核。</w:t>
      </w:r>
    </w:p>
    <w:p w14:paraId="641F59F4">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480" w:firstLineChars="200"/>
        <w:textAlignment w:val="baseline"/>
        <w:rPr>
          <w:rFonts w:hint="eastAsia" w:asciiTheme="minorEastAsia" w:hAnsiTheme="minorEastAsia" w:eastAsiaTheme="minorEastAsia" w:cstheme="minorEastAsia"/>
          <w:color w:val="auto"/>
          <w:spacing w:val="0"/>
          <w:sz w:val="24"/>
          <w:szCs w:val="24"/>
          <w:highlight w:val="none"/>
          <w:u w:val="none" w:color="auto"/>
          <w:lang w:val="en-US" w:eastAsia="zh-CN"/>
        </w:rPr>
      </w:pPr>
      <w:r>
        <w:rPr>
          <w:rFonts w:hint="eastAsia" w:asciiTheme="minorEastAsia" w:hAnsiTheme="minorEastAsia" w:eastAsiaTheme="minorEastAsia" w:cstheme="minorEastAsia"/>
          <w:color w:val="auto"/>
          <w:spacing w:val="0"/>
          <w:sz w:val="24"/>
          <w:szCs w:val="24"/>
          <w:highlight w:val="none"/>
          <w:u w:val="none" w:color="auto"/>
          <w:lang w:val="en-US" w:eastAsia="zh-CN"/>
        </w:rPr>
        <w:t>（2）年度考核：根据月度考核结果，取其平均分即为年度考核结果。</w:t>
      </w:r>
    </w:p>
    <w:p w14:paraId="7B6A5D17">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480" w:firstLineChars="200"/>
        <w:textAlignment w:val="baseline"/>
        <w:rPr>
          <w:rFonts w:hint="eastAsia" w:asciiTheme="minorEastAsia" w:hAnsiTheme="minorEastAsia" w:eastAsiaTheme="minorEastAsia" w:cstheme="minorEastAsia"/>
          <w:color w:val="auto"/>
          <w:spacing w:val="0"/>
          <w:sz w:val="24"/>
          <w:szCs w:val="24"/>
          <w:highlight w:val="none"/>
          <w:u w:val="none" w:color="auto"/>
        </w:rPr>
      </w:pPr>
      <w:r>
        <w:rPr>
          <w:rFonts w:hint="eastAsia" w:asciiTheme="minorEastAsia" w:hAnsiTheme="minorEastAsia" w:eastAsiaTheme="minorEastAsia" w:cstheme="minorEastAsia"/>
          <w:color w:val="auto"/>
          <w:spacing w:val="0"/>
          <w:sz w:val="24"/>
          <w:szCs w:val="24"/>
          <w:highlight w:val="none"/>
          <w:u w:val="none" w:color="auto"/>
          <w:lang w:val="en-US" w:eastAsia="zh-CN"/>
        </w:rPr>
        <w:t>7.2 月度考核得分</w:t>
      </w:r>
      <w:r>
        <w:rPr>
          <w:rFonts w:hint="eastAsia" w:asciiTheme="minorEastAsia" w:hAnsiTheme="minorEastAsia" w:eastAsiaTheme="minorEastAsia" w:cstheme="minorEastAsia"/>
          <w:color w:val="auto"/>
          <w:spacing w:val="0"/>
          <w:sz w:val="24"/>
          <w:szCs w:val="24"/>
          <w:highlight w:val="none"/>
          <w:u w:val="none" w:color="auto"/>
        </w:rPr>
        <w:t>90分（含）以上的，按实际金额支付全额服务费；</w:t>
      </w:r>
    </w:p>
    <w:p w14:paraId="60E9227C">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483"/>
        <w:textAlignment w:val="baseline"/>
        <w:rPr>
          <w:rFonts w:hint="eastAsia" w:asciiTheme="minorEastAsia" w:hAnsiTheme="minorEastAsia" w:eastAsiaTheme="minorEastAsia" w:cstheme="minorEastAsia"/>
          <w:color w:val="auto"/>
          <w:spacing w:val="0"/>
          <w:sz w:val="24"/>
          <w:szCs w:val="24"/>
          <w:highlight w:val="none"/>
          <w:u w:val="none" w:color="auto"/>
        </w:rPr>
      </w:pPr>
      <w:r>
        <w:rPr>
          <w:rFonts w:hint="eastAsia" w:asciiTheme="minorEastAsia" w:hAnsiTheme="minorEastAsia" w:eastAsiaTheme="minorEastAsia" w:cstheme="minorEastAsia"/>
          <w:color w:val="auto"/>
          <w:spacing w:val="0"/>
          <w:sz w:val="24"/>
          <w:szCs w:val="24"/>
          <w:highlight w:val="none"/>
          <w:u w:val="none" w:color="auto"/>
          <w:lang w:val="en-US" w:eastAsia="zh-CN"/>
        </w:rPr>
        <w:t>7.3 月度</w:t>
      </w:r>
      <w:r>
        <w:rPr>
          <w:rFonts w:hint="eastAsia" w:asciiTheme="minorEastAsia" w:hAnsiTheme="minorEastAsia" w:eastAsiaTheme="minorEastAsia" w:cstheme="minorEastAsia"/>
          <w:color w:val="auto"/>
          <w:spacing w:val="0"/>
          <w:sz w:val="24"/>
          <w:szCs w:val="24"/>
          <w:highlight w:val="none"/>
          <w:u w:val="none" w:color="auto"/>
        </w:rPr>
        <w:t>考核</w:t>
      </w:r>
      <w:r>
        <w:rPr>
          <w:rFonts w:hint="eastAsia" w:asciiTheme="minorEastAsia" w:hAnsiTheme="minorEastAsia" w:eastAsiaTheme="minorEastAsia" w:cstheme="minorEastAsia"/>
          <w:color w:val="auto"/>
          <w:spacing w:val="0"/>
          <w:sz w:val="24"/>
          <w:szCs w:val="24"/>
          <w:highlight w:val="none"/>
          <w:u w:val="none" w:color="auto"/>
          <w:lang w:val="en-US" w:eastAsia="zh-CN"/>
        </w:rPr>
        <w:t>得分</w:t>
      </w:r>
      <w:r>
        <w:rPr>
          <w:rFonts w:hint="eastAsia" w:asciiTheme="minorEastAsia" w:hAnsiTheme="minorEastAsia" w:eastAsiaTheme="minorEastAsia" w:cstheme="minorEastAsia"/>
          <w:color w:val="auto"/>
          <w:spacing w:val="0"/>
          <w:sz w:val="24"/>
          <w:szCs w:val="24"/>
          <w:highlight w:val="none"/>
          <w:u w:val="none" w:color="auto"/>
        </w:rPr>
        <w:t>在8</w:t>
      </w:r>
      <w:r>
        <w:rPr>
          <w:rFonts w:hint="eastAsia" w:asciiTheme="minorEastAsia" w:hAnsiTheme="minorEastAsia" w:eastAsiaTheme="minorEastAsia" w:cstheme="minorEastAsia"/>
          <w:color w:val="auto"/>
          <w:spacing w:val="0"/>
          <w:sz w:val="24"/>
          <w:szCs w:val="24"/>
          <w:highlight w:val="none"/>
          <w:u w:val="none" w:color="auto"/>
          <w:lang w:val="en-US" w:eastAsia="zh-CN"/>
        </w:rPr>
        <w:t>0</w:t>
      </w:r>
      <w:r>
        <w:rPr>
          <w:rFonts w:hint="eastAsia" w:asciiTheme="minorEastAsia" w:hAnsiTheme="minorEastAsia" w:eastAsiaTheme="minorEastAsia" w:cstheme="minorEastAsia"/>
          <w:color w:val="auto"/>
          <w:spacing w:val="0"/>
          <w:sz w:val="24"/>
          <w:szCs w:val="24"/>
          <w:highlight w:val="none"/>
          <w:u w:val="none" w:color="auto"/>
        </w:rPr>
        <w:t>-90之间（含80分）</w:t>
      </w:r>
      <w:r>
        <w:rPr>
          <w:rFonts w:hint="eastAsia" w:asciiTheme="minorEastAsia" w:hAnsiTheme="minorEastAsia" w:eastAsiaTheme="minorEastAsia" w:cstheme="minorEastAsia"/>
          <w:color w:val="auto"/>
          <w:spacing w:val="0"/>
          <w:sz w:val="24"/>
          <w:szCs w:val="24"/>
          <w:highlight w:val="none"/>
          <w:u w:val="none" w:color="auto"/>
          <w:lang w:eastAsia="zh-CN"/>
        </w:rPr>
        <w:t>，</w:t>
      </w:r>
      <w:r>
        <w:rPr>
          <w:rFonts w:hint="eastAsia" w:asciiTheme="minorEastAsia" w:hAnsiTheme="minorEastAsia" w:eastAsiaTheme="minorEastAsia" w:cstheme="minorEastAsia"/>
          <w:color w:val="auto"/>
          <w:spacing w:val="0"/>
          <w:sz w:val="24"/>
          <w:szCs w:val="24"/>
          <w:highlight w:val="none"/>
          <w:u w:val="none" w:color="auto"/>
        </w:rPr>
        <w:t>下达整改通知书</w:t>
      </w:r>
      <w:r>
        <w:rPr>
          <w:rFonts w:hint="eastAsia" w:asciiTheme="minorEastAsia" w:hAnsiTheme="minorEastAsia" w:eastAsiaTheme="minorEastAsia" w:cstheme="minorEastAsia"/>
          <w:color w:val="auto"/>
          <w:spacing w:val="0"/>
          <w:sz w:val="24"/>
          <w:szCs w:val="24"/>
          <w:highlight w:val="none"/>
          <w:u w:val="none" w:color="auto"/>
          <w:lang w:eastAsia="zh-CN"/>
        </w:rPr>
        <w:t>，</w:t>
      </w:r>
      <w:r>
        <w:rPr>
          <w:rFonts w:hint="eastAsia" w:asciiTheme="minorEastAsia" w:hAnsiTheme="minorEastAsia" w:eastAsiaTheme="minorEastAsia" w:cstheme="minorEastAsia"/>
          <w:color w:val="auto"/>
          <w:spacing w:val="0"/>
          <w:sz w:val="24"/>
          <w:szCs w:val="24"/>
          <w:highlight w:val="none"/>
          <w:u w:val="none" w:color="auto"/>
        </w:rPr>
        <w:t>并</w:t>
      </w:r>
      <w:r>
        <w:rPr>
          <w:rFonts w:hint="eastAsia" w:asciiTheme="minorEastAsia" w:hAnsiTheme="minorEastAsia" w:eastAsiaTheme="minorEastAsia" w:cstheme="minorEastAsia"/>
          <w:color w:val="auto"/>
          <w:spacing w:val="0"/>
          <w:sz w:val="24"/>
          <w:szCs w:val="24"/>
          <w:highlight w:val="none"/>
          <w:u w:val="none" w:color="auto"/>
          <w:lang w:val="en-US" w:eastAsia="zh-CN"/>
        </w:rPr>
        <w:t>要求</w:t>
      </w:r>
      <w:r>
        <w:rPr>
          <w:rFonts w:hint="eastAsia" w:asciiTheme="minorEastAsia" w:hAnsiTheme="minorEastAsia" w:eastAsiaTheme="minorEastAsia" w:cstheme="minorEastAsia"/>
          <w:color w:val="auto"/>
          <w:spacing w:val="0"/>
          <w:sz w:val="24"/>
          <w:szCs w:val="24"/>
          <w:highlight w:val="none"/>
          <w:u w:val="none" w:color="auto"/>
        </w:rPr>
        <w:t>向</w:t>
      </w:r>
      <w:r>
        <w:rPr>
          <w:rFonts w:hint="eastAsia" w:asciiTheme="minorEastAsia" w:hAnsiTheme="minorEastAsia" w:eastAsiaTheme="minorEastAsia" w:cstheme="minorEastAsia"/>
          <w:color w:val="auto"/>
          <w:spacing w:val="0"/>
          <w:sz w:val="24"/>
          <w:szCs w:val="24"/>
          <w:highlight w:val="none"/>
          <w:u w:val="none" w:color="auto"/>
          <w:lang w:eastAsia="zh-CN"/>
        </w:rPr>
        <w:t>萍乡市</w:t>
      </w:r>
      <w:r>
        <w:rPr>
          <w:rFonts w:hint="eastAsia" w:asciiTheme="minorEastAsia" w:hAnsiTheme="minorEastAsia" w:eastAsiaTheme="minorEastAsia" w:cstheme="minorEastAsia"/>
          <w:color w:val="auto"/>
          <w:spacing w:val="0"/>
          <w:sz w:val="24"/>
          <w:szCs w:val="24"/>
          <w:highlight w:val="none"/>
          <w:u w:val="none" w:color="auto"/>
        </w:rPr>
        <w:t>公安局进行书面汇报，同时责令整改到位，按相应比例扣款服务费（例如：考核</w:t>
      </w:r>
      <w:r>
        <w:rPr>
          <w:rFonts w:hint="eastAsia" w:asciiTheme="minorEastAsia" w:hAnsiTheme="minorEastAsia" w:eastAsiaTheme="minorEastAsia" w:cstheme="minorEastAsia"/>
          <w:color w:val="auto"/>
          <w:spacing w:val="0"/>
          <w:sz w:val="24"/>
          <w:szCs w:val="24"/>
          <w:highlight w:val="none"/>
          <w:u w:val="none" w:color="auto"/>
          <w:lang w:val="en-US" w:eastAsia="zh-CN"/>
        </w:rPr>
        <w:t>得分</w:t>
      </w:r>
      <w:r>
        <w:rPr>
          <w:rFonts w:hint="eastAsia" w:asciiTheme="minorEastAsia" w:hAnsiTheme="minorEastAsia" w:eastAsiaTheme="minorEastAsia" w:cstheme="minorEastAsia"/>
          <w:color w:val="auto"/>
          <w:spacing w:val="0"/>
          <w:sz w:val="24"/>
          <w:szCs w:val="24"/>
          <w:highlight w:val="none"/>
          <w:u w:val="none" w:color="auto"/>
        </w:rPr>
        <w:t>为85分，即支付当月服务费的85%，下同）；</w:t>
      </w:r>
    </w:p>
    <w:p w14:paraId="0E33B278">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456"/>
        <w:textAlignment w:val="baseline"/>
        <w:rPr>
          <w:rFonts w:hint="eastAsia" w:asciiTheme="minorEastAsia" w:hAnsiTheme="minorEastAsia" w:eastAsiaTheme="minorEastAsia" w:cstheme="minorEastAsia"/>
          <w:color w:val="auto"/>
          <w:spacing w:val="0"/>
          <w:sz w:val="24"/>
          <w:szCs w:val="24"/>
          <w:highlight w:val="none"/>
          <w:u w:val="none" w:color="auto"/>
          <w:lang w:val="en-US" w:eastAsia="zh-CN"/>
        </w:rPr>
      </w:pPr>
      <w:r>
        <w:rPr>
          <w:rFonts w:hint="eastAsia" w:asciiTheme="minorEastAsia" w:hAnsiTheme="minorEastAsia" w:eastAsiaTheme="minorEastAsia" w:cstheme="minorEastAsia"/>
          <w:color w:val="auto"/>
          <w:spacing w:val="0"/>
          <w:sz w:val="24"/>
          <w:szCs w:val="24"/>
          <w:highlight w:val="none"/>
          <w:u w:val="none" w:color="auto"/>
          <w:lang w:val="en-US" w:eastAsia="zh-CN"/>
        </w:rPr>
        <w:t>7.4 连续两个月或累计三个月</w:t>
      </w:r>
      <w:r>
        <w:rPr>
          <w:rFonts w:hint="eastAsia" w:asciiTheme="minorEastAsia" w:hAnsiTheme="minorEastAsia" w:eastAsiaTheme="minorEastAsia" w:cstheme="minorEastAsia"/>
          <w:color w:val="auto"/>
          <w:spacing w:val="0"/>
          <w:sz w:val="24"/>
          <w:szCs w:val="24"/>
          <w:highlight w:val="none"/>
          <w:u w:val="none" w:color="auto"/>
        </w:rPr>
        <w:t>考核</w:t>
      </w:r>
      <w:r>
        <w:rPr>
          <w:rFonts w:hint="eastAsia" w:asciiTheme="minorEastAsia" w:hAnsiTheme="minorEastAsia" w:eastAsiaTheme="minorEastAsia" w:cstheme="minorEastAsia"/>
          <w:color w:val="auto"/>
          <w:spacing w:val="0"/>
          <w:sz w:val="24"/>
          <w:szCs w:val="24"/>
          <w:highlight w:val="none"/>
          <w:u w:val="none" w:color="auto"/>
          <w:lang w:val="en-US" w:eastAsia="zh-CN"/>
        </w:rPr>
        <w:t>得分低于80</w:t>
      </w:r>
      <w:r>
        <w:rPr>
          <w:rFonts w:hint="eastAsia" w:asciiTheme="minorEastAsia" w:hAnsiTheme="minorEastAsia" w:eastAsiaTheme="minorEastAsia" w:cstheme="minorEastAsia"/>
          <w:color w:val="auto"/>
          <w:spacing w:val="0"/>
          <w:sz w:val="24"/>
          <w:szCs w:val="24"/>
          <w:highlight w:val="none"/>
          <w:u w:val="none" w:color="auto"/>
        </w:rPr>
        <w:t>分</w:t>
      </w:r>
      <w:r>
        <w:rPr>
          <w:rFonts w:hint="eastAsia" w:asciiTheme="minorEastAsia" w:hAnsiTheme="minorEastAsia" w:eastAsiaTheme="minorEastAsia" w:cstheme="minorEastAsia"/>
          <w:color w:val="auto"/>
          <w:spacing w:val="0"/>
          <w:sz w:val="24"/>
          <w:szCs w:val="24"/>
          <w:highlight w:val="none"/>
          <w:u w:val="none" w:color="auto"/>
          <w:lang w:eastAsia="zh-CN"/>
        </w:rPr>
        <w:t>的，</w:t>
      </w:r>
      <w:r>
        <w:rPr>
          <w:rFonts w:hint="eastAsia" w:asciiTheme="minorEastAsia" w:hAnsiTheme="minorEastAsia" w:eastAsiaTheme="minorEastAsia" w:cstheme="minorEastAsia"/>
          <w:color w:val="auto"/>
          <w:spacing w:val="0"/>
          <w:sz w:val="24"/>
          <w:szCs w:val="24"/>
          <w:highlight w:val="none"/>
          <w:u w:val="none" w:color="auto"/>
          <w:lang w:val="en-US" w:eastAsia="zh-CN"/>
        </w:rPr>
        <w:t>采购人有权单方面解除合同，并</w:t>
      </w:r>
      <w:r>
        <w:rPr>
          <w:rFonts w:hint="eastAsia" w:asciiTheme="minorEastAsia" w:hAnsiTheme="minorEastAsia" w:eastAsiaTheme="minorEastAsia" w:cstheme="minorEastAsia"/>
          <w:color w:val="auto"/>
          <w:spacing w:val="0"/>
          <w:sz w:val="24"/>
          <w:szCs w:val="24"/>
          <w:highlight w:val="none"/>
          <w:u w:val="none" w:color="auto"/>
        </w:rPr>
        <w:t>按相应比例扣款服务费</w:t>
      </w:r>
      <w:r>
        <w:rPr>
          <w:rFonts w:hint="eastAsia" w:asciiTheme="minorEastAsia" w:hAnsiTheme="minorEastAsia" w:eastAsiaTheme="minorEastAsia" w:cstheme="minorEastAsia"/>
          <w:color w:val="auto"/>
          <w:spacing w:val="0"/>
          <w:sz w:val="24"/>
          <w:szCs w:val="24"/>
          <w:highlight w:val="none"/>
          <w:u w:val="none" w:color="auto"/>
          <w:lang w:val="en-US" w:eastAsia="zh-CN"/>
        </w:rPr>
        <w:t>。</w:t>
      </w:r>
    </w:p>
    <w:p w14:paraId="643F6C04">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456"/>
        <w:textAlignment w:val="baseline"/>
        <w:rPr>
          <w:rFonts w:hint="default" w:asciiTheme="minorEastAsia" w:hAnsiTheme="minorEastAsia" w:eastAsiaTheme="minorEastAsia" w:cstheme="minorEastAsia"/>
          <w:color w:val="auto"/>
          <w:spacing w:val="0"/>
          <w:sz w:val="24"/>
          <w:szCs w:val="24"/>
          <w:highlight w:val="none"/>
          <w:u w:val="none" w:color="auto"/>
          <w:lang w:val="en-US" w:eastAsia="zh-CN"/>
        </w:rPr>
      </w:pPr>
      <w:r>
        <w:rPr>
          <w:rFonts w:hint="eastAsia" w:asciiTheme="minorEastAsia" w:hAnsiTheme="minorEastAsia" w:eastAsiaTheme="minorEastAsia" w:cstheme="minorEastAsia"/>
          <w:color w:val="auto"/>
          <w:spacing w:val="0"/>
          <w:sz w:val="24"/>
          <w:szCs w:val="24"/>
          <w:highlight w:val="none"/>
          <w:u w:val="none" w:color="auto"/>
          <w:lang w:val="en-US" w:eastAsia="zh-CN"/>
        </w:rPr>
        <w:t>7.5 年度考核得分低于85分的，采购人有权不予续签合同。</w:t>
      </w:r>
    </w:p>
    <w:tbl>
      <w:tblPr>
        <w:tblStyle w:val="7"/>
        <w:tblW w:w="9330" w:type="dxa"/>
        <w:tblInd w:w="-22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20"/>
        <w:gridCol w:w="817"/>
        <w:gridCol w:w="733"/>
        <w:gridCol w:w="4733"/>
        <w:gridCol w:w="750"/>
        <w:gridCol w:w="1677"/>
      </w:tblGrid>
      <w:tr w14:paraId="706ED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4" w:hRule="atLeast"/>
        </w:trPr>
        <w:tc>
          <w:tcPr>
            <w:tcW w:w="9330" w:type="dxa"/>
            <w:gridSpan w:val="6"/>
            <w:noWrap w:val="0"/>
            <w:vAlign w:val="center"/>
          </w:tcPr>
          <w:p w14:paraId="0529ECD6">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b/>
                <w:bCs/>
                <w:color w:val="auto"/>
                <w:spacing w:val="0"/>
                <w:sz w:val="24"/>
                <w:szCs w:val="24"/>
                <w:highlight w:val="none"/>
              </w:rPr>
              <w:t>考核计分表</w:t>
            </w:r>
          </w:p>
        </w:tc>
      </w:tr>
      <w:tr w14:paraId="002A1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620" w:type="dxa"/>
            <w:noWrap w:val="0"/>
            <w:vAlign w:val="center"/>
          </w:tcPr>
          <w:p w14:paraId="763CA0D0">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序号</w:t>
            </w:r>
          </w:p>
        </w:tc>
        <w:tc>
          <w:tcPr>
            <w:tcW w:w="817" w:type="dxa"/>
            <w:noWrap w:val="0"/>
            <w:vAlign w:val="center"/>
          </w:tcPr>
          <w:p w14:paraId="2B38D0EC">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考核</w:t>
            </w:r>
          </w:p>
          <w:p w14:paraId="6CD4F53B">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项目</w:t>
            </w:r>
          </w:p>
        </w:tc>
        <w:tc>
          <w:tcPr>
            <w:tcW w:w="733" w:type="dxa"/>
            <w:noWrap w:val="0"/>
            <w:vAlign w:val="center"/>
          </w:tcPr>
          <w:p w14:paraId="399FB558">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分值</w:t>
            </w:r>
          </w:p>
        </w:tc>
        <w:tc>
          <w:tcPr>
            <w:tcW w:w="4733" w:type="dxa"/>
            <w:noWrap w:val="0"/>
            <w:vAlign w:val="center"/>
          </w:tcPr>
          <w:p w14:paraId="0E5DE8FC">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扣分项目</w:t>
            </w:r>
          </w:p>
        </w:tc>
        <w:tc>
          <w:tcPr>
            <w:tcW w:w="2427" w:type="dxa"/>
            <w:gridSpan w:val="2"/>
            <w:noWrap w:val="0"/>
            <w:vAlign w:val="center"/>
          </w:tcPr>
          <w:p w14:paraId="441A7FE8">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扣分值</w:t>
            </w:r>
          </w:p>
        </w:tc>
      </w:tr>
      <w:tr w14:paraId="27A77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620" w:type="dxa"/>
            <w:vMerge w:val="restart"/>
            <w:noWrap w:val="0"/>
            <w:vAlign w:val="center"/>
          </w:tcPr>
          <w:p w14:paraId="486DED82">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1</w:t>
            </w:r>
          </w:p>
        </w:tc>
        <w:tc>
          <w:tcPr>
            <w:tcW w:w="817" w:type="dxa"/>
            <w:vMerge w:val="restart"/>
            <w:noWrap w:val="0"/>
            <w:vAlign w:val="center"/>
          </w:tcPr>
          <w:p w14:paraId="7CAE8277">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医务</w:t>
            </w:r>
          </w:p>
          <w:p w14:paraId="7EBB4A17">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人员</w:t>
            </w:r>
          </w:p>
          <w:p w14:paraId="06BDC094">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考勤</w:t>
            </w:r>
          </w:p>
        </w:tc>
        <w:tc>
          <w:tcPr>
            <w:tcW w:w="733" w:type="dxa"/>
            <w:vMerge w:val="restart"/>
            <w:noWrap w:val="0"/>
            <w:vAlign w:val="center"/>
          </w:tcPr>
          <w:p w14:paraId="521C1EF9">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10</w:t>
            </w:r>
          </w:p>
        </w:tc>
        <w:tc>
          <w:tcPr>
            <w:tcW w:w="4733" w:type="dxa"/>
            <w:noWrap w:val="0"/>
            <w:vAlign w:val="center"/>
          </w:tcPr>
          <w:p w14:paraId="5FB061C7">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迟到</w:t>
            </w:r>
          </w:p>
        </w:tc>
        <w:tc>
          <w:tcPr>
            <w:tcW w:w="750" w:type="dxa"/>
            <w:noWrap w:val="0"/>
            <w:vAlign w:val="center"/>
          </w:tcPr>
          <w:p w14:paraId="7ECE256A">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-0.5</w:t>
            </w:r>
          </w:p>
        </w:tc>
        <w:tc>
          <w:tcPr>
            <w:tcW w:w="1677" w:type="dxa"/>
            <w:vMerge w:val="restart"/>
            <w:noWrap w:val="0"/>
            <w:vAlign w:val="center"/>
          </w:tcPr>
          <w:p w14:paraId="4486B22F">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105" w:leftChars="50" w:right="105" w:rightChars="5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按每人次数</w:t>
            </w:r>
          </w:p>
          <w:p w14:paraId="07B0F215">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105" w:leftChars="50" w:right="105" w:rightChars="5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计算</w:t>
            </w:r>
          </w:p>
        </w:tc>
      </w:tr>
      <w:tr w14:paraId="14AC83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620" w:type="dxa"/>
            <w:vMerge w:val="continue"/>
            <w:noWrap w:val="0"/>
            <w:vAlign w:val="center"/>
          </w:tcPr>
          <w:p w14:paraId="7E397C43">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817" w:type="dxa"/>
            <w:vMerge w:val="continue"/>
            <w:noWrap w:val="0"/>
            <w:vAlign w:val="center"/>
          </w:tcPr>
          <w:p w14:paraId="238D6C03">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733" w:type="dxa"/>
            <w:vMerge w:val="continue"/>
            <w:noWrap w:val="0"/>
            <w:vAlign w:val="center"/>
          </w:tcPr>
          <w:p w14:paraId="7E5779C0">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4733" w:type="dxa"/>
            <w:noWrap w:val="0"/>
            <w:vAlign w:val="center"/>
          </w:tcPr>
          <w:p w14:paraId="45DB9573">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早退</w:t>
            </w:r>
          </w:p>
        </w:tc>
        <w:tc>
          <w:tcPr>
            <w:tcW w:w="750" w:type="dxa"/>
            <w:noWrap w:val="0"/>
            <w:vAlign w:val="center"/>
          </w:tcPr>
          <w:p w14:paraId="3309A11D">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-0.5</w:t>
            </w:r>
          </w:p>
        </w:tc>
        <w:tc>
          <w:tcPr>
            <w:tcW w:w="1677" w:type="dxa"/>
            <w:vMerge w:val="continue"/>
            <w:noWrap w:val="0"/>
            <w:vAlign w:val="center"/>
          </w:tcPr>
          <w:p w14:paraId="32CF4E8E">
            <w:pPr>
              <w:keepNext w:val="0"/>
              <w:keepLines w:val="0"/>
              <w:pageBreakBefore w:val="0"/>
              <w:widowControl/>
              <w:kinsoku w:val="0"/>
              <w:wordWrap/>
              <w:overflowPunct/>
              <w:topLinePunct w:val="0"/>
              <w:autoSpaceDE w:val="0"/>
              <w:autoSpaceDN w:val="0"/>
              <w:bidi w:val="0"/>
              <w:adjustRightInd w:val="0"/>
              <w:snapToGrid w:val="0"/>
              <w:spacing w:line="240" w:lineRule="auto"/>
              <w:ind w:left="105" w:leftChars="50" w:right="105" w:rightChars="50"/>
              <w:jc w:val="center"/>
              <w:textAlignment w:val="baseline"/>
              <w:rPr>
                <w:rFonts w:hint="eastAsia" w:asciiTheme="minorEastAsia" w:hAnsiTheme="minorEastAsia" w:eastAsiaTheme="minorEastAsia" w:cstheme="minorEastAsia"/>
                <w:color w:val="auto"/>
                <w:spacing w:val="0"/>
                <w:sz w:val="24"/>
                <w:szCs w:val="24"/>
                <w:highlight w:val="none"/>
              </w:rPr>
            </w:pPr>
          </w:p>
        </w:tc>
      </w:tr>
      <w:tr w14:paraId="2C457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620" w:type="dxa"/>
            <w:vMerge w:val="continue"/>
            <w:noWrap w:val="0"/>
            <w:vAlign w:val="center"/>
          </w:tcPr>
          <w:p w14:paraId="6A00D80E">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817" w:type="dxa"/>
            <w:vMerge w:val="continue"/>
            <w:noWrap w:val="0"/>
            <w:vAlign w:val="center"/>
          </w:tcPr>
          <w:p w14:paraId="43473BFF">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733" w:type="dxa"/>
            <w:vMerge w:val="continue"/>
            <w:noWrap w:val="0"/>
            <w:vAlign w:val="center"/>
          </w:tcPr>
          <w:p w14:paraId="34903FD7">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4733" w:type="dxa"/>
            <w:noWrap w:val="0"/>
            <w:vAlign w:val="center"/>
          </w:tcPr>
          <w:p w14:paraId="4F7378AC">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脱岗</w:t>
            </w:r>
          </w:p>
        </w:tc>
        <w:tc>
          <w:tcPr>
            <w:tcW w:w="750" w:type="dxa"/>
            <w:noWrap w:val="0"/>
            <w:vAlign w:val="center"/>
          </w:tcPr>
          <w:p w14:paraId="5EA1068A">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-1</w:t>
            </w:r>
          </w:p>
        </w:tc>
        <w:tc>
          <w:tcPr>
            <w:tcW w:w="1677" w:type="dxa"/>
            <w:vMerge w:val="continue"/>
            <w:noWrap w:val="0"/>
            <w:vAlign w:val="center"/>
          </w:tcPr>
          <w:p w14:paraId="70779692">
            <w:pPr>
              <w:keepNext w:val="0"/>
              <w:keepLines w:val="0"/>
              <w:pageBreakBefore w:val="0"/>
              <w:widowControl/>
              <w:kinsoku w:val="0"/>
              <w:wordWrap/>
              <w:overflowPunct/>
              <w:topLinePunct w:val="0"/>
              <w:autoSpaceDE w:val="0"/>
              <w:autoSpaceDN w:val="0"/>
              <w:bidi w:val="0"/>
              <w:adjustRightInd w:val="0"/>
              <w:snapToGrid w:val="0"/>
              <w:spacing w:line="240" w:lineRule="auto"/>
              <w:ind w:left="105" w:leftChars="50" w:right="105" w:rightChars="50"/>
              <w:jc w:val="center"/>
              <w:textAlignment w:val="baseline"/>
              <w:rPr>
                <w:rFonts w:hint="eastAsia" w:asciiTheme="minorEastAsia" w:hAnsiTheme="minorEastAsia" w:eastAsiaTheme="minorEastAsia" w:cstheme="minorEastAsia"/>
                <w:color w:val="auto"/>
                <w:spacing w:val="0"/>
                <w:sz w:val="24"/>
                <w:szCs w:val="24"/>
                <w:highlight w:val="none"/>
              </w:rPr>
            </w:pPr>
          </w:p>
        </w:tc>
      </w:tr>
      <w:tr w14:paraId="774CD6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620" w:type="dxa"/>
            <w:vMerge w:val="restart"/>
            <w:noWrap w:val="0"/>
            <w:vAlign w:val="center"/>
          </w:tcPr>
          <w:p w14:paraId="092B6A42">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2</w:t>
            </w:r>
          </w:p>
        </w:tc>
        <w:tc>
          <w:tcPr>
            <w:tcW w:w="817" w:type="dxa"/>
            <w:vMerge w:val="restart"/>
            <w:noWrap w:val="0"/>
            <w:vAlign w:val="center"/>
          </w:tcPr>
          <w:p w14:paraId="0DCECFBA">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1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医疗质量管理</w:t>
            </w:r>
          </w:p>
        </w:tc>
        <w:tc>
          <w:tcPr>
            <w:tcW w:w="733" w:type="dxa"/>
            <w:vMerge w:val="restart"/>
            <w:noWrap w:val="0"/>
            <w:vAlign w:val="center"/>
          </w:tcPr>
          <w:p w14:paraId="4544F552">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lang w:val="en-US" w:eastAsia="zh-CN"/>
              </w:rPr>
              <w:t>4</w:t>
            </w:r>
            <w:r>
              <w:rPr>
                <w:rFonts w:hint="eastAsia" w:asciiTheme="minorEastAsia" w:hAnsiTheme="minorEastAsia" w:eastAsiaTheme="minorEastAsia" w:cstheme="minorEastAsia"/>
                <w:color w:val="auto"/>
                <w:spacing w:val="0"/>
                <w:sz w:val="24"/>
                <w:szCs w:val="24"/>
                <w:highlight w:val="none"/>
              </w:rPr>
              <w:t>0</w:t>
            </w:r>
          </w:p>
        </w:tc>
        <w:tc>
          <w:tcPr>
            <w:tcW w:w="4733" w:type="dxa"/>
            <w:noWrap w:val="0"/>
            <w:vAlign w:val="center"/>
          </w:tcPr>
          <w:p w14:paraId="2867D3B8">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体检项目缺项、漏项</w:t>
            </w:r>
          </w:p>
        </w:tc>
        <w:tc>
          <w:tcPr>
            <w:tcW w:w="750" w:type="dxa"/>
            <w:noWrap w:val="0"/>
            <w:vAlign w:val="center"/>
          </w:tcPr>
          <w:p w14:paraId="0BAC7F5B">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-0.5</w:t>
            </w:r>
          </w:p>
        </w:tc>
        <w:tc>
          <w:tcPr>
            <w:tcW w:w="1677" w:type="dxa"/>
            <w:vMerge w:val="restart"/>
            <w:noWrap w:val="0"/>
            <w:vAlign w:val="center"/>
          </w:tcPr>
          <w:p w14:paraId="4AE32C16">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105" w:leftChars="50" w:right="105" w:rightChars="5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按每人次数</w:t>
            </w:r>
          </w:p>
          <w:p w14:paraId="535A4509">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105" w:leftChars="50" w:right="105" w:rightChars="5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计算</w:t>
            </w:r>
          </w:p>
        </w:tc>
      </w:tr>
      <w:tr w14:paraId="4DBFE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01" w:hRule="atLeast"/>
        </w:trPr>
        <w:tc>
          <w:tcPr>
            <w:tcW w:w="620" w:type="dxa"/>
            <w:vMerge w:val="continue"/>
            <w:noWrap w:val="0"/>
            <w:vAlign w:val="center"/>
          </w:tcPr>
          <w:p w14:paraId="02FCCA0B">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817" w:type="dxa"/>
            <w:vMerge w:val="continue"/>
            <w:noWrap w:val="0"/>
            <w:vAlign w:val="center"/>
          </w:tcPr>
          <w:p w14:paraId="4E7FFD1D">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733" w:type="dxa"/>
            <w:vMerge w:val="continue"/>
            <w:noWrap w:val="0"/>
            <w:vAlign w:val="center"/>
          </w:tcPr>
          <w:p w14:paraId="01F37C4E">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4733" w:type="dxa"/>
            <w:noWrap w:val="0"/>
            <w:vAlign w:val="center"/>
          </w:tcPr>
          <w:p w14:paraId="2E834F61">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未当场监督被监管人员</w:t>
            </w:r>
            <w:r>
              <w:rPr>
                <w:rFonts w:hint="eastAsia" w:asciiTheme="minorEastAsia" w:hAnsiTheme="minorEastAsia" w:eastAsiaTheme="minorEastAsia" w:cstheme="minorEastAsia"/>
                <w:color w:val="auto"/>
                <w:spacing w:val="0"/>
                <w:sz w:val="24"/>
                <w:szCs w:val="24"/>
                <w:highlight w:val="none"/>
              </w:rPr>
              <w:t>服药</w:t>
            </w:r>
            <w:r>
              <w:rPr>
                <w:rFonts w:hint="eastAsia" w:asciiTheme="minorEastAsia" w:hAnsiTheme="minorEastAsia" w:eastAsiaTheme="minorEastAsia" w:cstheme="minorEastAsia"/>
                <w:color w:val="auto"/>
                <w:spacing w:val="0"/>
                <w:sz w:val="24"/>
                <w:szCs w:val="24"/>
                <w:highlight w:val="none"/>
                <w:lang w:val="en-US" w:eastAsia="zh-CN"/>
              </w:rPr>
              <w:t>并签字</w:t>
            </w:r>
          </w:p>
        </w:tc>
        <w:tc>
          <w:tcPr>
            <w:tcW w:w="750" w:type="dxa"/>
            <w:noWrap w:val="0"/>
            <w:vAlign w:val="center"/>
          </w:tcPr>
          <w:p w14:paraId="49B75C5A">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default"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rPr>
              <w:t>-</w:t>
            </w:r>
            <w:r>
              <w:rPr>
                <w:rFonts w:hint="eastAsia" w:asciiTheme="minorEastAsia" w:hAnsiTheme="minorEastAsia" w:eastAsiaTheme="minorEastAsia" w:cstheme="minorEastAsia"/>
                <w:color w:val="auto"/>
                <w:spacing w:val="0"/>
                <w:sz w:val="24"/>
                <w:szCs w:val="24"/>
                <w:highlight w:val="none"/>
                <w:lang w:val="en-US" w:eastAsia="zh-CN"/>
              </w:rPr>
              <w:t>0.5</w:t>
            </w:r>
          </w:p>
        </w:tc>
        <w:tc>
          <w:tcPr>
            <w:tcW w:w="1677" w:type="dxa"/>
            <w:vMerge w:val="continue"/>
            <w:noWrap w:val="0"/>
            <w:vAlign w:val="center"/>
          </w:tcPr>
          <w:p w14:paraId="07378CDB">
            <w:pPr>
              <w:keepNext w:val="0"/>
              <w:keepLines w:val="0"/>
              <w:pageBreakBefore w:val="0"/>
              <w:widowControl/>
              <w:kinsoku w:val="0"/>
              <w:wordWrap/>
              <w:overflowPunct/>
              <w:topLinePunct w:val="0"/>
              <w:autoSpaceDE w:val="0"/>
              <w:autoSpaceDN w:val="0"/>
              <w:bidi w:val="0"/>
              <w:adjustRightInd w:val="0"/>
              <w:snapToGrid w:val="0"/>
              <w:spacing w:line="240" w:lineRule="auto"/>
              <w:ind w:left="105" w:leftChars="50" w:right="105" w:rightChars="50"/>
              <w:jc w:val="center"/>
              <w:textAlignment w:val="baseline"/>
              <w:rPr>
                <w:rFonts w:hint="eastAsia" w:asciiTheme="minorEastAsia" w:hAnsiTheme="minorEastAsia" w:eastAsiaTheme="minorEastAsia" w:cstheme="minorEastAsia"/>
                <w:color w:val="auto"/>
                <w:spacing w:val="0"/>
                <w:sz w:val="24"/>
                <w:szCs w:val="24"/>
                <w:highlight w:val="none"/>
              </w:rPr>
            </w:pPr>
          </w:p>
        </w:tc>
      </w:tr>
      <w:tr w14:paraId="66F35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620" w:type="dxa"/>
            <w:vMerge w:val="continue"/>
            <w:noWrap w:val="0"/>
            <w:vAlign w:val="center"/>
          </w:tcPr>
          <w:p w14:paraId="3C65CCC1">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817" w:type="dxa"/>
            <w:vMerge w:val="continue"/>
            <w:noWrap w:val="0"/>
            <w:vAlign w:val="center"/>
          </w:tcPr>
          <w:p w14:paraId="735F85BA">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733" w:type="dxa"/>
            <w:vMerge w:val="continue"/>
            <w:noWrap w:val="0"/>
            <w:vAlign w:val="center"/>
          </w:tcPr>
          <w:p w14:paraId="55952B6A">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4733" w:type="dxa"/>
            <w:shd w:val="clear" w:color="auto" w:fill="auto"/>
            <w:noWrap w:val="0"/>
            <w:vAlign w:val="center"/>
          </w:tcPr>
          <w:p w14:paraId="2C32AD5C">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eastAsia" w:asciiTheme="minorEastAsia" w:hAnsiTheme="minorEastAsia" w:eastAsiaTheme="minorEastAsia" w:cstheme="minorEastAsia"/>
                <w:color w:val="auto"/>
                <w:spacing w:val="0"/>
                <w:sz w:val="24"/>
                <w:szCs w:val="24"/>
                <w:highlight w:val="none"/>
                <w:lang w:val="en-US" w:eastAsia="en-US" w:bidi="ar-SA"/>
              </w:rPr>
            </w:pPr>
            <w:r>
              <w:rPr>
                <w:rFonts w:hint="eastAsia" w:asciiTheme="minorEastAsia" w:hAnsiTheme="minorEastAsia" w:eastAsiaTheme="minorEastAsia" w:cstheme="minorEastAsia"/>
                <w:color w:val="auto"/>
                <w:spacing w:val="0"/>
                <w:sz w:val="24"/>
                <w:szCs w:val="24"/>
                <w:highlight w:val="none"/>
              </w:rPr>
              <w:t>巡诊、用药情况未形成书面及电子记录</w:t>
            </w:r>
          </w:p>
        </w:tc>
        <w:tc>
          <w:tcPr>
            <w:tcW w:w="750" w:type="dxa"/>
            <w:shd w:val="clear" w:color="auto" w:fill="auto"/>
            <w:noWrap w:val="0"/>
            <w:vAlign w:val="center"/>
          </w:tcPr>
          <w:p w14:paraId="187F68D3">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rightChars="0"/>
              <w:jc w:val="center"/>
              <w:textAlignment w:val="baseline"/>
              <w:rPr>
                <w:rFonts w:hint="eastAsia" w:asciiTheme="minorEastAsia" w:hAnsiTheme="minorEastAsia" w:eastAsiaTheme="minorEastAsia" w:cstheme="minorEastAsia"/>
                <w:color w:val="auto"/>
                <w:spacing w:val="0"/>
                <w:sz w:val="24"/>
                <w:szCs w:val="24"/>
                <w:highlight w:val="none"/>
                <w:lang w:val="en-US" w:eastAsia="en-US" w:bidi="ar-SA"/>
              </w:rPr>
            </w:pPr>
            <w:r>
              <w:rPr>
                <w:rFonts w:hint="eastAsia" w:asciiTheme="minorEastAsia" w:hAnsiTheme="minorEastAsia" w:eastAsiaTheme="minorEastAsia" w:cstheme="minorEastAsia"/>
                <w:color w:val="auto"/>
                <w:spacing w:val="0"/>
                <w:sz w:val="24"/>
                <w:szCs w:val="24"/>
                <w:highlight w:val="none"/>
              </w:rPr>
              <w:t>-1</w:t>
            </w:r>
          </w:p>
        </w:tc>
        <w:tc>
          <w:tcPr>
            <w:tcW w:w="1677" w:type="dxa"/>
            <w:vMerge w:val="continue"/>
            <w:noWrap w:val="0"/>
            <w:vAlign w:val="center"/>
          </w:tcPr>
          <w:p w14:paraId="341242B7">
            <w:pPr>
              <w:keepNext w:val="0"/>
              <w:keepLines w:val="0"/>
              <w:pageBreakBefore w:val="0"/>
              <w:widowControl/>
              <w:kinsoku w:val="0"/>
              <w:wordWrap/>
              <w:overflowPunct/>
              <w:topLinePunct w:val="0"/>
              <w:autoSpaceDE w:val="0"/>
              <w:autoSpaceDN w:val="0"/>
              <w:bidi w:val="0"/>
              <w:adjustRightInd w:val="0"/>
              <w:snapToGrid w:val="0"/>
              <w:spacing w:line="240" w:lineRule="auto"/>
              <w:ind w:left="105" w:leftChars="50" w:right="105" w:rightChars="50"/>
              <w:jc w:val="center"/>
              <w:textAlignment w:val="baseline"/>
              <w:rPr>
                <w:rFonts w:hint="eastAsia" w:asciiTheme="minorEastAsia" w:hAnsiTheme="minorEastAsia" w:eastAsiaTheme="minorEastAsia" w:cstheme="minorEastAsia"/>
                <w:color w:val="auto"/>
                <w:spacing w:val="0"/>
                <w:sz w:val="24"/>
                <w:szCs w:val="24"/>
                <w:highlight w:val="none"/>
              </w:rPr>
            </w:pPr>
          </w:p>
        </w:tc>
      </w:tr>
      <w:tr w14:paraId="552230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620" w:type="dxa"/>
            <w:vMerge w:val="continue"/>
            <w:noWrap w:val="0"/>
            <w:vAlign w:val="center"/>
          </w:tcPr>
          <w:p w14:paraId="3FB30CA8">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817" w:type="dxa"/>
            <w:vMerge w:val="continue"/>
            <w:noWrap w:val="0"/>
            <w:vAlign w:val="center"/>
          </w:tcPr>
          <w:p w14:paraId="21AD4DBB">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733" w:type="dxa"/>
            <w:vMerge w:val="continue"/>
            <w:noWrap w:val="0"/>
            <w:vAlign w:val="center"/>
          </w:tcPr>
          <w:p w14:paraId="5D6D6657">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4733" w:type="dxa"/>
            <w:shd w:val="clear" w:color="auto" w:fill="auto"/>
            <w:noWrap w:val="0"/>
            <w:vAlign w:val="center"/>
          </w:tcPr>
          <w:p w14:paraId="0FD2972C">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eastAsia" w:asciiTheme="minorEastAsia" w:hAnsiTheme="minorEastAsia" w:eastAsiaTheme="minorEastAsia" w:cstheme="minorEastAsia"/>
                <w:color w:val="auto"/>
                <w:spacing w:val="0"/>
                <w:sz w:val="24"/>
                <w:szCs w:val="24"/>
                <w:highlight w:val="none"/>
                <w:lang w:val="en-US" w:eastAsia="en-US" w:bidi="ar-SA"/>
              </w:rPr>
            </w:pPr>
            <w:r>
              <w:rPr>
                <w:rFonts w:hint="eastAsia" w:asciiTheme="minorEastAsia" w:hAnsiTheme="minorEastAsia" w:eastAsiaTheme="minorEastAsia" w:cstheme="minorEastAsia"/>
                <w:color w:val="auto"/>
                <w:spacing w:val="0"/>
                <w:sz w:val="24"/>
                <w:szCs w:val="24"/>
                <w:highlight w:val="none"/>
              </w:rPr>
              <w:t>病历书写</w:t>
            </w:r>
            <w:r>
              <w:rPr>
                <w:rFonts w:hint="eastAsia" w:asciiTheme="minorEastAsia" w:hAnsiTheme="minorEastAsia" w:eastAsiaTheme="minorEastAsia" w:cstheme="minorEastAsia"/>
                <w:color w:val="auto"/>
                <w:spacing w:val="0"/>
                <w:sz w:val="24"/>
                <w:szCs w:val="24"/>
                <w:highlight w:val="none"/>
                <w:lang w:val="en-US" w:eastAsia="zh-CN"/>
              </w:rPr>
              <w:t>不</w:t>
            </w:r>
            <w:r>
              <w:rPr>
                <w:rFonts w:hint="eastAsia" w:asciiTheme="minorEastAsia" w:hAnsiTheme="minorEastAsia" w:eastAsiaTheme="minorEastAsia" w:cstheme="minorEastAsia"/>
                <w:color w:val="auto"/>
                <w:spacing w:val="0"/>
                <w:sz w:val="24"/>
                <w:szCs w:val="24"/>
                <w:highlight w:val="none"/>
              </w:rPr>
              <w:t>合格</w:t>
            </w:r>
          </w:p>
        </w:tc>
        <w:tc>
          <w:tcPr>
            <w:tcW w:w="750" w:type="dxa"/>
            <w:shd w:val="clear" w:color="auto" w:fill="auto"/>
            <w:noWrap w:val="0"/>
            <w:vAlign w:val="center"/>
          </w:tcPr>
          <w:p w14:paraId="29B60937">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rightChars="0"/>
              <w:jc w:val="center"/>
              <w:textAlignment w:val="baseline"/>
              <w:rPr>
                <w:rFonts w:hint="eastAsia" w:asciiTheme="minorEastAsia" w:hAnsiTheme="minorEastAsia" w:eastAsiaTheme="minorEastAsia" w:cstheme="minorEastAsia"/>
                <w:color w:val="auto"/>
                <w:spacing w:val="0"/>
                <w:sz w:val="24"/>
                <w:szCs w:val="24"/>
                <w:highlight w:val="none"/>
                <w:lang w:val="en-US" w:eastAsia="zh-CN" w:bidi="ar-SA"/>
              </w:rPr>
            </w:pPr>
            <w:r>
              <w:rPr>
                <w:rFonts w:hint="eastAsia" w:asciiTheme="minorEastAsia" w:hAnsiTheme="minorEastAsia" w:eastAsiaTheme="minorEastAsia" w:cstheme="minorEastAsia"/>
                <w:color w:val="auto"/>
                <w:spacing w:val="0"/>
                <w:sz w:val="24"/>
                <w:szCs w:val="24"/>
                <w:highlight w:val="none"/>
              </w:rPr>
              <w:t>-2</w:t>
            </w:r>
          </w:p>
        </w:tc>
        <w:tc>
          <w:tcPr>
            <w:tcW w:w="1677" w:type="dxa"/>
            <w:noWrap w:val="0"/>
            <w:vAlign w:val="center"/>
          </w:tcPr>
          <w:p w14:paraId="37FD4670">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105" w:leftChars="50" w:right="105" w:rightChars="5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按巡诊数计算</w:t>
            </w:r>
          </w:p>
        </w:tc>
      </w:tr>
      <w:tr w14:paraId="5B7012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620" w:type="dxa"/>
            <w:vMerge w:val="continue"/>
            <w:noWrap w:val="0"/>
            <w:vAlign w:val="center"/>
          </w:tcPr>
          <w:p w14:paraId="1E18CE4B">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817" w:type="dxa"/>
            <w:vMerge w:val="continue"/>
            <w:noWrap w:val="0"/>
            <w:vAlign w:val="center"/>
          </w:tcPr>
          <w:p w14:paraId="4C6BC5C1">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733" w:type="dxa"/>
            <w:vMerge w:val="continue"/>
            <w:noWrap w:val="0"/>
            <w:vAlign w:val="center"/>
          </w:tcPr>
          <w:p w14:paraId="45974D98">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4733" w:type="dxa"/>
            <w:shd w:val="clear" w:color="auto" w:fill="auto"/>
            <w:noWrap w:val="0"/>
            <w:vAlign w:val="center"/>
          </w:tcPr>
          <w:p w14:paraId="431EF38F">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eastAsia" w:asciiTheme="minorEastAsia" w:hAnsiTheme="minorEastAsia" w:eastAsiaTheme="minorEastAsia" w:cstheme="minorEastAsia"/>
                <w:color w:val="auto"/>
                <w:spacing w:val="0"/>
                <w:sz w:val="24"/>
                <w:szCs w:val="24"/>
                <w:highlight w:val="none"/>
                <w:lang w:val="en-US" w:eastAsia="en-US" w:bidi="ar-SA"/>
              </w:rPr>
            </w:pPr>
            <w:r>
              <w:rPr>
                <w:rFonts w:hint="eastAsia" w:asciiTheme="minorEastAsia" w:hAnsiTheme="minorEastAsia" w:eastAsiaTheme="minorEastAsia" w:cstheme="minorEastAsia"/>
                <w:color w:val="auto"/>
                <w:spacing w:val="0"/>
                <w:sz w:val="24"/>
                <w:szCs w:val="24"/>
                <w:highlight w:val="none"/>
                <w:lang w:val="en-US" w:eastAsia="zh-CN"/>
              </w:rPr>
              <w:t>对被监管人员</w:t>
            </w:r>
            <w:r>
              <w:rPr>
                <w:rFonts w:hint="eastAsia" w:asciiTheme="minorEastAsia" w:hAnsiTheme="minorEastAsia" w:eastAsiaTheme="minorEastAsia" w:cstheme="minorEastAsia"/>
                <w:color w:val="auto"/>
                <w:spacing w:val="0"/>
                <w:sz w:val="24"/>
                <w:szCs w:val="24"/>
                <w:highlight w:val="none"/>
              </w:rPr>
              <w:t>未开具有效处方</w:t>
            </w:r>
          </w:p>
        </w:tc>
        <w:tc>
          <w:tcPr>
            <w:tcW w:w="750" w:type="dxa"/>
            <w:shd w:val="clear" w:color="auto" w:fill="auto"/>
            <w:noWrap w:val="0"/>
            <w:vAlign w:val="center"/>
          </w:tcPr>
          <w:p w14:paraId="5FD2E7F5">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rightChars="0"/>
              <w:jc w:val="center"/>
              <w:textAlignment w:val="baseline"/>
              <w:rPr>
                <w:rFonts w:hint="eastAsia" w:asciiTheme="minorEastAsia" w:hAnsiTheme="minorEastAsia" w:eastAsiaTheme="minorEastAsia" w:cstheme="minorEastAsia"/>
                <w:color w:val="auto"/>
                <w:spacing w:val="0"/>
                <w:sz w:val="24"/>
                <w:szCs w:val="24"/>
                <w:highlight w:val="none"/>
                <w:lang w:val="en-US" w:eastAsia="zh-CN" w:bidi="ar-SA"/>
              </w:rPr>
            </w:pPr>
            <w:r>
              <w:rPr>
                <w:rFonts w:hint="eastAsia" w:asciiTheme="minorEastAsia" w:hAnsiTheme="minorEastAsia" w:eastAsiaTheme="minorEastAsia" w:cstheme="minorEastAsia"/>
                <w:color w:val="auto"/>
                <w:spacing w:val="0"/>
                <w:sz w:val="24"/>
                <w:szCs w:val="24"/>
                <w:highlight w:val="none"/>
              </w:rPr>
              <w:t>-2</w:t>
            </w:r>
          </w:p>
        </w:tc>
        <w:tc>
          <w:tcPr>
            <w:tcW w:w="1677" w:type="dxa"/>
            <w:vMerge w:val="restart"/>
            <w:noWrap w:val="0"/>
            <w:vAlign w:val="center"/>
          </w:tcPr>
          <w:p w14:paraId="1A388DC2">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105" w:leftChars="50" w:right="105" w:rightChars="5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按每人次数</w:t>
            </w:r>
          </w:p>
          <w:p w14:paraId="167CD808">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105" w:leftChars="50" w:right="105" w:rightChars="5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计算</w:t>
            </w:r>
          </w:p>
        </w:tc>
      </w:tr>
      <w:tr w14:paraId="09453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620" w:type="dxa"/>
            <w:vMerge w:val="continue"/>
            <w:noWrap w:val="0"/>
            <w:vAlign w:val="center"/>
          </w:tcPr>
          <w:p w14:paraId="4CF8AD9A">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817" w:type="dxa"/>
            <w:vMerge w:val="continue"/>
            <w:noWrap w:val="0"/>
            <w:vAlign w:val="center"/>
          </w:tcPr>
          <w:p w14:paraId="6E04D328">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733" w:type="dxa"/>
            <w:vMerge w:val="continue"/>
            <w:noWrap w:val="0"/>
            <w:vAlign w:val="center"/>
          </w:tcPr>
          <w:p w14:paraId="6E64F909">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4733" w:type="dxa"/>
            <w:shd w:val="clear" w:color="auto" w:fill="auto"/>
            <w:noWrap w:val="0"/>
            <w:vAlign w:val="center"/>
          </w:tcPr>
          <w:p w14:paraId="09A26161">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eastAsia" w:asciiTheme="minorEastAsia" w:hAnsiTheme="minorEastAsia" w:eastAsiaTheme="minorEastAsia" w:cstheme="minorEastAsia"/>
                <w:color w:val="auto"/>
                <w:spacing w:val="0"/>
                <w:sz w:val="24"/>
                <w:szCs w:val="24"/>
                <w:highlight w:val="none"/>
                <w:lang w:val="en-US" w:eastAsia="en-US" w:bidi="ar-SA"/>
              </w:rPr>
            </w:pPr>
            <w:r>
              <w:rPr>
                <w:rFonts w:hint="eastAsia" w:asciiTheme="minorEastAsia" w:hAnsiTheme="minorEastAsia" w:eastAsiaTheme="minorEastAsia" w:cstheme="minorEastAsia"/>
                <w:color w:val="auto"/>
                <w:spacing w:val="0"/>
                <w:sz w:val="24"/>
                <w:szCs w:val="24"/>
                <w:highlight w:val="none"/>
              </w:rPr>
              <w:t>未落实每日两次巡诊</w:t>
            </w:r>
          </w:p>
        </w:tc>
        <w:tc>
          <w:tcPr>
            <w:tcW w:w="750" w:type="dxa"/>
            <w:shd w:val="clear" w:color="auto" w:fill="auto"/>
            <w:noWrap w:val="0"/>
            <w:vAlign w:val="center"/>
          </w:tcPr>
          <w:p w14:paraId="64660432">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rightChars="0"/>
              <w:jc w:val="center"/>
              <w:textAlignment w:val="baseline"/>
              <w:rPr>
                <w:rFonts w:hint="eastAsia" w:asciiTheme="minorEastAsia" w:hAnsiTheme="minorEastAsia" w:eastAsiaTheme="minorEastAsia" w:cstheme="minorEastAsia"/>
                <w:color w:val="auto"/>
                <w:spacing w:val="0"/>
                <w:sz w:val="24"/>
                <w:szCs w:val="24"/>
                <w:highlight w:val="none"/>
                <w:lang w:val="en-US" w:eastAsia="zh-CN" w:bidi="ar-SA"/>
              </w:rPr>
            </w:pPr>
            <w:r>
              <w:rPr>
                <w:rFonts w:hint="eastAsia" w:asciiTheme="minorEastAsia" w:hAnsiTheme="minorEastAsia" w:eastAsiaTheme="minorEastAsia" w:cstheme="minorEastAsia"/>
                <w:color w:val="auto"/>
                <w:spacing w:val="0"/>
                <w:sz w:val="24"/>
                <w:szCs w:val="24"/>
                <w:highlight w:val="none"/>
              </w:rPr>
              <w:t>-</w:t>
            </w:r>
            <w:r>
              <w:rPr>
                <w:rFonts w:hint="eastAsia" w:asciiTheme="minorEastAsia" w:hAnsiTheme="minorEastAsia" w:eastAsiaTheme="minorEastAsia" w:cstheme="minorEastAsia"/>
                <w:color w:val="auto"/>
                <w:spacing w:val="0"/>
                <w:sz w:val="24"/>
                <w:szCs w:val="24"/>
                <w:highlight w:val="none"/>
                <w:lang w:val="en-US" w:eastAsia="zh-CN"/>
              </w:rPr>
              <w:t>5</w:t>
            </w:r>
          </w:p>
        </w:tc>
        <w:tc>
          <w:tcPr>
            <w:tcW w:w="1677" w:type="dxa"/>
            <w:vMerge w:val="continue"/>
            <w:noWrap w:val="0"/>
            <w:vAlign w:val="center"/>
          </w:tcPr>
          <w:p w14:paraId="6B9A0BFE">
            <w:pPr>
              <w:keepNext w:val="0"/>
              <w:keepLines w:val="0"/>
              <w:pageBreakBefore w:val="0"/>
              <w:widowControl/>
              <w:kinsoku w:val="0"/>
              <w:wordWrap/>
              <w:overflowPunct/>
              <w:topLinePunct w:val="0"/>
              <w:autoSpaceDE w:val="0"/>
              <w:autoSpaceDN w:val="0"/>
              <w:bidi w:val="0"/>
              <w:adjustRightInd w:val="0"/>
              <w:snapToGrid w:val="0"/>
              <w:spacing w:line="240" w:lineRule="auto"/>
              <w:ind w:left="105" w:leftChars="50" w:right="105" w:rightChars="50"/>
              <w:jc w:val="center"/>
              <w:textAlignment w:val="baseline"/>
              <w:rPr>
                <w:rFonts w:hint="eastAsia" w:asciiTheme="minorEastAsia" w:hAnsiTheme="minorEastAsia" w:eastAsiaTheme="minorEastAsia" w:cstheme="minorEastAsia"/>
                <w:color w:val="auto"/>
                <w:spacing w:val="0"/>
                <w:sz w:val="24"/>
                <w:szCs w:val="24"/>
                <w:highlight w:val="none"/>
              </w:rPr>
            </w:pPr>
          </w:p>
        </w:tc>
      </w:tr>
      <w:tr w14:paraId="58C33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620" w:type="dxa"/>
            <w:vMerge w:val="continue"/>
            <w:noWrap w:val="0"/>
            <w:vAlign w:val="center"/>
          </w:tcPr>
          <w:p w14:paraId="5FE5462F">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817" w:type="dxa"/>
            <w:vMerge w:val="continue"/>
            <w:noWrap w:val="0"/>
            <w:vAlign w:val="center"/>
          </w:tcPr>
          <w:p w14:paraId="51018BC4">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733" w:type="dxa"/>
            <w:vMerge w:val="continue"/>
            <w:noWrap w:val="0"/>
            <w:vAlign w:val="center"/>
          </w:tcPr>
          <w:p w14:paraId="28839CE8">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4733" w:type="dxa"/>
            <w:shd w:val="clear" w:color="auto" w:fill="auto"/>
            <w:noWrap w:val="0"/>
            <w:vAlign w:val="center"/>
          </w:tcPr>
          <w:p w14:paraId="18A79C59">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eastAsia" w:asciiTheme="minorEastAsia" w:hAnsiTheme="minorEastAsia" w:eastAsiaTheme="minorEastAsia" w:cstheme="minorEastAsia"/>
                <w:color w:val="auto"/>
                <w:spacing w:val="0"/>
                <w:sz w:val="24"/>
                <w:szCs w:val="24"/>
                <w:highlight w:val="none"/>
                <w:lang w:val="en-US" w:eastAsia="en-US" w:bidi="ar-SA"/>
              </w:rPr>
            </w:pPr>
            <w:r>
              <w:rPr>
                <w:rFonts w:hint="eastAsia" w:asciiTheme="minorEastAsia" w:hAnsiTheme="minorEastAsia" w:eastAsiaTheme="minorEastAsia" w:cstheme="minorEastAsia"/>
                <w:color w:val="auto"/>
                <w:spacing w:val="0"/>
                <w:sz w:val="24"/>
                <w:szCs w:val="24"/>
                <w:highlight w:val="none"/>
              </w:rPr>
              <w:t>未妥善保管药品，造成药品缺失或者存在给</w:t>
            </w:r>
            <w:r>
              <w:rPr>
                <w:rFonts w:hint="eastAsia" w:asciiTheme="minorEastAsia" w:hAnsiTheme="minorEastAsia" w:eastAsiaTheme="minorEastAsia" w:cstheme="minorEastAsia"/>
                <w:color w:val="auto"/>
                <w:spacing w:val="0"/>
                <w:sz w:val="24"/>
                <w:szCs w:val="24"/>
                <w:highlight w:val="none"/>
                <w:lang w:val="en-US" w:eastAsia="zh-CN"/>
              </w:rPr>
              <w:t>被监管人员</w:t>
            </w:r>
            <w:r>
              <w:rPr>
                <w:rFonts w:hint="eastAsia" w:asciiTheme="minorEastAsia" w:hAnsiTheme="minorEastAsia" w:eastAsiaTheme="minorEastAsia" w:cstheme="minorEastAsia"/>
                <w:color w:val="auto"/>
                <w:spacing w:val="0"/>
                <w:sz w:val="24"/>
                <w:szCs w:val="24"/>
                <w:highlight w:val="none"/>
              </w:rPr>
              <w:t>使用过期药品情形</w:t>
            </w:r>
          </w:p>
        </w:tc>
        <w:tc>
          <w:tcPr>
            <w:tcW w:w="750" w:type="dxa"/>
            <w:shd w:val="clear" w:color="auto" w:fill="auto"/>
            <w:noWrap w:val="0"/>
            <w:vAlign w:val="center"/>
          </w:tcPr>
          <w:p w14:paraId="23B608D8">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rightChars="0"/>
              <w:jc w:val="center"/>
              <w:textAlignment w:val="baseline"/>
              <w:rPr>
                <w:rFonts w:hint="eastAsia" w:asciiTheme="minorEastAsia" w:hAnsiTheme="minorEastAsia" w:eastAsiaTheme="minorEastAsia" w:cstheme="minorEastAsia"/>
                <w:color w:val="auto"/>
                <w:spacing w:val="0"/>
                <w:sz w:val="24"/>
                <w:szCs w:val="24"/>
                <w:highlight w:val="none"/>
                <w:lang w:val="en-US" w:eastAsia="en-US" w:bidi="ar-SA"/>
              </w:rPr>
            </w:pPr>
            <w:r>
              <w:rPr>
                <w:rFonts w:hint="eastAsia" w:asciiTheme="minorEastAsia" w:hAnsiTheme="minorEastAsia" w:eastAsiaTheme="minorEastAsia" w:cstheme="minorEastAsia"/>
                <w:color w:val="auto"/>
                <w:spacing w:val="0"/>
                <w:sz w:val="24"/>
                <w:szCs w:val="24"/>
                <w:highlight w:val="none"/>
              </w:rPr>
              <w:t>-5</w:t>
            </w:r>
          </w:p>
        </w:tc>
        <w:tc>
          <w:tcPr>
            <w:tcW w:w="1677" w:type="dxa"/>
            <w:vMerge w:val="continue"/>
            <w:noWrap w:val="0"/>
            <w:vAlign w:val="center"/>
          </w:tcPr>
          <w:p w14:paraId="27791310">
            <w:pPr>
              <w:keepNext w:val="0"/>
              <w:keepLines w:val="0"/>
              <w:pageBreakBefore w:val="0"/>
              <w:widowControl/>
              <w:kinsoku w:val="0"/>
              <w:wordWrap/>
              <w:overflowPunct/>
              <w:topLinePunct w:val="0"/>
              <w:autoSpaceDE w:val="0"/>
              <w:autoSpaceDN w:val="0"/>
              <w:bidi w:val="0"/>
              <w:adjustRightInd w:val="0"/>
              <w:snapToGrid w:val="0"/>
              <w:spacing w:line="240" w:lineRule="auto"/>
              <w:ind w:left="105" w:leftChars="50" w:right="105" w:rightChars="50"/>
              <w:jc w:val="center"/>
              <w:textAlignment w:val="baseline"/>
              <w:rPr>
                <w:rFonts w:hint="eastAsia" w:asciiTheme="minorEastAsia" w:hAnsiTheme="minorEastAsia" w:eastAsiaTheme="minorEastAsia" w:cstheme="minorEastAsia"/>
                <w:color w:val="auto"/>
                <w:spacing w:val="0"/>
                <w:sz w:val="24"/>
                <w:szCs w:val="24"/>
                <w:highlight w:val="none"/>
              </w:rPr>
            </w:pPr>
          </w:p>
        </w:tc>
      </w:tr>
      <w:tr w14:paraId="537FA1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43" w:hRule="atLeast"/>
        </w:trPr>
        <w:tc>
          <w:tcPr>
            <w:tcW w:w="620" w:type="dxa"/>
            <w:vMerge w:val="continue"/>
            <w:noWrap w:val="0"/>
            <w:vAlign w:val="center"/>
          </w:tcPr>
          <w:p w14:paraId="17272265">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817" w:type="dxa"/>
            <w:vMerge w:val="continue"/>
            <w:noWrap w:val="0"/>
            <w:vAlign w:val="center"/>
          </w:tcPr>
          <w:p w14:paraId="1B05743C">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733" w:type="dxa"/>
            <w:vMerge w:val="continue"/>
            <w:noWrap w:val="0"/>
            <w:vAlign w:val="center"/>
          </w:tcPr>
          <w:p w14:paraId="24AA5D8C">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4733" w:type="dxa"/>
            <w:shd w:val="clear" w:color="auto" w:fill="auto"/>
            <w:noWrap w:val="0"/>
            <w:vAlign w:val="center"/>
          </w:tcPr>
          <w:p w14:paraId="3B5FAF7A">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eastAsia" w:asciiTheme="minorEastAsia" w:hAnsiTheme="minorEastAsia" w:eastAsiaTheme="minorEastAsia" w:cstheme="minorEastAsia"/>
                <w:color w:val="auto"/>
                <w:spacing w:val="0"/>
                <w:sz w:val="24"/>
                <w:szCs w:val="24"/>
                <w:highlight w:val="none"/>
                <w:lang w:val="en-US" w:eastAsia="en-US" w:bidi="ar-SA"/>
              </w:rPr>
            </w:pPr>
            <w:r>
              <w:rPr>
                <w:rFonts w:hint="eastAsia" w:asciiTheme="minorEastAsia" w:hAnsiTheme="minorEastAsia" w:eastAsiaTheme="minorEastAsia" w:cstheme="minorEastAsia"/>
                <w:color w:val="auto"/>
                <w:spacing w:val="0"/>
                <w:sz w:val="24"/>
                <w:szCs w:val="24"/>
                <w:highlight w:val="none"/>
              </w:rPr>
              <w:t>未落实</w:t>
            </w:r>
            <w:r>
              <w:rPr>
                <w:rFonts w:hint="eastAsia" w:asciiTheme="minorEastAsia" w:hAnsiTheme="minorEastAsia" w:eastAsiaTheme="minorEastAsia" w:cstheme="minorEastAsia"/>
                <w:color w:val="auto"/>
                <w:spacing w:val="0"/>
                <w:sz w:val="24"/>
                <w:szCs w:val="24"/>
                <w:highlight w:val="none"/>
                <w:lang w:val="en-US" w:eastAsia="zh-CN"/>
              </w:rPr>
              <w:t>被监管人员</w:t>
            </w:r>
            <w:r>
              <w:rPr>
                <w:rFonts w:hint="eastAsia" w:asciiTheme="minorEastAsia" w:hAnsiTheme="minorEastAsia" w:eastAsiaTheme="minorEastAsia" w:cstheme="minorEastAsia"/>
                <w:color w:val="auto"/>
                <w:spacing w:val="0"/>
                <w:sz w:val="24"/>
                <w:szCs w:val="24"/>
                <w:highlight w:val="none"/>
              </w:rPr>
              <w:t>每日查房并及时</w:t>
            </w:r>
            <w:r>
              <w:rPr>
                <w:rFonts w:hint="eastAsia" w:asciiTheme="minorEastAsia" w:hAnsiTheme="minorEastAsia" w:eastAsiaTheme="minorEastAsia" w:cstheme="minorEastAsia"/>
                <w:color w:val="auto"/>
                <w:spacing w:val="0"/>
                <w:sz w:val="24"/>
                <w:szCs w:val="24"/>
                <w:highlight w:val="none"/>
                <w:lang w:val="en-US" w:eastAsia="zh-CN"/>
              </w:rPr>
              <w:t>医疗</w:t>
            </w:r>
            <w:r>
              <w:rPr>
                <w:rFonts w:hint="eastAsia" w:asciiTheme="minorEastAsia" w:hAnsiTheme="minorEastAsia" w:eastAsiaTheme="minorEastAsia" w:cstheme="minorEastAsia"/>
                <w:color w:val="auto"/>
                <w:spacing w:val="0"/>
                <w:sz w:val="24"/>
                <w:szCs w:val="24"/>
                <w:highlight w:val="none"/>
              </w:rPr>
              <w:t>处理</w:t>
            </w:r>
          </w:p>
        </w:tc>
        <w:tc>
          <w:tcPr>
            <w:tcW w:w="750" w:type="dxa"/>
            <w:shd w:val="clear" w:color="auto" w:fill="auto"/>
            <w:noWrap w:val="0"/>
            <w:vAlign w:val="center"/>
          </w:tcPr>
          <w:p w14:paraId="0B69C8C1">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rightChars="0"/>
              <w:jc w:val="center"/>
              <w:textAlignment w:val="baseline"/>
              <w:rPr>
                <w:rFonts w:hint="eastAsia" w:asciiTheme="minorEastAsia" w:hAnsiTheme="minorEastAsia" w:eastAsiaTheme="minorEastAsia" w:cstheme="minorEastAsia"/>
                <w:color w:val="auto"/>
                <w:spacing w:val="0"/>
                <w:sz w:val="24"/>
                <w:szCs w:val="24"/>
                <w:highlight w:val="none"/>
                <w:lang w:val="en-US" w:eastAsia="en-US" w:bidi="ar-SA"/>
              </w:rPr>
            </w:pPr>
            <w:r>
              <w:rPr>
                <w:rFonts w:hint="eastAsia" w:asciiTheme="minorEastAsia" w:hAnsiTheme="minorEastAsia" w:eastAsiaTheme="minorEastAsia" w:cstheme="minorEastAsia"/>
                <w:color w:val="auto"/>
                <w:spacing w:val="0"/>
                <w:sz w:val="24"/>
                <w:szCs w:val="24"/>
                <w:highlight w:val="none"/>
              </w:rPr>
              <w:t>-5</w:t>
            </w:r>
          </w:p>
        </w:tc>
        <w:tc>
          <w:tcPr>
            <w:tcW w:w="1677" w:type="dxa"/>
            <w:vMerge w:val="continue"/>
            <w:noWrap w:val="0"/>
            <w:vAlign w:val="center"/>
          </w:tcPr>
          <w:p w14:paraId="17DC251C">
            <w:pPr>
              <w:keepNext w:val="0"/>
              <w:keepLines w:val="0"/>
              <w:pageBreakBefore w:val="0"/>
              <w:widowControl/>
              <w:kinsoku w:val="0"/>
              <w:wordWrap/>
              <w:overflowPunct/>
              <w:topLinePunct w:val="0"/>
              <w:autoSpaceDE w:val="0"/>
              <w:autoSpaceDN w:val="0"/>
              <w:bidi w:val="0"/>
              <w:adjustRightInd w:val="0"/>
              <w:snapToGrid w:val="0"/>
              <w:spacing w:line="240" w:lineRule="auto"/>
              <w:ind w:left="105" w:leftChars="50" w:right="105" w:rightChars="50"/>
              <w:jc w:val="center"/>
              <w:textAlignment w:val="baseline"/>
              <w:rPr>
                <w:rFonts w:hint="eastAsia" w:asciiTheme="minorEastAsia" w:hAnsiTheme="minorEastAsia" w:eastAsiaTheme="minorEastAsia" w:cstheme="minorEastAsia"/>
                <w:color w:val="auto"/>
                <w:spacing w:val="0"/>
                <w:sz w:val="24"/>
                <w:szCs w:val="24"/>
                <w:highlight w:val="none"/>
              </w:rPr>
            </w:pPr>
          </w:p>
        </w:tc>
      </w:tr>
      <w:tr w14:paraId="391224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16" w:hRule="atLeast"/>
        </w:trPr>
        <w:tc>
          <w:tcPr>
            <w:tcW w:w="620" w:type="dxa"/>
            <w:vMerge w:val="continue"/>
            <w:noWrap w:val="0"/>
            <w:vAlign w:val="center"/>
          </w:tcPr>
          <w:p w14:paraId="13B1ADB1">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817" w:type="dxa"/>
            <w:vMerge w:val="continue"/>
            <w:noWrap w:val="0"/>
            <w:vAlign w:val="center"/>
          </w:tcPr>
          <w:p w14:paraId="33588CD3">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733" w:type="dxa"/>
            <w:vMerge w:val="continue"/>
            <w:noWrap w:val="0"/>
            <w:vAlign w:val="center"/>
          </w:tcPr>
          <w:p w14:paraId="4F40F5B6">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4733" w:type="dxa"/>
            <w:noWrap w:val="0"/>
            <w:vAlign w:val="center"/>
          </w:tcPr>
          <w:p w14:paraId="5C099C49">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对治疗效果不好、病情变化需转诊</w:t>
            </w:r>
            <w:r>
              <w:rPr>
                <w:rFonts w:hint="eastAsia" w:asciiTheme="minorEastAsia" w:hAnsiTheme="minorEastAsia" w:eastAsiaTheme="minorEastAsia" w:cstheme="minorEastAsia"/>
                <w:color w:val="auto"/>
                <w:spacing w:val="0"/>
                <w:sz w:val="24"/>
                <w:szCs w:val="24"/>
                <w:highlight w:val="none"/>
                <w:lang w:eastAsia="zh-CN"/>
              </w:rPr>
              <w:t>的</w:t>
            </w:r>
            <w:r>
              <w:rPr>
                <w:rFonts w:hint="eastAsia" w:asciiTheme="minorEastAsia" w:hAnsiTheme="minorEastAsia" w:eastAsiaTheme="minorEastAsia" w:cstheme="minorEastAsia"/>
                <w:color w:val="auto"/>
                <w:spacing w:val="0"/>
                <w:sz w:val="24"/>
                <w:szCs w:val="24"/>
                <w:highlight w:val="none"/>
                <w:lang w:val="en-US" w:eastAsia="zh-CN"/>
              </w:rPr>
              <w:t>被监管人员</w:t>
            </w:r>
            <w:r>
              <w:rPr>
                <w:rFonts w:hint="eastAsia" w:asciiTheme="minorEastAsia" w:hAnsiTheme="minorEastAsia" w:eastAsiaTheme="minorEastAsia" w:cstheme="minorEastAsia"/>
                <w:color w:val="auto"/>
                <w:spacing w:val="0"/>
                <w:sz w:val="24"/>
                <w:szCs w:val="24"/>
                <w:highlight w:val="none"/>
              </w:rPr>
              <w:t>未及时提出有效医学建议或未及时</w:t>
            </w:r>
            <w:r>
              <w:rPr>
                <w:rFonts w:hint="eastAsia" w:asciiTheme="minorEastAsia" w:hAnsiTheme="minorEastAsia" w:eastAsiaTheme="minorEastAsia" w:cstheme="minorEastAsia"/>
                <w:color w:val="auto"/>
                <w:spacing w:val="0"/>
                <w:sz w:val="24"/>
                <w:szCs w:val="24"/>
                <w:highlight w:val="none"/>
                <w:lang w:val="en-US" w:eastAsia="zh-CN"/>
              </w:rPr>
              <w:t>出所就医</w:t>
            </w:r>
            <w:r>
              <w:rPr>
                <w:rFonts w:hint="eastAsia" w:asciiTheme="minorEastAsia" w:hAnsiTheme="minorEastAsia" w:eastAsiaTheme="minorEastAsia" w:cstheme="minorEastAsia"/>
                <w:color w:val="auto"/>
                <w:spacing w:val="0"/>
                <w:sz w:val="24"/>
                <w:szCs w:val="24"/>
                <w:highlight w:val="none"/>
              </w:rPr>
              <w:t>协调工作的</w:t>
            </w:r>
          </w:p>
        </w:tc>
        <w:tc>
          <w:tcPr>
            <w:tcW w:w="750" w:type="dxa"/>
            <w:noWrap w:val="0"/>
            <w:vAlign w:val="center"/>
          </w:tcPr>
          <w:p w14:paraId="5C36E072">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-5</w:t>
            </w:r>
          </w:p>
        </w:tc>
        <w:tc>
          <w:tcPr>
            <w:tcW w:w="1677" w:type="dxa"/>
            <w:vMerge w:val="continue"/>
            <w:noWrap w:val="0"/>
            <w:vAlign w:val="center"/>
          </w:tcPr>
          <w:p w14:paraId="473D9152">
            <w:pPr>
              <w:keepNext w:val="0"/>
              <w:keepLines w:val="0"/>
              <w:pageBreakBefore w:val="0"/>
              <w:widowControl/>
              <w:kinsoku w:val="0"/>
              <w:wordWrap/>
              <w:overflowPunct/>
              <w:topLinePunct w:val="0"/>
              <w:autoSpaceDE w:val="0"/>
              <w:autoSpaceDN w:val="0"/>
              <w:bidi w:val="0"/>
              <w:adjustRightInd w:val="0"/>
              <w:snapToGrid w:val="0"/>
              <w:spacing w:line="240" w:lineRule="auto"/>
              <w:ind w:left="105" w:leftChars="50" w:right="105" w:rightChars="50"/>
              <w:jc w:val="center"/>
              <w:textAlignment w:val="baseline"/>
              <w:rPr>
                <w:rFonts w:hint="eastAsia" w:asciiTheme="minorEastAsia" w:hAnsiTheme="minorEastAsia" w:eastAsiaTheme="minorEastAsia" w:cstheme="minorEastAsia"/>
                <w:color w:val="auto"/>
                <w:spacing w:val="0"/>
                <w:sz w:val="24"/>
                <w:szCs w:val="24"/>
                <w:highlight w:val="none"/>
              </w:rPr>
            </w:pPr>
          </w:p>
        </w:tc>
      </w:tr>
      <w:tr w14:paraId="4EFE2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23" w:hRule="atLeast"/>
        </w:trPr>
        <w:tc>
          <w:tcPr>
            <w:tcW w:w="620" w:type="dxa"/>
            <w:vMerge w:val="continue"/>
            <w:noWrap w:val="0"/>
            <w:vAlign w:val="center"/>
          </w:tcPr>
          <w:p w14:paraId="39A3A687">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817" w:type="dxa"/>
            <w:vMerge w:val="continue"/>
            <w:noWrap w:val="0"/>
            <w:vAlign w:val="center"/>
          </w:tcPr>
          <w:p w14:paraId="38801B00">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733" w:type="dxa"/>
            <w:vMerge w:val="continue"/>
            <w:noWrap w:val="0"/>
            <w:vAlign w:val="center"/>
          </w:tcPr>
          <w:p w14:paraId="3F3F3525">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4733" w:type="dxa"/>
            <w:noWrap w:val="0"/>
            <w:vAlign w:val="center"/>
          </w:tcPr>
          <w:p w14:paraId="0DF77785">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未按一人一档将医疗档案妥善保存，造成</w:t>
            </w:r>
          </w:p>
          <w:p w14:paraId="41FC0031">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被监管人员</w:t>
            </w:r>
            <w:r>
              <w:rPr>
                <w:rFonts w:hint="eastAsia" w:asciiTheme="minorEastAsia" w:hAnsiTheme="minorEastAsia" w:eastAsiaTheme="minorEastAsia" w:cstheme="minorEastAsia"/>
                <w:color w:val="auto"/>
                <w:spacing w:val="0"/>
                <w:sz w:val="24"/>
                <w:szCs w:val="24"/>
                <w:highlight w:val="none"/>
              </w:rPr>
              <w:t>医疗档案缺失</w:t>
            </w:r>
          </w:p>
        </w:tc>
        <w:tc>
          <w:tcPr>
            <w:tcW w:w="750" w:type="dxa"/>
            <w:noWrap w:val="0"/>
            <w:vAlign w:val="center"/>
          </w:tcPr>
          <w:p w14:paraId="55C48ADC">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-5</w:t>
            </w:r>
          </w:p>
        </w:tc>
        <w:tc>
          <w:tcPr>
            <w:tcW w:w="1677" w:type="dxa"/>
            <w:vMerge w:val="continue"/>
            <w:noWrap w:val="0"/>
            <w:vAlign w:val="center"/>
          </w:tcPr>
          <w:p w14:paraId="4461811D">
            <w:pPr>
              <w:keepNext w:val="0"/>
              <w:keepLines w:val="0"/>
              <w:pageBreakBefore w:val="0"/>
              <w:widowControl/>
              <w:kinsoku w:val="0"/>
              <w:wordWrap/>
              <w:overflowPunct/>
              <w:topLinePunct w:val="0"/>
              <w:autoSpaceDE w:val="0"/>
              <w:autoSpaceDN w:val="0"/>
              <w:bidi w:val="0"/>
              <w:adjustRightInd w:val="0"/>
              <w:snapToGrid w:val="0"/>
              <w:spacing w:line="240" w:lineRule="auto"/>
              <w:ind w:left="105" w:leftChars="50" w:right="105" w:rightChars="50"/>
              <w:jc w:val="center"/>
              <w:textAlignment w:val="baseline"/>
              <w:rPr>
                <w:rFonts w:hint="eastAsia" w:asciiTheme="minorEastAsia" w:hAnsiTheme="minorEastAsia" w:eastAsiaTheme="minorEastAsia" w:cstheme="minorEastAsia"/>
                <w:color w:val="auto"/>
                <w:spacing w:val="0"/>
                <w:sz w:val="24"/>
                <w:szCs w:val="24"/>
                <w:highlight w:val="none"/>
              </w:rPr>
            </w:pPr>
          </w:p>
        </w:tc>
      </w:tr>
      <w:tr w14:paraId="56270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44" w:hRule="atLeast"/>
        </w:trPr>
        <w:tc>
          <w:tcPr>
            <w:tcW w:w="620" w:type="dxa"/>
            <w:vMerge w:val="continue"/>
            <w:noWrap w:val="0"/>
            <w:vAlign w:val="center"/>
          </w:tcPr>
          <w:p w14:paraId="66FC7153">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817" w:type="dxa"/>
            <w:vMerge w:val="continue"/>
            <w:noWrap w:val="0"/>
            <w:vAlign w:val="center"/>
          </w:tcPr>
          <w:p w14:paraId="6C414563">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733" w:type="dxa"/>
            <w:vMerge w:val="continue"/>
            <w:noWrap w:val="0"/>
            <w:vAlign w:val="center"/>
          </w:tcPr>
          <w:p w14:paraId="53592F4E">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4733" w:type="dxa"/>
            <w:noWrap w:val="0"/>
            <w:vAlign w:val="center"/>
          </w:tcPr>
          <w:p w14:paraId="0DC17A24">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遇</w:t>
            </w:r>
            <w:r>
              <w:rPr>
                <w:rFonts w:hint="eastAsia" w:asciiTheme="minorEastAsia" w:hAnsiTheme="minorEastAsia" w:eastAsiaTheme="minorEastAsia" w:cstheme="minorEastAsia"/>
                <w:color w:val="auto"/>
                <w:spacing w:val="0"/>
                <w:sz w:val="24"/>
                <w:szCs w:val="24"/>
                <w:highlight w:val="none"/>
                <w:lang w:val="en-US" w:eastAsia="zh-CN"/>
              </w:rPr>
              <w:t>被监管人员</w:t>
            </w:r>
            <w:r>
              <w:rPr>
                <w:rFonts w:hint="eastAsia" w:asciiTheme="minorEastAsia" w:hAnsiTheme="minorEastAsia" w:eastAsiaTheme="minorEastAsia" w:cstheme="minorEastAsia"/>
                <w:color w:val="auto"/>
                <w:spacing w:val="0"/>
                <w:sz w:val="24"/>
                <w:szCs w:val="24"/>
                <w:highlight w:val="none"/>
              </w:rPr>
              <w:t>突发疾病、严重疾病未在</w:t>
            </w:r>
            <w:r>
              <w:rPr>
                <w:rFonts w:hint="eastAsia" w:asciiTheme="minorEastAsia" w:hAnsiTheme="minorEastAsia" w:eastAsiaTheme="minorEastAsia" w:cstheme="minorEastAsia"/>
                <w:color w:val="auto"/>
                <w:spacing w:val="0"/>
                <w:sz w:val="24"/>
                <w:szCs w:val="24"/>
                <w:highlight w:val="none"/>
                <w:lang w:val="en-US" w:eastAsia="zh-CN"/>
              </w:rPr>
              <w:t>10</w:t>
            </w:r>
            <w:r>
              <w:rPr>
                <w:rFonts w:hint="eastAsia" w:asciiTheme="minorEastAsia" w:hAnsiTheme="minorEastAsia" w:eastAsiaTheme="minorEastAsia" w:cstheme="minorEastAsia"/>
                <w:color w:val="auto"/>
                <w:spacing w:val="0"/>
                <w:sz w:val="24"/>
                <w:szCs w:val="24"/>
                <w:highlight w:val="none"/>
              </w:rPr>
              <w:t>分钟内及时赶至现场处置</w:t>
            </w:r>
          </w:p>
        </w:tc>
        <w:tc>
          <w:tcPr>
            <w:tcW w:w="750" w:type="dxa"/>
            <w:noWrap w:val="0"/>
            <w:vAlign w:val="center"/>
          </w:tcPr>
          <w:p w14:paraId="0A5F9214">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-10</w:t>
            </w:r>
          </w:p>
        </w:tc>
        <w:tc>
          <w:tcPr>
            <w:tcW w:w="1677" w:type="dxa"/>
            <w:vMerge w:val="continue"/>
            <w:noWrap w:val="0"/>
            <w:vAlign w:val="center"/>
          </w:tcPr>
          <w:p w14:paraId="23CEA40A">
            <w:pPr>
              <w:keepNext w:val="0"/>
              <w:keepLines w:val="0"/>
              <w:pageBreakBefore w:val="0"/>
              <w:widowControl/>
              <w:kinsoku w:val="0"/>
              <w:wordWrap/>
              <w:overflowPunct/>
              <w:topLinePunct w:val="0"/>
              <w:autoSpaceDE w:val="0"/>
              <w:autoSpaceDN w:val="0"/>
              <w:bidi w:val="0"/>
              <w:adjustRightInd w:val="0"/>
              <w:snapToGrid w:val="0"/>
              <w:spacing w:line="240" w:lineRule="auto"/>
              <w:ind w:left="105" w:leftChars="50" w:right="105" w:rightChars="50"/>
              <w:jc w:val="center"/>
              <w:textAlignment w:val="baseline"/>
              <w:rPr>
                <w:rFonts w:hint="eastAsia" w:asciiTheme="minorEastAsia" w:hAnsiTheme="minorEastAsia" w:eastAsiaTheme="minorEastAsia" w:cstheme="minorEastAsia"/>
                <w:color w:val="auto"/>
                <w:spacing w:val="0"/>
                <w:sz w:val="24"/>
                <w:szCs w:val="24"/>
                <w:highlight w:val="none"/>
              </w:rPr>
            </w:pPr>
          </w:p>
        </w:tc>
      </w:tr>
      <w:tr w14:paraId="01CE3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trPr>
        <w:tc>
          <w:tcPr>
            <w:tcW w:w="620" w:type="dxa"/>
            <w:vMerge w:val="continue"/>
            <w:noWrap w:val="0"/>
            <w:vAlign w:val="center"/>
          </w:tcPr>
          <w:p w14:paraId="59BE0CAA">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817" w:type="dxa"/>
            <w:vMerge w:val="continue"/>
            <w:noWrap w:val="0"/>
            <w:vAlign w:val="center"/>
          </w:tcPr>
          <w:p w14:paraId="6C4834BD">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733" w:type="dxa"/>
            <w:vMerge w:val="continue"/>
            <w:noWrap w:val="0"/>
            <w:vAlign w:val="center"/>
          </w:tcPr>
          <w:p w14:paraId="055000D8">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4733" w:type="dxa"/>
            <w:noWrap w:val="0"/>
            <w:vAlign w:val="center"/>
          </w:tcPr>
          <w:p w14:paraId="6D2ED872">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医务人员诊疗过程中不负责任造成病情延误、误诊等严重情况并造成严重后果</w:t>
            </w:r>
          </w:p>
        </w:tc>
        <w:tc>
          <w:tcPr>
            <w:tcW w:w="750" w:type="dxa"/>
            <w:noWrap w:val="0"/>
            <w:vAlign w:val="center"/>
          </w:tcPr>
          <w:p w14:paraId="068FE2E0">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w:t>
            </w:r>
            <w:r>
              <w:rPr>
                <w:rFonts w:hint="eastAsia" w:asciiTheme="minorEastAsia" w:hAnsiTheme="minorEastAsia" w:eastAsiaTheme="minorEastAsia" w:cstheme="minorEastAsia"/>
                <w:color w:val="auto"/>
                <w:spacing w:val="0"/>
                <w:sz w:val="24"/>
                <w:szCs w:val="24"/>
                <w:highlight w:val="none"/>
                <w:lang w:val="en-US" w:eastAsia="zh-CN"/>
              </w:rPr>
              <w:t>1</w:t>
            </w:r>
            <w:r>
              <w:rPr>
                <w:rFonts w:hint="eastAsia" w:asciiTheme="minorEastAsia" w:hAnsiTheme="minorEastAsia" w:eastAsiaTheme="minorEastAsia" w:cstheme="minorEastAsia"/>
                <w:color w:val="auto"/>
                <w:spacing w:val="0"/>
                <w:sz w:val="24"/>
                <w:szCs w:val="24"/>
                <w:highlight w:val="none"/>
              </w:rPr>
              <w:t>0</w:t>
            </w:r>
          </w:p>
        </w:tc>
        <w:tc>
          <w:tcPr>
            <w:tcW w:w="1677" w:type="dxa"/>
            <w:vMerge w:val="continue"/>
            <w:noWrap w:val="0"/>
            <w:vAlign w:val="center"/>
          </w:tcPr>
          <w:p w14:paraId="15D3514F">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105" w:leftChars="50" w:right="105" w:rightChars="50"/>
              <w:jc w:val="center"/>
              <w:textAlignment w:val="baseline"/>
              <w:rPr>
                <w:rFonts w:hint="eastAsia" w:asciiTheme="minorEastAsia" w:hAnsiTheme="minorEastAsia" w:eastAsiaTheme="minorEastAsia" w:cstheme="minorEastAsia"/>
                <w:color w:val="auto"/>
                <w:spacing w:val="0"/>
                <w:sz w:val="24"/>
                <w:szCs w:val="24"/>
                <w:highlight w:val="none"/>
              </w:rPr>
            </w:pPr>
          </w:p>
        </w:tc>
      </w:tr>
      <w:tr w14:paraId="62618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620" w:type="dxa"/>
            <w:vMerge w:val="restart"/>
            <w:noWrap w:val="0"/>
            <w:vAlign w:val="center"/>
          </w:tcPr>
          <w:p w14:paraId="1047195D">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3</w:t>
            </w:r>
          </w:p>
        </w:tc>
        <w:tc>
          <w:tcPr>
            <w:tcW w:w="817" w:type="dxa"/>
            <w:vMerge w:val="restart"/>
            <w:noWrap w:val="0"/>
            <w:vAlign w:val="center"/>
          </w:tcPr>
          <w:p w14:paraId="268D90D6">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医务</w:t>
            </w:r>
          </w:p>
          <w:p w14:paraId="58CF9B4C">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人员</w:t>
            </w:r>
          </w:p>
          <w:p w14:paraId="3AD98D3D">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遵守</w:t>
            </w:r>
          </w:p>
          <w:p w14:paraId="2299AD15">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监管</w:t>
            </w:r>
          </w:p>
          <w:p w14:paraId="5A62DD22">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场所</w:t>
            </w:r>
          </w:p>
          <w:p w14:paraId="7CB288E1">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规章</w:t>
            </w:r>
          </w:p>
          <w:p w14:paraId="6D6C0D76">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制度</w:t>
            </w:r>
          </w:p>
          <w:p w14:paraId="3C3828D2">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情况</w:t>
            </w:r>
          </w:p>
        </w:tc>
        <w:tc>
          <w:tcPr>
            <w:tcW w:w="733" w:type="dxa"/>
            <w:vMerge w:val="restart"/>
            <w:noWrap w:val="0"/>
            <w:vAlign w:val="center"/>
          </w:tcPr>
          <w:p w14:paraId="201E3062">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lang w:val="en-US" w:eastAsia="zh-CN"/>
              </w:rPr>
              <w:t>3</w:t>
            </w:r>
            <w:r>
              <w:rPr>
                <w:rFonts w:hint="eastAsia" w:asciiTheme="minorEastAsia" w:hAnsiTheme="minorEastAsia" w:eastAsiaTheme="minorEastAsia" w:cstheme="minorEastAsia"/>
                <w:color w:val="auto"/>
                <w:spacing w:val="0"/>
                <w:sz w:val="24"/>
                <w:szCs w:val="24"/>
                <w:highlight w:val="none"/>
              </w:rPr>
              <w:t>0</w:t>
            </w:r>
          </w:p>
        </w:tc>
        <w:tc>
          <w:tcPr>
            <w:tcW w:w="4733" w:type="dxa"/>
            <w:noWrap w:val="0"/>
            <w:vAlign w:val="center"/>
          </w:tcPr>
          <w:p w14:paraId="6F98688A">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无民警带领私自与</w:t>
            </w:r>
            <w:r>
              <w:rPr>
                <w:rFonts w:hint="eastAsia" w:asciiTheme="minorEastAsia" w:hAnsiTheme="minorEastAsia" w:eastAsiaTheme="minorEastAsia" w:cstheme="minorEastAsia"/>
                <w:color w:val="auto"/>
                <w:spacing w:val="0"/>
                <w:sz w:val="24"/>
                <w:szCs w:val="24"/>
                <w:highlight w:val="none"/>
                <w:lang w:val="en-US" w:eastAsia="zh-CN"/>
              </w:rPr>
              <w:t>被监管人员</w:t>
            </w:r>
            <w:r>
              <w:rPr>
                <w:rFonts w:hint="eastAsia" w:asciiTheme="minorEastAsia" w:hAnsiTheme="minorEastAsia" w:eastAsiaTheme="minorEastAsia" w:cstheme="minorEastAsia"/>
                <w:color w:val="auto"/>
                <w:spacing w:val="0"/>
                <w:sz w:val="24"/>
                <w:szCs w:val="24"/>
                <w:highlight w:val="none"/>
              </w:rPr>
              <w:t>接触</w:t>
            </w:r>
          </w:p>
        </w:tc>
        <w:tc>
          <w:tcPr>
            <w:tcW w:w="750" w:type="dxa"/>
            <w:noWrap w:val="0"/>
            <w:vAlign w:val="center"/>
          </w:tcPr>
          <w:p w14:paraId="662E76E4">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default"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rPr>
              <w:t>-</w:t>
            </w:r>
            <w:r>
              <w:rPr>
                <w:rFonts w:hint="eastAsia" w:asciiTheme="minorEastAsia" w:hAnsiTheme="minorEastAsia" w:eastAsiaTheme="minorEastAsia" w:cstheme="minorEastAsia"/>
                <w:color w:val="auto"/>
                <w:spacing w:val="0"/>
                <w:sz w:val="24"/>
                <w:szCs w:val="24"/>
                <w:highlight w:val="none"/>
                <w:lang w:val="en-US" w:eastAsia="zh-CN"/>
              </w:rPr>
              <w:t>5</w:t>
            </w:r>
          </w:p>
        </w:tc>
        <w:tc>
          <w:tcPr>
            <w:tcW w:w="1677" w:type="dxa"/>
            <w:vMerge w:val="restart"/>
            <w:noWrap w:val="0"/>
            <w:vAlign w:val="center"/>
          </w:tcPr>
          <w:p w14:paraId="44FD3B2D">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105" w:leftChars="50" w:right="105" w:rightChars="5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按违规</w:t>
            </w:r>
            <w:r>
              <w:rPr>
                <w:rFonts w:hint="eastAsia" w:asciiTheme="minorEastAsia" w:hAnsiTheme="minorEastAsia" w:eastAsiaTheme="minorEastAsia" w:cstheme="minorEastAsia"/>
                <w:color w:val="auto"/>
                <w:spacing w:val="0"/>
                <w:sz w:val="24"/>
                <w:szCs w:val="24"/>
                <w:highlight w:val="none"/>
                <w:lang w:val="en-US" w:eastAsia="zh-CN"/>
              </w:rPr>
              <w:t>每</w:t>
            </w:r>
            <w:r>
              <w:rPr>
                <w:rFonts w:hint="eastAsia" w:asciiTheme="minorEastAsia" w:hAnsiTheme="minorEastAsia" w:eastAsiaTheme="minorEastAsia" w:cstheme="minorEastAsia"/>
                <w:color w:val="auto"/>
                <w:spacing w:val="0"/>
                <w:sz w:val="24"/>
                <w:szCs w:val="24"/>
                <w:highlight w:val="none"/>
              </w:rPr>
              <w:t>人次数计算</w:t>
            </w:r>
          </w:p>
        </w:tc>
      </w:tr>
      <w:tr w14:paraId="538D8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53" w:hRule="atLeast"/>
        </w:trPr>
        <w:tc>
          <w:tcPr>
            <w:tcW w:w="620" w:type="dxa"/>
            <w:vMerge w:val="continue"/>
            <w:noWrap w:val="0"/>
            <w:vAlign w:val="center"/>
          </w:tcPr>
          <w:p w14:paraId="66AC2AB7">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817" w:type="dxa"/>
            <w:vMerge w:val="continue"/>
            <w:noWrap w:val="0"/>
            <w:vAlign w:val="center"/>
          </w:tcPr>
          <w:p w14:paraId="2B96DC80">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733" w:type="dxa"/>
            <w:vMerge w:val="continue"/>
            <w:noWrap w:val="0"/>
            <w:vAlign w:val="center"/>
          </w:tcPr>
          <w:p w14:paraId="4A634FB8">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4733" w:type="dxa"/>
            <w:noWrap w:val="0"/>
            <w:vAlign w:val="center"/>
          </w:tcPr>
          <w:p w14:paraId="7448B6A2">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将手机、电话手表、香烟等违禁物品带入</w:t>
            </w:r>
          </w:p>
          <w:p w14:paraId="1500B4D7">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lang w:eastAsia="zh-CN"/>
              </w:rPr>
            </w:pPr>
            <w:r>
              <w:rPr>
                <w:rFonts w:hint="eastAsia" w:asciiTheme="minorEastAsia" w:hAnsiTheme="minorEastAsia" w:eastAsiaTheme="minorEastAsia" w:cstheme="minorEastAsia"/>
                <w:color w:val="auto"/>
                <w:spacing w:val="0"/>
                <w:sz w:val="24"/>
                <w:szCs w:val="24"/>
                <w:highlight w:val="none"/>
                <w:lang w:val="en-US" w:eastAsia="zh-CN"/>
              </w:rPr>
              <w:t>监区的</w:t>
            </w:r>
          </w:p>
        </w:tc>
        <w:tc>
          <w:tcPr>
            <w:tcW w:w="750" w:type="dxa"/>
            <w:noWrap w:val="0"/>
            <w:vAlign w:val="center"/>
          </w:tcPr>
          <w:p w14:paraId="41B540BD">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lang w:eastAsia="zh-CN"/>
              </w:rPr>
            </w:pPr>
            <w:r>
              <w:rPr>
                <w:rFonts w:hint="eastAsia" w:asciiTheme="minorEastAsia" w:hAnsiTheme="minorEastAsia" w:eastAsiaTheme="minorEastAsia" w:cstheme="minorEastAsia"/>
                <w:color w:val="auto"/>
                <w:spacing w:val="0"/>
                <w:sz w:val="24"/>
                <w:szCs w:val="24"/>
                <w:highlight w:val="none"/>
              </w:rPr>
              <w:t>-</w:t>
            </w:r>
            <w:r>
              <w:rPr>
                <w:rFonts w:hint="eastAsia" w:asciiTheme="minorEastAsia" w:hAnsiTheme="minorEastAsia" w:eastAsiaTheme="minorEastAsia" w:cstheme="minorEastAsia"/>
                <w:color w:val="auto"/>
                <w:spacing w:val="0"/>
                <w:sz w:val="24"/>
                <w:szCs w:val="24"/>
                <w:highlight w:val="none"/>
                <w:lang w:val="en-US" w:eastAsia="zh-CN"/>
              </w:rPr>
              <w:t>5</w:t>
            </w:r>
          </w:p>
        </w:tc>
        <w:tc>
          <w:tcPr>
            <w:tcW w:w="1677" w:type="dxa"/>
            <w:vMerge w:val="continue"/>
            <w:noWrap w:val="0"/>
            <w:vAlign w:val="center"/>
          </w:tcPr>
          <w:p w14:paraId="7685DA87">
            <w:pPr>
              <w:keepNext w:val="0"/>
              <w:keepLines w:val="0"/>
              <w:pageBreakBefore w:val="0"/>
              <w:widowControl/>
              <w:kinsoku w:val="0"/>
              <w:wordWrap/>
              <w:overflowPunct/>
              <w:topLinePunct w:val="0"/>
              <w:autoSpaceDE w:val="0"/>
              <w:autoSpaceDN w:val="0"/>
              <w:bidi w:val="0"/>
              <w:adjustRightInd w:val="0"/>
              <w:snapToGrid w:val="0"/>
              <w:spacing w:line="240" w:lineRule="auto"/>
              <w:ind w:left="105" w:leftChars="50" w:right="105" w:rightChars="50" w:firstLine="0"/>
              <w:jc w:val="center"/>
              <w:textAlignment w:val="baseline"/>
              <w:rPr>
                <w:rFonts w:hint="eastAsia" w:asciiTheme="minorEastAsia" w:hAnsiTheme="minorEastAsia" w:eastAsiaTheme="minorEastAsia" w:cstheme="minorEastAsia"/>
                <w:color w:val="auto"/>
                <w:spacing w:val="0"/>
                <w:sz w:val="24"/>
                <w:szCs w:val="24"/>
                <w:highlight w:val="none"/>
              </w:rPr>
            </w:pPr>
          </w:p>
        </w:tc>
      </w:tr>
      <w:tr w14:paraId="50A86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5" w:hRule="atLeast"/>
        </w:trPr>
        <w:tc>
          <w:tcPr>
            <w:tcW w:w="620" w:type="dxa"/>
            <w:vMerge w:val="continue"/>
            <w:noWrap w:val="0"/>
            <w:vAlign w:val="center"/>
          </w:tcPr>
          <w:p w14:paraId="568EA4C7">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817" w:type="dxa"/>
            <w:vMerge w:val="continue"/>
            <w:noWrap w:val="0"/>
            <w:vAlign w:val="center"/>
          </w:tcPr>
          <w:p w14:paraId="76F7BC31">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733" w:type="dxa"/>
            <w:vMerge w:val="continue"/>
            <w:noWrap w:val="0"/>
            <w:vAlign w:val="center"/>
          </w:tcPr>
          <w:p w14:paraId="34D02CDC">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4733" w:type="dxa"/>
            <w:noWrap w:val="0"/>
            <w:vAlign w:val="center"/>
          </w:tcPr>
          <w:p w14:paraId="5B9D0CC9">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在</w:t>
            </w:r>
            <w:r>
              <w:rPr>
                <w:rFonts w:hint="eastAsia" w:asciiTheme="minorEastAsia" w:hAnsiTheme="minorEastAsia" w:eastAsiaTheme="minorEastAsia" w:cstheme="minorEastAsia"/>
                <w:color w:val="auto"/>
                <w:spacing w:val="0"/>
                <w:sz w:val="24"/>
                <w:szCs w:val="24"/>
                <w:highlight w:val="none"/>
                <w:lang w:val="en-US" w:eastAsia="zh-CN"/>
              </w:rPr>
              <w:t>监区</w:t>
            </w:r>
            <w:r>
              <w:rPr>
                <w:rFonts w:hint="eastAsia" w:asciiTheme="minorEastAsia" w:hAnsiTheme="minorEastAsia" w:eastAsiaTheme="minorEastAsia" w:cstheme="minorEastAsia"/>
                <w:color w:val="auto"/>
                <w:spacing w:val="0"/>
                <w:sz w:val="24"/>
                <w:szCs w:val="24"/>
                <w:highlight w:val="none"/>
              </w:rPr>
              <w:t>内违规接打电话、吸烟等情况</w:t>
            </w:r>
          </w:p>
        </w:tc>
        <w:tc>
          <w:tcPr>
            <w:tcW w:w="750" w:type="dxa"/>
            <w:noWrap w:val="0"/>
            <w:vAlign w:val="center"/>
          </w:tcPr>
          <w:p w14:paraId="490F5928">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-5</w:t>
            </w:r>
          </w:p>
        </w:tc>
        <w:tc>
          <w:tcPr>
            <w:tcW w:w="1677" w:type="dxa"/>
            <w:vMerge w:val="continue"/>
            <w:noWrap w:val="0"/>
            <w:vAlign w:val="center"/>
          </w:tcPr>
          <w:p w14:paraId="28280613">
            <w:pPr>
              <w:keepNext w:val="0"/>
              <w:keepLines w:val="0"/>
              <w:pageBreakBefore w:val="0"/>
              <w:widowControl/>
              <w:kinsoku w:val="0"/>
              <w:wordWrap/>
              <w:overflowPunct/>
              <w:topLinePunct w:val="0"/>
              <w:autoSpaceDE w:val="0"/>
              <w:autoSpaceDN w:val="0"/>
              <w:bidi w:val="0"/>
              <w:adjustRightInd w:val="0"/>
              <w:snapToGrid w:val="0"/>
              <w:spacing w:line="240" w:lineRule="auto"/>
              <w:ind w:left="105" w:leftChars="50" w:right="105" w:rightChars="50" w:firstLine="0"/>
              <w:jc w:val="center"/>
              <w:textAlignment w:val="baseline"/>
              <w:rPr>
                <w:rFonts w:hint="eastAsia" w:asciiTheme="minorEastAsia" w:hAnsiTheme="minorEastAsia" w:eastAsiaTheme="minorEastAsia" w:cstheme="minorEastAsia"/>
                <w:color w:val="auto"/>
                <w:spacing w:val="0"/>
                <w:sz w:val="24"/>
                <w:szCs w:val="24"/>
                <w:highlight w:val="none"/>
              </w:rPr>
            </w:pPr>
          </w:p>
        </w:tc>
      </w:tr>
      <w:tr w14:paraId="1B5033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97" w:hRule="atLeast"/>
        </w:trPr>
        <w:tc>
          <w:tcPr>
            <w:tcW w:w="620" w:type="dxa"/>
            <w:vMerge w:val="continue"/>
            <w:noWrap w:val="0"/>
            <w:vAlign w:val="center"/>
          </w:tcPr>
          <w:p w14:paraId="75ECCE4F">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817" w:type="dxa"/>
            <w:vMerge w:val="continue"/>
            <w:noWrap w:val="0"/>
            <w:vAlign w:val="center"/>
          </w:tcPr>
          <w:p w14:paraId="0F18B03B">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733" w:type="dxa"/>
            <w:vMerge w:val="continue"/>
            <w:noWrap w:val="0"/>
            <w:vAlign w:val="center"/>
          </w:tcPr>
          <w:p w14:paraId="49A6848D">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4733" w:type="dxa"/>
            <w:noWrap w:val="0"/>
            <w:vAlign w:val="center"/>
          </w:tcPr>
          <w:p w14:paraId="48906FC5">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将手机、电话手表、香烟等违禁物品给</w:t>
            </w:r>
            <w:r>
              <w:rPr>
                <w:rFonts w:hint="eastAsia" w:asciiTheme="minorEastAsia" w:hAnsiTheme="minorEastAsia" w:eastAsiaTheme="minorEastAsia" w:cstheme="minorEastAsia"/>
                <w:color w:val="auto"/>
                <w:spacing w:val="0"/>
                <w:sz w:val="24"/>
                <w:szCs w:val="24"/>
                <w:highlight w:val="none"/>
                <w:lang w:val="en-US" w:eastAsia="zh-CN"/>
              </w:rPr>
              <w:t>被监管人员</w:t>
            </w:r>
            <w:r>
              <w:rPr>
                <w:rFonts w:hint="eastAsia" w:asciiTheme="minorEastAsia" w:hAnsiTheme="minorEastAsia" w:eastAsiaTheme="minorEastAsia" w:cstheme="minorEastAsia"/>
                <w:color w:val="auto"/>
                <w:spacing w:val="0"/>
                <w:sz w:val="24"/>
                <w:szCs w:val="24"/>
                <w:highlight w:val="none"/>
              </w:rPr>
              <w:t>使用</w:t>
            </w:r>
          </w:p>
        </w:tc>
        <w:tc>
          <w:tcPr>
            <w:tcW w:w="750" w:type="dxa"/>
            <w:noWrap w:val="0"/>
            <w:vAlign w:val="center"/>
          </w:tcPr>
          <w:p w14:paraId="5878D249">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w:t>
            </w:r>
            <w:r>
              <w:rPr>
                <w:rFonts w:hint="eastAsia" w:asciiTheme="minorEastAsia" w:hAnsiTheme="minorEastAsia" w:eastAsiaTheme="minorEastAsia" w:cstheme="minorEastAsia"/>
                <w:color w:val="auto"/>
                <w:spacing w:val="0"/>
                <w:sz w:val="24"/>
                <w:szCs w:val="24"/>
                <w:highlight w:val="none"/>
                <w:lang w:val="en-US" w:eastAsia="zh-CN"/>
              </w:rPr>
              <w:t>1</w:t>
            </w:r>
            <w:r>
              <w:rPr>
                <w:rFonts w:hint="eastAsia" w:asciiTheme="minorEastAsia" w:hAnsiTheme="minorEastAsia" w:eastAsiaTheme="minorEastAsia" w:cstheme="minorEastAsia"/>
                <w:color w:val="auto"/>
                <w:spacing w:val="0"/>
                <w:sz w:val="24"/>
                <w:szCs w:val="24"/>
                <w:highlight w:val="none"/>
              </w:rPr>
              <w:t>0</w:t>
            </w:r>
          </w:p>
        </w:tc>
        <w:tc>
          <w:tcPr>
            <w:tcW w:w="1677" w:type="dxa"/>
            <w:vMerge w:val="restart"/>
            <w:noWrap w:val="0"/>
            <w:vAlign w:val="center"/>
          </w:tcPr>
          <w:p w14:paraId="1DF1285B">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105" w:leftChars="50" w:right="105" w:rightChars="5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每发现一次，采购人有权终止合同，追究相关责任人的法律责任，并移送相关部门处理。</w:t>
            </w:r>
          </w:p>
        </w:tc>
      </w:tr>
      <w:tr w14:paraId="223DA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5" w:hRule="atLeast"/>
        </w:trPr>
        <w:tc>
          <w:tcPr>
            <w:tcW w:w="620" w:type="dxa"/>
            <w:vMerge w:val="continue"/>
            <w:noWrap w:val="0"/>
            <w:vAlign w:val="center"/>
          </w:tcPr>
          <w:p w14:paraId="36841605">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817" w:type="dxa"/>
            <w:vMerge w:val="continue"/>
            <w:noWrap w:val="0"/>
            <w:vAlign w:val="center"/>
          </w:tcPr>
          <w:p w14:paraId="5A057942">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733" w:type="dxa"/>
            <w:vMerge w:val="continue"/>
            <w:noWrap w:val="0"/>
            <w:vAlign w:val="center"/>
          </w:tcPr>
          <w:p w14:paraId="4567F30F">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4733" w:type="dxa"/>
            <w:noWrap w:val="0"/>
            <w:vAlign w:val="center"/>
          </w:tcPr>
          <w:p w14:paraId="21BFC642">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通过各种途径私下为</w:t>
            </w:r>
            <w:r>
              <w:rPr>
                <w:rFonts w:hint="eastAsia" w:asciiTheme="minorEastAsia" w:hAnsiTheme="minorEastAsia" w:eastAsiaTheme="minorEastAsia" w:cstheme="minorEastAsia"/>
                <w:color w:val="auto"/>
                <w:spacing w:val="0"/>
                <w:sz w:val="24"/>
                <w:szCs w:val="24"/>
                <w:highlight w:val="none"/>
                <w:lang w:val="en-US" w:eastAsia="zh-CN"/>
              </w:rPr>
              <w:t>被监管人员</w:t>
            </w:r>
            <w:r>
              <w:rPr>
                <w:rFonts w:hint="eastAsia" w:asciiTheme="minorEastAsia" w:hAnsiTheme="minorEastAsia" w:eastAsiaTheme="minorEastAsia" w:cstheme="minorEastAsia"/>
                <w:color w:val="auto"/>
                <w:spacing w:val="0"/>
                <w:sz w:val="24"/>
                <w:szCs w:val="24"/>
                <w:highlight w:val="none"/>
              </w:rPr>
              <w:t>传递信息</w:t>
            </w:r>
          </w:p>
        </w:tc>
        <w:tc>
          <w:tcPr>
            <w:tcW w:w="750" w:type="dxa"/>
            <w:noWrap w:val="0"/>
            <w:vAlign w:val="center"/>
          </w:tcPr>
          <w:p w14:paraId="0095B0BE">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w:t>
            </w:r>
            <w:r>
              <w:rPr>
                <w:rFonts w:hint="eastAsia" w:asciiTheme="minorEastAsia" w:hAnsiTheme="minorEastAsia" w:eastAsiaTheme="minorEastAsia" w:cstheme="minorEastAsia"/>
                <w:color w:val="auto"/>
                <w:spacing w:val="0"/>
                <w:sz w:val="24"/>
                <w:szCs w:val="24"/>
                <w:highlight w:val="none"/>
                <w:lang w:val="en-US" w:eastAsia="zh-CN"/>
              </w:rPr>
              <w:t>1</w:t>
            </w:r>
            <w:r>
              <w:rPr>
                <w:rFonts w:hint="eastAsia" w:asciiTheme="minorEastAsia" w:hAnsiTheme="minorEastAsia" w:eastAsiaTheme="minorEastAsia" w:cstheme="minorEastAsia"/>
                <w:color w:val="auto"/>
                <w:spacing w:val="0"/>
                <w:sz w:val="24"/>
                <w:szCs w:val="24"/>
                <w:highlight w:val="none"/>
              </w:rPr>
              <w:t>0</w:t>
            </w:r>
          </w:p>
        </w:tc>
        <w:tc>
          <w:tcPr>
            <w:tcW w:w="1677" w:type="dxa"/>
            <w:vMerge w:val="continue"/>
            <w:noWrap w:val="0"/>
            <w:vAlign w:val="center"/>
          </w:tcPr>
          <w:p w14:paraId="30CB6A60">
            <w:pPr>
              <w:keepNext w:val="0"/>
              <w:keepLines w:val="0"/>
              <w:pageBreakBefore w:val="0"/>
              <w:widowControl/>
              <w:kinsoku w:val="0"/>
              <w:wordWrap/>
              <w:overflowPunct/>
              <w:topLinePunct w:val="0"/>
              <w:autoSpaceDE w:val="0"/>
              <w:autoSpaceDN w:val="0"/>
              <w:bidi w:val="0"/>
              <w:adjustRightInd w:val="0"/>
              <w:snapToGrid w:val="0"/>
              <w:spacing w:line="240" w:lineRule="auto"/>
              <w:ind w:left="105" w:leftChars="50" w:right="105" w:rightChars="50" w:firstLine="0"/>
              <w:jc w:val="center"/>
              <w:textAlignment w:val="baseline"/>
              <w:rPr>
                <w:rFonts w:hint="eastAsia" w:asciiTheme="minorEastAsia" w:hAnsiTheme="minorEastAsia" w:eastAsiaTheme="minorEastAsia" w:cstheme="minorEastAsia"/>
                <w:color w:val="auto"/>
                <w:spacing w:val="0"/>
                <w:sz w:val="24"/>
                <w:szCs w:val="24"/>
                <w:highlight w:val="none"/>
              </w:rPr>
            </w:pPr>
          </w:p>
        </w:tc>
      </w:tr>
      <w:tr w14:paraId="024B1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620" w:type="dxa"/>
            <w:vMerge w:val="continue"/>
            <w:noWrap w:val="0"/>
            <w:vAlign w:val="center"/>
          </w:tcPr>
          <w:p w14:paraId="68922F59">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817" w:type="dxa"/>
            <w:vMerge w:val="continue"/>
            <w:noWrap w:val="0"/>
            <w:vAlign w:val="center"/>
          </w:tcPr>
          <w:p w14:paraId="2C24AFDB">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733" w:type="dxa"/>
            <w:vMerge w:val="continue"/>
            <w:noWrap w:val="0"/>
            <w:vAlign w:val="center"/>
          </w:tcPr>
          <w:p w14:paraId="0F4A56EC">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4733" w:type="dxa"/>
            <w:noWrap w:val="0"/>
            <w:vAlign w:val="center"/>
          </w:tcPr>
          <w:p w14:paraId="0DCEDD7B">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未按保密要求造成信息泄密引起严重后</w:t>
            </w:r>
          </w:p>
          <w:p w14:paraId="1DFF1658">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果</w:t>
            </w:r>
          </w:p>
        </w:tc>
        <w:tc>
          <w:tcPr>
            <w:tcW w:w="750" w:type="dxa"/>
            <w:noWrap w:val="0"/>
            <w:vAlign w:val="center"/>
          </w:tcPr>
          <w:p w14:paraId="27D48D2F">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w:t>
            </w:r>
            <w:r>
              <w:rPr>
                <w:rFonts w:hint="eastAsia" w:asciiTheme="minorEastAsia" w:hAnsiTheme="minorEastAsia" w:eastAsiaTheme="minorEastAsia" w:cstheme="minorEastAsia"/>
                <w:color w:val="auto"/>
                <w:spacing w:val="0"/>
                <w:sz w:val="24"/>
                <w:szCs w:val="24"/>
                <w:highlight w:val="none"/>
                <w:lang w:val="en-US" w:eastAsia="zh-CN"/>
              </w:rPr>
              <w:t>1</w:t>
            </w:r>
            <w:r>
              <w:rPr>
                <w:rFonts w:hint="eastAsia" w:asciiTheme="minorEastAsia" w:hAnsiTheme="minorEastAsia" w:eastAsiaTheme="minorEastAsia" w:cstheme="minorEastAsia"/>
                <w:color w:val="auto"/>
                <w:spacing w:val="0"/>
                <w:sz w:val="24"/>
                <w:szCs w:val="24"/>
                <w:highlight w:val="none"/>
              </w:rPr>
              <w:t>0</w:t>
            </w:r>
          </w:p>
        </w:tc>
        <w:tc>
          <w:tcPr>
            <w:tcW w:w="1677" w:type="dxa"/>
            <w:vMerge w:val="continue"/>
            <w:noWrap w:val="0"/>
            <w:vAlign w:val="center"/>
          </w:tcPr>
          <w:p w14:paraId="04748FE2">
            <w:pPr>
              <w:keepNext w:val="0"/>
              <w:keepLines w:val="0"/>
              <w:pageBreakBefore w:val="0"/>
              <w:widowControl/>
              <w:kinsoku w:val="0"/>
              <w:wordWrap/>
              <w:overflowPunct/>
              <w:topLinePunct w:val="0"/>
              <w:autoSpaceDE w:val="0"/>
              <w:autoSpaceDN w:val="0"/>
              <w:bidi w:val="0"/>
              <w:adjustRightInd w:val="0"/>
              <w:snapToGrid w:val="0"/>
              <w:spacing w:line="240" w:lineRule="auto"/>
              <w:ind w:left="105" w:leftChars="50" w:right="105" w:rightChars="50" w:firstLine="0"/>
              <w:jc w:val="center"/>
              <w:textAlignment w:val="baseline"/>
              <w:rPr>
                <w:rFonts w:hint="eastAsia" w:asciiTheme="minorEastAsia" w:hAnsiTheme="minorEastAsia" w:eastAsiaTheme="minorEastAsia" w:cstheme="minorEastAsia"/>
                <w:color w:val="auto"/>
                <w:spacing w:val="0"/>
                <w:sz w:val="24"/>
                <w:szCs w:val="24"/>
                <w:highlight w:val="none"/>
              </w:rPr>
            </w:pPr>
          </w:p>
        </w:tc>
      </w:tr>
      <w:tr w14:paraId="530A1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620" w:type="dxa"/>
            <w:noWrap w:val="0"/>
            <w:vAlign w:val="center"/>
          </w:tcPr>
          <w:p w14:paraId="1E25C294">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4</w:t>
            </w:r>
          </w:p>
        </w:tc>
        <w:tc>
          <w:tcPr>
            <w:tcW w:w="817" w:type="dxa"/>
            <w:noWrap w:val="0"/>
            <w:vAlign w:val="center"/>
          </w:tcPr>
          <w:p w14:paraId="2E6F2B6E">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服从</w:t>
            </w:r>
          </w:p>
          <w:p w14:paraId="4E41C2B4">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default"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管理</w:t>
            </w:r>
          </w:p>
        </w:tc>
        <w:tc>
          <w:tcPr>
            <w:tcW w:w="733" w:type="dxa"/>
            <w:noWrap w:val="0"/>
            <w:vAlign w:val="center"/>
          </w:tcPr>
          <w:p w14:paraId="14861339">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default"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10</w:t>
            </w:r>
          </w:p>
        </w:tc>
        <w:tc>
          <w:tcPr>
            <w:tcW w:w="4733" w:type="dxa"/>
            <w:noWrap w:val="0"/>
            <w:vAlign w:val="center"/>
          </w:tcPr>
          <w:p w14:paraId="7C247D75">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default"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不服从监管中心工作安排，违反相关规定的</w:t>
            </w:r>
          </w:p>
        </w:tc>
        <w:tc>
          <w:tcPr>
            <w:tcW w:w="750" w:type="dxa"/>
            <w:noWrap w:val="0"/>
            <w:vAlign w:val="center"/>
          </w:tcPr>
          <w:p w14:paraId="4A6DEA83">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default"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-10</w:t>
            </w:r>
          </w:p>
        </w:tc>
        <w:tc>
          <w:tcPr>
            <w:tcW w:w="1677" w:type="dxa"/>
            <w:noWrap w:val="0"/>
            <w:vAlign w:val="center"/>
          </w:tcPr>
          <w:p w14:paraId="4392160C">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105" w:leftChars="50" w:right="105" w:rightChars="5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按每人次数</w:t>
            </w:r>
          </w:p>
          <w:p w14:paraId="0B5C9858">
            <w:pPr>
              <w:keepNext w:val="0"/>
              <w:keepLines w:val="0"/>
              <w:pageBreakBefore w:val="0"/>
              <w:widowControl/>
              <w:kinsoku w:val="0"/>
              <w:wordWrap/>
              <w:overflowPunct/>
              <w:topLinePunct w:val="0"/>
              <w:autoSpaceDE w:val="0"/>
              <w:autoSpaceDN w:val="0"/>
              <w:bidi w:val="0"/>
              <w:adjustRightInd w:val="0"/>
              <w:snapToGrid w:val="0"/>
              <w:spacing w:line="240" w:lineRule="auto"/>
              <w:ind w:left="105" w:leftChars="50" w:right="105" w:rightChars="5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计算</w:t>
            </w:r>
          </w:p>
        </w:tc>
      </w:tr>
      <w:tr w14:paraId="7814A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94" w:hRule="atLeast"/>
        </w:trPr>
        <w:tc>
          <w:tcPr>
            <w:tcW w:w="620" w:type="dxa"/>
            <w:vMerge w:val="restart"/>
            <w:noWrap w:val="0"/>
            <w:vAlign w:val="center"/>
          </w:tcPr>
          <w:p w14:paraId="756B6B78">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lang w:eastAsia="zh-CN"/>
              </w:rPr>
            </w:pPr>
            <w:r>
              <w:rPr>
                <w:rFonts w:hint="eastAsia" w:asciiTheme="minorEastAsia" w:hAnsiTheme="minorEastAsia" w:eastAsiaTheme="minorEastAsia" w:cstheme="minorEastAsia"/>
                <w:color w:val="auto"/>
                <w:spacing w:val="0"/>
                <w:sz w:val="24"/>
                <w:szCs w:val="24"/>
                <w:highlight w:val="none"/>
                <w:lang w:val="en-US" w:eastAsia="zh-CN"/>
              </w:rPr>
              <w:t>5</w:t>
            </w:r>
          </w:p>
        </w:tc>
        <w:tc>
          <w:tcPr>
            <w:tcW w:w="817" w:type="dxa"/>
            <w:vMerge w:val="restart"/>
            <w:noWrap w:val="0"/>
            <w:vAlign w:val="center"/>
          </w:tcPr>
          <w:p w14:paraId="2EF548AE">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体检</w:t>
            </w:r>
          </w:p>
          <w:p w14:paraId="30CDC074">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诊疗</w:t>
            </w:r>
          </w:p>
          <w:p w14:paraId="4E4AE706">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过程</w:t>
            </w:r>
          </w:p>
          <w:p w14:paraId="2C0446D8">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满意度</w:t>
            </w:r>
          </w:p>
        </w:tc>
        <w:tc>
          <w:tcPr>
            <w:tcW w:w="733" w:type="dxa"/>
            <w:vMerge w:val="restart"/>
            <w:noWrap w:val="0"/>
            <w:vAlign w:val="center"/>
          </w:tcPr>
          <w:p w14:paraId="6C40019B">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10</w:t>
            </w:r>
          </w:p>
        </w:tc>
        <w:tc>
          <w:tcPr>
            <w:tcW w:w="4733" w:type="dxa"/>
            <w:noWrap w:val="0"/>
            <w:vAlign w:val="center"/>
          </w:tcPr>
          <w:p w14:paraId="68F80BF7">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70%-80%</w:t>
            </w:r>
          </w:p>
        </w:tc>
        <w:tc>
          <w:tcPr>
            <w:tcW w:w="750" w:type="dxa"/>
            <w:noWrap w:val="0"/>
            <w:vAlign w:val="center"/>
          </w:tcPr>
          <w:p w14:paraId="6C2DEFDE">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-2</w:t>
            </w:r>
          </w:p>
        </w:tc>
        <w:tc>
          <w:tcPr>
            <w:tcW w:w="1677" w:type="dxa"/>
            <w:vMerge w:val="restart"/>
            <w:noWrap w:val="0"/>
            <w:vAlign w:val="center"/>
          </w:tcPr>
          <w:p w14:paraId="42116BA7">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105" w:leftChars="50" w:right="105" w:rightChars="5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每月面向送检、送医单位进行体检医疗服务满意度调查，根据满意度调查表来计算满意度百分比</w:t>
            </w:r>
          </w:p>
        </w:tc>
      </w:tr>
      <w:tr w14:paraId="270360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99" w:hRule="atLeast"/>
        </w:trPr>
        <w:tc>
          <w:tcPr>
            <w:tcW w:w="620" w:type="dxa"/>
            <w:vMerge w:val="continue"/>
            <w:noWrap w:val="0"/>
            <w:vAlign w:val="center"/>
          </w:tcPr>
          <w:p w14:paraId="0FA6C1F7">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817" w:type="dxa"/>
            <w:vMerge w:val="continue"/>
            <w:noWrap w:val="0"/>
            <w:vAlign w:val="center"/>
          </w:tcPr>
          <w:p w14:paraId="7A39051E">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733" w:type="dxa"/>
            <w:vMerge w:val="continue"/>
            <w:noWrap w:val="0"/>
            <w:vAlign w:val="center"/>
          </w:tcPr>
          <w:p w14:paraId="013F69C4">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4733" w:type="dxa"/>
            <w:noWrap w:val="0"/>
            <w:vAlign w:val="center"/>
          </w:tcPr>
          <w:p w14:paraId="67CAA227">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60%-70%</w:t>
            </w:r>
          </w:p>
        </w:tc>
        <w:tc>
          <w:tcPr>
            <w:tcW w:w="750" w:type="dxa"/>
            <w:noWrap w:val="0"/>
            <w:vAlign w:val="center"/>
          </w:tcPr>
          <w:p w14:paraId="3759AB81">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-5</w:t>
            </w:r>
          </w:p>
        </w:tc>
        <w:tc>
          <w:tcPr>
            <w:tcW w:w="1677" w:type="dxa"/>
            <w:vMerge w:val="continue"/>
            <w:noWrap w:val="0"/>
            <w:vAlign w:val="center"/>
          </w:tcPr>
          <w:p w14:paraId="7046EDA8">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p>
        </w:tc>
      </w:tr>
      <w:tr w14:paraId="3C599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620" w:type="dxa"/>
            <w:vMerge w:val="continue"/>
            <w:noWrap w:val="0"/>
            <w:vAlign w:val="center"/>
          </w:tcPr>
          <w:p w14:paraId="5A2B0F43">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817" w:type="dxa"/>
            <w:vMerge w:val="continue"/>
            <w:noWrap w:val="0"/>
            <w:vAlign w:val="center"/>
          </w:tcPr>
          <w:p w14:paraId="12F05765">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733" w:type="dxa"/>
            <w:vMerge w:val="continue"/>
            <w:noWrap w:val="0"/>
            <w:vAlign w:val="center"/>
          </w:tcPr>
          <w:p w14:paraId="163D668D">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p>
        </w:tc>
        <w:tc>
          <w:tcPr>
            <w:tcW w:w="4733" w:type="dxa"/>
            <w:noWrap w:val="0"/>
            <w:vAlign w:val="center"/>
          </w:tcPr>
          <w:p w14:paraId="3621EC19">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50%-60%</w:t>
            </w:r>
          </w:p>
        </w:tc>
        <w:tc>
          <w:tcPr>
            <w:tcW w:w="750" w:type="dxa"/>
            <w:noWrap w:val="0"/>
            <w:vAlign w:val="center"/>
          </w:tcPr>
          <w:p w14:paraId="3E8E140C">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-10</w:t>
            </w:r>
          </w:p>
        </w:tc>
        <w:tc>
          <w:tcPr>
            <w:tcW w:w="1677" w:type="dxa"/>
            <w:vMerge w:val="continue"/>
            <w:noWrap w:val="0"/>
            <w:vAlign w:val="center"/>
          </w:tcPr>
          <w:p w14:paraId="0F70049F">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jc w:val="center"/>
              <w:textAlignment w:val="baseline"/>
              <w:rPr>
                <w:rFonts w:hint="eastAsia" w:asciiTheme="minorEastAsia" w:hAnsiTheme="minorEastAsia" w:eastAsiaTheme="minorEastAsia" w:cstheme="minorEastAsia"/>
                <w:color w:val="auto"/>
                <w:spacing w:val="0"/>
                <w:sz w:val="24"/>
                <w:szCs w:val="24"/>
                <w:highlight w:val="none"/>
              </w:rPr>
            </w:pPr>
          </w:p>
        </w:tc>
      </w:tr>
    </w:tbl>
    <w:p w14:paraId="6C14E708">
      <w:pPr>
        <w:keepNext w:val="0"/>
        <w:keepLines w:val="0"/>
        <w:pageBreakBefore w:val="0"/>
        <w:widowControl w:val="0"/>
        <w:kinsoku/>
        <w:wordWrap/>
        <w:overflowPunct/>
        <w:topLinePunct w:val="0"/>
        <w:bidi w:val="0"/>
        <w:adjustRightInd w:val="0"/>
        <w:spacing w:line="240" w:lineRule="auto"/>
        <w:outlineLvl w:val="9"/>
        <w:rPr>
          <w:rFonts w:hint="eastAsia" w:asciiTheme="minorEastAsia" w:hAnsiTheme="minorEastAsia" w:eastAsiaTheme="minorEastAsia" w:cstheme="minorEastAsia"/>
          <w:b/>
          <w:bCs/>
          <w:color w:val="auto"/>
          <w:sz w:val="28"/>
          <w:szCs w:val="28"/>
          <w:highlight w:val="none"/>
          <w:lang w:eastAsia="zh-CN"/>
        </w:rPr>
      </w:pPr>
    </w:p>
    <w:p w14:paraId="013F8956">
      <w:pPr>
        <w:rPr>
          <w:highlight w:val="none"/>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10AA5">
    <w:pPr>
      <w:pStyle w:val="4"/>
      <w:rPr>
        <w:lang w:eastAsia="zh-CN"/>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46FBD896">
                          <w:pPr>
                            <w:pStyle w:val="4"/>
                          </w:pPr>
                          <w:r>
                            <w:fldChar w:fldCharType="begin"/>
                          </w:r>
                          <w:r>
                            <w:instrText xml:space="preserve"> PAGE  \* MERGEFORMAT </w:instrText>
                          </w:r>
                          <w:r>
                            <w:fldChar w:fldCharType="separate"/>
                          </w:r>
                          <w:r>
                            <w:t>40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48"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CTfe/+NAIAAGYEAAAOAAAAAAAAAAEAIAAAAB8BAABkcnMvZTJvRG9jLnhtbFBL&#10;BQYAAAAABgAGAFkBAADFBQAAAAA=&#10;">
              <v:fill on="f" focussize="0,0"/>
              <v:stroke on="f" weight="0.5pt"/>
              <v:imagedata o:title=""/>
              <o:lock v:ext="edit" aspectratio="f"/>
              <v:textbox inset="0mm,0mm,0mm,0mm" style="mso-fit-shape-to-text:t;">
                <w:txbxContent>
                  <w:p w14:paraId="46FBD896">
                    <w:pPr>
                      <w:pStyle w:val="4"/>
                    </w:pPr>
                    <w:r>
                      <w:fldChar w:fldCharType="begin"/>
                    </w:r>
                    <w:r>
                      <w:instrText xml:space="preserve"> PAGE  \* MERGEFORMAT </w:instrText>
                    </w:r>
                    <w:r>
                      <w:fldChar w:fldCharType="separate"/>
                    </w:r>
                    <w:r>
                      <w:t>40</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8"/>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ED46A6D"/>
    <w:rsid w:val="5ED46A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pPr>
    <w:rPr>
      <w:rFonts w:ascii="Arial" w:hAnsi="Arial" w:eastAsia="Arial" w:cs="Arial"/>
      <w:color w:val="000000"/>
      <w:sz w:val="21"/>
      <w:szCs w:val="21"/>
      <w:lang w:val="en-US" w:eastAsia="en-US"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3"/>
    <w:semiHidden/>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4">
    <w:name w:val="footer"/>
    <w:basedOn w:val="1"/>
    <w:qFormat/>
    <w:uiPriority w:val="0"/>
    <w:pPr>
      <w:tabs>
        <w:tab w:val="center" w:pos="4153"/>
        <w:tab w:val="right" w:pos="8306"/>
      </w:tabs>
    </w:pPr>
    <w:rPr>
      <w:sz w:val="18"/>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style>
  <w:style w:type="paragraph" w:customStyle="1" w:styleId="9">
    <w:name w:val="表格文字"/>
    <w:basedOn w:val="1"/>
    <w:qFormat/>
    <w:uiPriority w:val="0"/>
    <w:pPr>
      <w:widowControl w:val="0"/>
      <w:adjustRightInd w:val="0"/>
      <w:spacing w:line="420" w:lineRule="atLeast"/>
      <w:textAlignment w:val="baseline"/>
    </w:pPr>
    <w:rPr>
      <w:rFonts w:ascii="Times New Roman" w:hAnsi="Times New Roman"/>
      <w:sz w:val="21"/>
      <w:szCs w:val="2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2026-05-12T01:53:00Z</dcterms:created>
  <dc:creator>Lenovo</dc:creator>
  <cp:lastModifiedBy>Lenovo</cp:lastModifiedBy>
  <dcterms:modified xsi:type="dcterms:W3CDTF">2026-05-12T01:54:44Z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092045958A6C44FB8A369C114A4A0F0D_11</vt:lpwstr>
  </property>
  <property fmtid="{D5CDD505-2E9C-101B-9397-08002B2CF9AE}" pid="4" name="KSOTemplateDocerSaveRecord">
    <vt:lpwstr>eyJoZGlkIjoiZjNlODc3ZmIyZmIxOTMyYzAyZWZjOTU1YzRiNjNjZjAiLCJ1c2VySWQiOiIzOTI0NzI0NDAifQ==</vt:lpwstr>
  </property>
</Properties>
</file>