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hint="eastAsia" w:ascii="宋体" w:hAnsi="宋体" w:eastAsia="宋体" w:cs="宋体"/>
          <w:color w:val="auto"/>
          <w:sz w:val="28"/>
          <w:szCs w:val="28"/>
          <w:highlight w:val="none"/>
          <w:lang w:eastAsia="zh-CN"/>
        </w:rPr>
      </w:pPr>
      <w:r>
        <w:rPr>
          <w:rFonts w:hint="eastAsia"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9"/>
          <w:sz w:val="28"/>
          <w:szCs w:val="28"/>
          <w:highlight w:val="none"/>
          <w:lang w:eastAsia="zh-CN"/>
        </w:rPr>
        <w:t xml:space="preserve">  </w:t>
      </w:r>
      <w:r>
        <w:rPr>
          <w:rFonts w:hint="eastAsia" w:ascii="宋体" w:hAnsi="宋体" w:eastAsia="宋体" w:cs="宋体"/>
          <w:color w:val="auto"/>
          <w:spacing w:val="9"/>
          <w:sz w:val="28"/>
          <w:szCs w:val="28"/>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rFonts w:hint="eastAsia" w:ascii="宋体" w:hAnsi="宋体" w:eastAsia="宋体" w:cs="宋体"/>
          <w:color w:val="auto"/>
          <w:sz w:val="28"/>
          <w:szCs w:val="28"/>
          <w:highlight w:val="none"/>
          <w:lang w:eastAsia="zh-CN"/>
        </w:rPr>
      </w:pPr>
    </w:p>
    <w:p w14:paraId="0F2A714C">
      <w:pPr>
        <w:pageBreakBefore w:val="0"/>
        <w:widowControl w:val="0"/>
        <w:wordWrap/>
        <w:overflowPunct/>
        <w:topLinePunct w:val="0"/>
        <w:bidi w:val="0"/>
        <w:spacing w:before="78" w:line="220" w:lineRule="auto"/>
        <w:jc w:val="both"/>
        <w:outlineLvl w:val="1"/>
        <w:rPr>
          <w:rFonts w:hint="eastAsia" w:ascii="宋体" w:hAnsi="宋体" w:eastAsia="宋体" w:cs="宋体"/>
          <w:color w:val="auto"/>
          <w:sz w:val="28"/>
          <w:szCs w:val="28"/>
          <w:highlight w:val="none"/>
        </w:rPr>
      </w:pPr>
      <w:bookmarkStart w:id="0" w:name="_Toc13356"/>
      <w:bookmarkStart w:id="1" w:name="_Toc10264"/>
      <w:r>
        <w:rPr>
          <w:rFonts w:hint="eastAsia"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需求表</w:t>
      </w:r>
      <w:bookmarkEnd w:id="0"/>
      <w:bookmarkEnd w:id="1"/>
    </w:p>
    <w:p w14:paraId="00D6E72B">
      <w:pPr>
        <w:pageBreakBefore w:val="0"/>
        <w:widowControl w:val="0"/>
        <w:wordWrap/>
        <w:overflowPunct/>
        <w:topLinePunct w:val="0"/>
        <w:bidi w:val="0"/>
        <w:spacing w:before="64"/>
        <w:rPr>
          <w:rFonts w:hint="eastAsia" w:ascii="宋体" w:hAnsi="宋体" w:eastAsia="宋体" w:cs="宋体"/>
          <w:color w:val="auto"/>
          <w:sz w:val="28"/>
          <w:szCs w:val="28"/>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z w:val="28"/>
                <w:szCs w:val="28"/>
                <w:highlight w:val="none"/>
              </w:rPr>
              <w:t>名</w:t>
            </w:r>
          </w:p>
          <w:p w14:paraId="6C82F925">
            <w:pPr>
              <w:pStyle w:val="8"/>
              <w:pageBreakBefore w:val="0"/>
              <w:widowControl w:val="0"/>
              <w:wordWrap/>
              <w:overflowPunct/>
              <w:topLinePunct w:val="0"/>
              <w:bidi w:val="0"/>
              <w:spacing w:line="245" w:lineRule="auto"/>
              <w:rPr>
                <w:rFonts w:hint="eastAsia" w:ascii="宋体" w:hAnsi="宋体" w:eastAsia="宋体" w:cs="宋体"/>
                <w:color w:val="auto"/>
                <w:sz w:val="28"/>
                <w:szCs w:val="28"/>
                <w:highlight w:val="none"/>
              </w:rPr>
            </w:pPr>
          </w:p>
          <w:p w14:paraId="40F7ED8D">
            <w:pPr>
              <w:pStyle w:val="8"/>
              <w:pageBreakBefore w:val="0"/>
              <w:widowControl w:val="0"/>
              <w:wordWrap/>
              <w:overflowPunct/>
              <w:topLinePunct w:val="0"/>
              <w:bidi w:val="0"/>
              <w:spacing w:line="246" w:lineRule="auto"/>
              <w:rPr>
                <w:rFonts w:hint="eastAsia" w:ascii="宋体" w:hAnsi="宋体" w:eastAsia="宋体" w:cs="宋体"/>
                <w:color w:val="auto"/>
                <w:sz w:val="28"/>
                <w:szCs w:val="28"/>
                <w:highlight w:val="none"/>
              </w:rPr>
            </w:pPr>
          </w:p>
          <w:p w14:paraId="22D0E8F0">
            <w:pPr>
              <w:pageBreakBefore w:val="0"/>
              <w:widowControl w:val="0"/>
              <w:wordWrap/>
              <w:overflowPunct/>
              <w:topLinePunct w:val="0"/>
              <w:bidi w:val="0"/>
              <w:spacing w:before="78" w:line="219" w:lineRule="auto"/>
              <w:ind w:left="48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内</w:t>
            </w:r>
          </w:p>
          <w:p w14:paraId="2CCD6524">
            <w:pPr>
              <w:pStyle w:val="8"/>
              <w:pageBreakBefore w:val="0"/>
              <w:widowControl w:val="0"/>
              <w:wordWrap/>
              <w:overflowPunct/>
              <w:topLinePunct w:val="0"/>
              <w:bidi w:val="0"/>
              <w:spacing w:line="338" w:lineRule="auto"/>
              <w:rPr>
                <w:rFonts w:hint="eastAsia" w:ascii="宋体" w:hAnsi="宋体" w:eastAsia="宋体" w:cs="宋体"/>
                <w:color w:val="auto"/>
                <w:sz w:val="28"/>
                <w:szCs w:val="28"/>
                <w:highlight w:val="none"/>
              </w:rPr>
            </w:pPr>
          </w:p>
          <w:p w14:paraId="56739E74">
            <w:pPr>
              <w:pageBreakBefore w:val="0"/>
              <w:widowControl w:val="0"/>
              <w:wordWrap/>
              <w:overflowPunct/>
              <w:topLinePunct w:val="0"/>
              <w:bidi w:val="0"/>
              <w:spacing w:before="78" w:line="220" w:lineRule="auto"/>
              <w:ind w:left="1311"/>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容</w:t>
            </w:r>
          </w:p>
        </w:tc>
        <w:tc>
          <w:tcPr>
            <w:tcW w:w="817" w:type="dxa"/>
            <w:tcBorders>
              <w:left w:val="nil"/>
            </w:tcBorders>
          </w:tcPr>
          <w:p w14:paraId="12B26195">
            <w:pPr>
              <w:pStyle w:val="8"/>
              <w:pageBreakBefore w:val="0"/>
              <w:widowControl w:val="0"/>
              <w:wordWrap/>
              <w:overflowPunct/>
              <w:topLinePunct w:val="0"/>
              <w:bidi w:val="0"/>
              <w:spacing w:line="263" w:lineRule="auto"/>
              <w:rPr>
                <w:rFonts w:hint="eastAsia" w:ascii="宋体" w:hAnsi="宋体" w:eastAsia="宋体" w:cs="宋体"/>
                <w:color w:val="auto"/>
                <w:sz w:val="28"/>
                <w:szCs w:val="28"/>
                <w:highlight w:val="none"/>
              </w:rPr>
            </w:pPr>
          </w:p>
          <w:p w14:paraId="0743B18A">
            <w:pPr>
              <w:pStyle w:val="8"/>
              <w:pageBreakBefore w:val="0"/>
              <w:widowControl w:val="0"/>
              <w:wordWrap/>
              <w:overflowPunct/>
              <w:topLinePunct w:val="0"/>
              <w:bidi w:val="0"/>
              <w:spacing w:line="263" w:lineRule="auto"/>
              <w:rPr>
                <w:rFonts w:hint="eastAsia" w:ascii="宋体" w:hAnsi="宋体" w:eastAsia="宋体" w:cs="宋体"/>
                <w:color w:val="auto"/>
                <w:sz w:val="28"/>
                <w:szCs w:val="28"/>
                <w:highlight w:val="none"/>
              </w:rPr>
            </w:pPr>
          </w:p>
          <w:p w14:paraId="144BF3D0">
            <w:pPr>
              <w:pStyle w:val="8"/>
              <w:pageBreakBefore w:val="0"/>
              <w:widowControl w:val="0"/>
              <w:wordWrap/>
              <w:overflowPunct/>
              <w:topLinePunct w:val="0"/>
              <w:bidi w:val="0"/>
              <w:spacing w:line="264" w:lineRule="auto"/>
              <w:rPr>
                <w:rFonts w:hint="eastAsia" w:ascii="宋体" w:hAnsi="宋体" w:eastAsia="宋体" w:cs="宋体"/>
                <w:color w:val="auto"/>
                <w:sz w:val="28"/>
                <w:szCs w:val="28"/>
                <w:highlight w:val="none"/>
              </w:rPr>
            </w:pPr>
          </w:p>
          <w:p w14:paraId="537402C6">
            <w:pPr>
              <w:pageBreakBefore w:val="0"/>
              <w:widowControl w:val="0"/>
              <w:wordWrap/>
              <w:overflowPunct/>
              <w:topLinePunct w:val="0"/>
              <w:bidi w:val="0"/>
              <w:spacing w:before="78" w:line="221" w:lineRule="auto"/>
              <w:ind w:left="192"/>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称</w:t>
            </w:r>
          </w:p>
        </w:tc>
        <w:tc>
          <w:tcPr>
            <w:tcW w:w="6150" w:type="dxa"/>
          </w:tcPr>
          <w:p w14:paraId="7EA407FE">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44922152">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2A388429">
            <w:pPr>
              <w:pStyle w:val="8"/>
              <w:pageBreakBefore w:val="0"/>
              <w:widowControl w:val="0"/>
              <w:wordWrap/>
              <w:overflowPunct/>
              <w:topLinePunct w:val="0"/>
              <w:bidi w:val="0"/>
              <w:jc w:val="center"/>
              <w:rPr>
                <w:rFonts w:hint="eastAsia" w:ascii="宋体" w:hAnsi="宋体" w:eastAsia="宋体" w:cs="宋体"/>
                <w:color w:val="auto"/>
                <w:sz w:val="28"/>
                <w:szCs w:val="28"/>
                <w:highlight w:val="none"/>
              </w:rPr>
            </w:pPr>
          </w:p>
          <w:p w14:paraId="08CE9823">
            <w:pPr>
              <w:pStyle w:val="8"/>
              <w:pageBreakBefore w:val="0"/>
              <w:widowControl w:val="0"/>
              <w:wordWrap/>
              <w:overflowPunct/>
              <w:topLinePunct w:val="0"/>
              <w:bidi w:val="0"/>
              <w:ind w:firstLine="280" w:firstLineChars="100"/>
              <w:jc w:val="both"/>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rPr>
              <w:t>吉州区特殊教育学校建设项目过程咨询和检测服务事项</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lang w:val="en-US" w:eastAsia="zh-CN"/>
              </w:rPr>
              <w:t>第二次）</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hint="eastAsia" w:ascii="宋体" w:hAnsi="宋体" w:eastAsia="宋体" w:cs="宋体"/>
                <w:color w:val="auto"/>
                <w:sz w:val="28"/>
                <w:szCs w:val="28"/>
                <w:highlight w:val="none"/>
              </w:rPr>
            </w:pPr>
            <w:r>
              <w:rPr>
                <w:rFonts w:hint="eastAsia" w:ascii="宋体" w:hAnsi="宋体" w:eastAsia="宋体" w:cs="宋体"/>
                <w:color w:val="auto"/>
                <w:spacing w:val="-6"/>
                <w:sz w:val="28"/>
                <w:szCs w:val="28"/>
                <w:highlight w:val="none"/>
              </w:rPr>
              <w:t>数量</w:t>
            </w:r>
          </w:p>
        </w:tc>
        <w:tc>
          <w:tcPr>
            <w:tcW w:w="6150" w:type="dxa"/>
          </w:tcPr>
          <w:p w14:paraId="42DE640C">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p>
          <w:p w14:paraId="0E4CD573">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hint="eastAsia" w:ascii="宋体" w:hAnsi="宋体" w:eastAsia="宋体" w:cs="宋体"/>
                <w:color w:val="auto"/>
                <w:sz w:val="28"/>
                <w:szCs w:val="28"/>
                <w:highlight w:val="none"/>
              </w:rPr>
            </w:pPr>
            <w:r>
              <w:rPr>
                <w:rFonts w:hint="eastAsia" w:ascii="宋体" w:hAnsi="宋体" w:eastAsia="宋体" w:cs="宋体"/>
                <w:color w:val="auto"/>
                <w:spacing w:val="-5"/>
                <w:sz w:val="28"/>
                <w:szCs w:val="28"/>
                <w:highlight w:val="none"/>
                <w:lang w:val="en-US" w:eastAsia="zh-CN"/>
              </w:rPr>
              <w:t>服务</w:t>
            </w:r>
            <w:r>
              <w:rPr>
                <w:rFonts w:hint="eastAsia" w:ascii="宋体" w:hAnsi="宋体" w:eastAsia="宋体" w:cs="宋体"/>
                <w:color w:val="auto"/>
                <w:spacing w:val="-5"/>
                <w:sz w:val="28"/>
                <w:szCs w:val="28"/>
                <w:highlight w:val="none"/>
              </w:rPr>
              <w:t>期</w:t>
            </w:r>
          </w:p>
        </w:tc>
        <w:tc>
          <w:tcPr>
            <w:tcW w:w="6150" w:type="dxa"/>
          </w:tcPr>
          <w:p w14:paraId="2B56E655">
            <w:pPr>
              <w:pStyle w:val="8"/>
              <w:pageBreakBefore w:val="0"/>
              <w:widowControl w:val="0"/>
              <w:wordWrap/>
              <w:overflowPunct/>
              <w:topLinePunct w:val="0"/>
              <w:bidi w:val="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从检测单位进场至所有服务项目完成，服务周期必须满足实际施工要求和验收要求，具体开工时间以采购人书面通知或合同约定为准。因采购人原因或现场不具备作业条件</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rPr>
              <w:t>检测时间顺延。</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hint="eastAsia" w:ascii="宋体" w:hAnsi="宋体" w:eastAsia="宋体" w:cs="宋体"/>
                <w:color w:val="auto"/>
                <w:sz w:val="28"/>
                <w:szCs w:val="28"/>
                <w:highlight w:val="none"/>
              </w:rPr>
            </w:pPr>
            <w:r>
              <w:rPr>
                <w:rFonts w:hint="eastAsia" w:ascii="宋体" w:hAnsi="宋体" w:eastAsia="宋体" w:cs="宋体"/>
                <w:color w:val="auto"/>
                <w:spacing w:val="-4"/>
                <w:sz w:val="28"/>
                <w:szCs w:val="28"/>
                <w:highlight w:val="none"/>
                <w:lang w:val="en-US" w:eastAsia="zh-CN"/>
              </w:rPr>
              <w:t>服务</w:t>
            </w:r>
            <w:r>
              <w:rPr>
                <w:rFonts w:hint="eastAsia" w:ascii="宋体" w:hAnsi="宋体" w:eastAsia="宋体" w:cs="宋体"/>
                <w:color w:val="auto"/>
                <w:spacing w:val="-4"/>
                <w:sz w:val="28"/>
                <w:szCs w:val="28"/>
                <w:highlight w:val="none"/>
              </w:rPr>
              <w:t>地点</w:t>
            </w:r>
          </w:p>
        </w:tc>
        <w:tc>
          <w:tcPr>
            <w:tcW w:w="6150" w:type="dxa"/>
          </w:tcPr>
          <w:p w14:paraId="3B95D704">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p>
          <w:p w14:paraId="4BB6DCE7">
            <w:pPr>
              <w:pStyle w:val="8"/>
              <w:pageBreakBefore w:val="0"/>
              <w:widowControl w:val="0"/>
              <w:wordWrap/>
              <w:overflowPunct/>
              <w:topLinePunct w:val="0"/>
              <w:bidi w:val="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采购人指定地点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hint="eastAsia" w:ascii="宋体" w:hAnsi="宋体" w:eastAsia="宋体" w:cs="宋体"/>
                <w:color w:val="auto"/>
                <w:sz w:val="28"/>
                <w:szCs w:val="28"/>
                <w:highlight w:val="none"/>
              </w:rPr>
            </w:pPr>
            <w:r>
              <w:rPr>
                <w:rFonts w:hint="eastAsia" w:ascii="宋体" w:hAnsi="宋体" w:eastAsia="宋体" w:cs="宋体"/>
                <w:color w:val="auto"/>
                <w:spacing w:val="-7"/>
                <w:sz w:val="28"/>
                <w:szCs w:val="28"/>
                <w:highlight w:val="none"/>
              </w:rPr>
              <w:t>备注</w:t>
            </w:r>
          </w:p>
        </w:tc>
        <w:tc>
          <w:tcPr>
            <w:tcW w:w="6150" w:type="dxa"/>
          </w:tcPr>
          <w:p w14:paraId="350793D5">
            <w:pPr>
              <w:pStyle w:val="8"/>
              <w:pageBreakBefore w:val="0"/>
              <w:widowControl w:val="0"/>
              <w:wordWrap/>
              <w:overflowPunct/>
              <w:topLinePunct w:val="0"/>
              <w:bidi w:val="0"/>
              <w:rPr>
                <w:rFonts w:hint="eastAsia" w:ascii="宋体" w:hAnsi="宋体" w:eastAsia="宋体" w:cs="宋体"/>
                <w:color w:val="auto"/>
                <w:sz w:val="28"/>
                <w:szCs w:val="28"/>
                <w:highlight w:val="none"/>
              </w:rPr>
            </w:pPr>
          </w:p>
        </w:tc>
      </w:tr>
    </w:tbl>
    <w:p w14:paraId="4F86D054">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30"/>
          <w:szCs w:val="30"/>
          <w:highlight w:val="none"/>
        </w:rPr>
      </w:pPr>
      <w:bookmarkStart w:id="2" w:name="bookmark81"/>
      <w:bookmarkEnd w:id="2"/>
      <w:bookmarkStart w:id="3" w:name="_Toc1106"/>
      <w:bookmarkStart w:id="4" w:name="_Toc10168"/>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30"/>
          <w:szCs w:val="30"/>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求</w:t>
      </w:r>
      <w:bookmarkEnd w:id="3"/>
      <w:bookmarkEnd w:id="4"/>
    </w:p>
    <w:p w14:paraId="6EF4E5D2">
      <w:pPr>
        <w:pageBreakBefore w:val="0"/>
        <w:widowControl w:val="0"/>
        <w:wordWrap/>
        <w:overflowPunct/>
        <w:topLinePunct w:val="0"/>
        <w:bidi w:val="0"/>
        <w:spacing w:line="258" w:lineRule="auto"/>
        <w:rPr>
          <w:rFonts w:hint="eastAsia" w:ascii="宋体" w:hAnsi="宋体" w:eastAsia="宋体" w:cs="宋体"/>
          <w:color w:val="auto"/>
          <w:sz w:val="30"/>
          <w:szCs w:val="30"/>
          <w:highlight w:val="none"/>
        </w:rPr>
      </w:pPr>
    </w:p>
    <w:p w14:paraId="0D9C0787">
      <w:pPr>
        <w:pageBreakBefore w:val="0"/>
        <w:widowControl w:val="0"/>
        <w:numPr>
          <w:ilvl w:val="0"/>
          <w:numId w:val="0"/>
        </w:numPr>
        <w:wordWrap/>
        <w:overflowPunct/>
        <w:topLinePunct w:val="0"/>
        <w:bidi w:val="0"/>
        <w:spacing w:line="258" w:lineRule="auto"/>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auto"/>
          <w:sz w:val="24"/>
          <w:szCs w:val="24"/>
          <w:highlight w:val="none"/>
          <w:lang w:val="en-US" w:eastAsia="zh-CN" w:bidi="ar-SA"/>
        </w:rPr>
        <w:t>（一)</w:t>
      </w:r>
      <w:r>
        <w:rPr>
          <w:rFonts w:hint="eastAsia" w:ascii="宋体" w:hAnsi="宋体" w:eastAsia="宋体" w:cs="宋体"/>
          <w:color w:val="auto"/>
          <w:sz w:val="24"/>
          <w:szCs w:val="24"/>
          <w:highlight w:val="none"/>
          <w:lang w:val="en-US" w:eastAsia="zh-CN"/>
        </w:rPr>
        <w:t>清单</w:t>
      </w:r>
    </w:p>
    <w:tbl>
      <w:tblPr>
        <w:tblStyle w:val="5"/>
        <w:tblW w:w="89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770"/>
        <w:gridCol w:w="705"/>
        <w:gridCol w:w="2160"/>
        <w:gridCol w:w="1080"/>
        <w:gridCol w:w="1080"/>
        <w:gridCol w:w="1080"/>
      </w:tblGrid>
      <w:tr w14:paraId="271C7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08F3">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序号</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5F175">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Style w:val="9"/>
                <w:rFonts w:hint="eastAsia" w:ascii="宋体" w:hAnsi="宋体" w:eastAsia="宋体" w:cs="宋体"/>
                <w:snapToGrid w:val="0"/>
                <w:color w:val="000000"/>
                <w:sz w:val="24"/>
                <w:szCs w:val="24"/>
                <w:highlight w:val="none"/>
                <w:lang w:val="en-US" w:eastAsia="zh-CN" w:bidi="ar"/>
              </w:rPr>
              <w:t>检测类别</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ABEDA">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Style w:val="9"/>
                <w:rFonts w:hint="eastAsia" w:ascii="宋体" w:hAnsi="宋体" w:eastAsia="宋体" w:cs="宋体"/>
                <w:snapToGrid w:val="0"/>
                <w:color w:val="000000"/>
                <w:sz w:val="24"/>
                <w:szCs w:val="24"/>
                <w:highlight w:val="none"/>
                <w:lang w:val="en-US" w:eastAsia="zh-CN" w:bidi="ar"/>
              </w:rPr>
              <w:t>检测项目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372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12323">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Style w:val="9"/>
                <w:rFonts w:hint="eastAsia" w:ascii="宋体" w:hAnsi="宋体" w:eastAsia="宋体" w:cs="宋体"/>
                <w:snapToGrid w:val="0"/>
                <w:color w:val="000000"/>
                <w:sz w:val="24"/>
                <w:szCs w:val="24"/>
                <w:highlight w:val="none"/>
                <w:lang w:val="en-US" w:eastAsia="zh-CN" w:bidi="ar"/>
              </w:rPr>
              <w:t>工作量</w:t>
            </w:r>
          </w:p>
        </w:tc>
      </w:tr>
      <w:tr w14:paraId="060B9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D70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22A7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节能检测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F6FD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石墨复合保温板</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66DB366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533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786B9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04F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0B364">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FA0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石墨复合板燃烧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396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F2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54FE7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87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F7013">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C4D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板材与基层粘接强度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8C3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3DB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110C1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2E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6CD44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F41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保温锚栓拉拔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B5D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6C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08256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7AC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9E7E3">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9C0E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门窗三性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092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61F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11B8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CF8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BC0AF">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852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门窗节能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541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B44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08A7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B5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6A760">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282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门窗太阳得热系数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1E4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FCD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3EBFB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182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07471">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D10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外墙保温取芯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EDA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F6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1A4B3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BE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6E6B8">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757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挤塑聚苯板二检（屋面）</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29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140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597CF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0E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26FB1">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1D39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挤塑聚苯板燃烧性</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能（屋面）</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5CF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AC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6BA45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78B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CD416">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69B5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挤塑聚苯板二检（架</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空或外挑楼板）</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53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D2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4CE25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2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00D3C">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B9F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隔热型材抗拉和抗</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剪强度实验报告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C7E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716C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3076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3A5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w:t>
            </w: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244AC">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0EB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抗裂砂浆、界面砂</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浆、网格布</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285D87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5B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65AD8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CCF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w:t>
            </w:r>
          </w:p>
        </w:tc>
        <w:tc>
          <w:tcPr>
            <w:tcW w:w="2475"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59DBBE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绿建检测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52F13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围护结构传热系数</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00DB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620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 </w:t>
            </w:r>
          </w:p>
        </w:tc>
      </w:tr>
      <w:tr w14:paraId="2B8A1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0AC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5C2D23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7E3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现场气密性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BF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98A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76205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7FD6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CDE1D77">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69A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室内环境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E4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F90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74BB7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F99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4BAEB00">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6972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可再生能源形式检查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1F2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EA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0246B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800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8E0655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B0DD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场地噪声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163C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E6FC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4 </w:t>
            </w:r>
          </w:p>
        </w:tc>
      </w:tr>
      <w:tr w14:paraId="0A730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D3D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F937A4A">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682B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外墙隔声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767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5E4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66DED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F3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D8408BB">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3C6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楼板隔声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39EC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DC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43DFE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79B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A02832E">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737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门窗隔声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47D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9A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6A626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99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E11631B">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00D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空气隔声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C9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86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2E02F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C7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82A969C">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FFA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楼板撞击声隔声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9AE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B34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7D634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F17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24</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78E954">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EF2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室内背景噪声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6B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4E3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2413E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60D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77130E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412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照明及功率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A9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76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18 </w:t>
            </w:r>
          </w:p>
        </w:tc>
      </w:tr>
      <w:tr w14:paraId="07262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67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134C733">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77C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管网末梢水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56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9E4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 </w:t>
            </w:r>
          </w:p>
        </w:tc>
      </w:tr>
      <w:tr w14:paraId="71EBD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0D4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BF45352">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730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安全玻璃检测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41A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47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1D82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E2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DE18C9">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138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防护栏杆水平推力</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1BE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5E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 </w:t>
            </w:r>
          </w:p>
        </w:tc>
      </w:tr>
      <w:tr w14:paraId="773CB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E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E515D69">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9DAA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防滑性能检测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1F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F0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8 </w:t>
            </w:r>
          </w:p>
        </w:tc>
      </w:tr>
      <w:tr w14:paraId="7DFBF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B3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4937AB9">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84F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管材、管线、管件耐</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腐蚀、抗老化、耐久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性检测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4B6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913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 </w:t>
            </w:r>
          </w:p>
        </w:tc>
      </w:tr>
      <w:tr w14:paraId="076C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0CC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632DD14">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4CC7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轻钢雨棚结构拉拔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7EB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B3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 </w:t>
            </w:r>
          </w:p>
        </w:tc>
      </w:tr>
      <w:tr w14:paraId="69824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9B8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DA2AB2">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0E1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光反射比检测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FE6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AB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733C0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8D9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33</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2D0931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45C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地下室尾气检测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3C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86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4DE3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33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34</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73D2EEC">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5A8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厨房尾气检测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59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352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7FB0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EA5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35</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D0B5CD0">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729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灯具检测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DD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8E5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 </w:t>
            </w:r>
          </w:p>
        </w:tc>
      </w:tr>
      <w:tr w14:paraId="600CE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C5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36</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3D54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常规检测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5DA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钢筋原材、钢筋焊</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接、水泥、砂、石、</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防水卷材、砼及砂浆</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配合比、砖、砌块、</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试块抗压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14:paraId="62C04D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6762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19392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75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37</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B420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主体结构检测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B22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混凝土回弹检测、钢</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筋保护层厚度检测、</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楼板厚度检测、植筋</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拉拔检测</w:t>
            </w:r>
          </w:p>
        </w:tc>
        <w:tc>
          <w:tcPr>
            <w:tcW w:w="1080" w:type="dxa"/>
            <w:vMerge w:val="continue"/>
            <w:tcBorders>
              <w:top w:val="nil"/>
              <w:left w:val="single" w:color="000000" w:sz="4" w:space="0"/>
              <w:bottom w:val="single" w:color="000000" w:sz="4" w:space="0"/>
              <w:right w:val="single" w:color="000000" w:sz="4" w:space="0"/>
            </w:tcBorders>
            <w:shd w:val="clear" w:color="auto" w:fill="auto"/>
            <w:vAlign w:val="center"/>
          </w:tcPr>
          <w:p w14:paraId="746DD3EB">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9F5EC2">
            <w:pPr>
              <w:jc w:val="center"/>
              <w:rPr>
                <w:rFonts w:hint="eastAsia" w:ascii="宋体" w:hAnsi="宋体" w:eastAsia="宋体" w:cs="宋体"/>
                <w:i w:val="0"/>
                <w:iCs w:val="0"/>
                <w:color w:val="000000"/>
                <w:sz w:val="24"/>
                <w:szCs w:val="24"/>
                <w:highlight w:val="none"/>
                <w:u w:val="none"/>
              </w:rPr>
            </w:pPr>
          </w:p>
        </w:tc>
      </w:tr>
      <w:tr w14:paraId="0BB63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D85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38</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1144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安全一套</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B1B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安全帽、安全网、钢管、扣件</w:t>
            </w:r>
          </w:p>
        </w:tc>
        <w:tc>
          <w:tcPr>
            <w:tcW w:w="1080" w:type="dxa"/>
            <w:vMerge w:val="continue"/>
            <w:tcBorders>
              <w:top w:val="nil"/>
              <w:left w:val="single" w:color="000000" w:sz="4" w:space="0"/>
              <w:bottom w:val="single" w:color="000000" w:sz="4" w:space="0"/>
              <w:right w:val="single" w:color="000000" w:sz="4" w:space="0"/>
            </w:tcBorders>
            <w:shd w:val="clear" w:color="auto" w:fill="auto"/>
            <w:vAlign w:val="center"/>
          </w:tcPr>
          <w:p w14:paraId="5051EDD9">
            <w:pPr>
              <w:jc w:val="center"/>
              <w:rPr>
                <w:rFonts w:hint="eastAsia" w:ascii="宋体" w:hAnsi="宋体" w:eastAsia="宋体" w:cs="宋体"/>
                <w:i w:val="0"/>
                <w:iCs w:val="0"/>
                <w:color w:val="000000"/>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5B8ED">
            <w:pPr>
              <w:jc w:val="center"/>
              <w:rPr>
                <w:rFonts w:hint="eastAsia" w:ascii="宋体" w:hAnsi="宋体" w:eastAsia="宋体" w:cs="宋体"/>
                <w:i w:val="0"/>
                <w:iCs w:val="0"/>
                <w:color w:val="000000"/>
                <w:sz w:val="24"/>
                <w:szCs w:val="24"/>
                <w:highlight w:val="none"/>
                <w:u w:val="none"/>
              </w:rPr>
            </w:pPr>
          </w:p>
        </w:tc>
      </w:tr>
      <w:tr w14:paraId="1F60D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E3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39</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7F9BA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建筑物变形</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4C44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沉降观测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AE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F096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41BB7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37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40</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1E4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市政道路</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041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道路工程（路基路面</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原材料及配合比试</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验）、路基路面现场</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检测；排水工程（管</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材、井盖、雨污管道</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闭水检测）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3A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3EA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2000 </w:t>
            </w:r>
          </w:p>
        </w:tc>
      </w:tr>
      <w:tr w14:paraId="566A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6EC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41</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605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管道检测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F3F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管道内窥检测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597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12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1000 </w:t>
            </w:r>
          </w:p>
        </w:tc>
      </w:tr>
      <w:tr w14:paraId="58E67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80F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42</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9F09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装饰装修</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167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乳胶漆、地砖、腻</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子粉、石膏板、电</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线电缆、防水涂料、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吊顶龙骨、水电管</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材、复合地板等</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933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239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720F8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2BB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43</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A598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消防检测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703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火灾自动报警系统、</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消防给水系统、消防</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火栓、消防炮系统、</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自动喷水灭火系统、</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大空间智能型主动</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喷水灭火系统、泡沫</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灭火系统、机械加压</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 xml:space="preserve">    送风系统</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D5A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42E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7DB60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D73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44</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507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防雷检测</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E27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接闪带、引下线、接</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地装置等电位、电涌</w:t>
            </w:r>
            <w:r>
              <w:rPr>
                <w:rStyle w:val="11"/>
                <w:rFonts w:hint="eastAsia" w:ascii="宋体" w:hAnsi="宋体" w:eastAsia="宋体" w:cs="宋体"/>
                <w:snapToGrid w:val="0"/>
                <w:color w:val="000000"/>
                <w:sz w:val="24"/>
                <w:szCs w:val="24"/>
                <w:highlight w:val="none"/>
                <w:lang w:val="en-US" w:eastAsia="zh-CN" w:bidi="ar"/>
              </w:rPr>
              <w:br w:type="textWrapping"/>
            </w:r>
            <w:r>
              <w:rPr>
                <w:rStyle w:val="11"/>
                <w:rFonts w:hint="eastAsia" w:ascii="宋体" w:hAnsi="宋体" w:eastAsia="宋体" w:cs="宋体"/>
                <w:snapToGrid w:val="0"/>
                <w:color w:val="000000"/>
                <w:sz w:val="24"/>
                <w:szCs w:val="24"/>
                <w:highlight w:val="none"/>
                <w:lang w:val="en-US" w:eastAsia="zh-CN" w:bidi="ar"/>
              </w:rPr>
              <w:t xml:space="preserve">     保护器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9F3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01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6335.15 </w:t>
            </w:r>
          </w:p>
        </w:tc>
      </w:tr>
      <w:tr w14:paraId="768D0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8A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45</w:t>
            </w:r>
          </w:p>
        </w:tc>
        <w:tc>
          <w:tcPr>
            <w:tcW w:w="2475"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70C0EA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防火材料</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044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甲级防火门（2.5h）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BEC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7EA4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7CD7F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E9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46</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5C124A5">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D8E5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乙级防火门（2.5h）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0F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3B2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0C9A9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863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47</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2B55FC8">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A5F0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丙级防火门（2.5h）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C4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EC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494F5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43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48</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EF682B6">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068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防火窗（2.5h）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58D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6E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38D54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47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49</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80A0DA3">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055E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防火卷帘（2.5h）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67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BBCE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4C262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FA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B2AB8C0">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FBA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烟道（2.5h）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3F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FD5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6ED24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02E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51</w:t>
            </w:r>
          </w:p>
        </w:tc>
        <w:tc>
          <w:tcPr>
            <w:tcW w:w="2475"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B98072A">
            <w:pPr>
              <w:jc w:val="center"/>
              <w:rPr>
                <w:rFonts w:hint="eastAsia" w:ascii="宋体" w:hAnsi="宋体" w:eastAsia="宋体" w:cs="宋体"/>
                <w:i w:val="0"/>
                <w:iCs w:val="0"/>
                <w:color w:val="000000"/>
                <w:sz w:val="24"/>
                <w:szCs w:val="24"/>
                <w:highlight w:val="none"/>
                <w:u w:val="none"/>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5097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1"/>
                <w:rFonts w:hint="eastAsia" w:ascii="宋体" w:hAnsi="宋体" w:eastAsia="宋体" w:cs="宋体"/>
                <w:snapToGrid w:val="0"/>
                <w:color w:val="000000"/>
                <w:sz w:val="24"/>
                <w:szCs w:val="24"/>
                <w:highlight w:val="none"/>
                <w:lang w:val="en-US" w:eastAsia="zh-CN" w:bidi="ar"/>
              </w:rPr>
              <w:t>封堵材料（2.5h）</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344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D7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 </w:t>
            </w:r>
          </w:p>
        </w:tc>
      </w:tr>
      <w:tr w14:paraId="0DF67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7B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52</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3FDF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桩基检测</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C7A9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试桩</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F7D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8D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6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49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941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 </w:t>
            </w:r>
          </w:p>
        </w:tc>
      </w:tr>
      <w:tr w14:paraId="4752A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B3B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53</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C5F0E">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2E2A2">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523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抗压静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338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3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1500KN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D1A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77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1836.7 </w:t>
            </w:r>
          </w:p>
        </w:tc>
      </w:tr>
      <w:tr w14:paraId="1F5AF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37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54</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55E79">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5003C">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E1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抗拔静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7AB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3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2DD2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49AA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293.9 </w:t>
            </w:r>
          </w:p>
        </w:tc>
      </w:tr>
      <w:tr w14:paraId="7802C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41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55</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0B6FE">
            <w:pPr>
              <w:jc w:val="center"/>
              <w:rPr>
                <w:rFonts w:hint="eastAsia" w:ascii="宋体" w:hAnsi="宋体" w:eastAsia="宋体" w:cs="宋体"/>
                <w:i w:val="0"/>
                <w:iCs w:val="0"/>
                <w:color w:val="000000"/>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6E03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学生食堂</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0EA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D103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24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DDE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62C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24 </w:t>
            </w:r>
          </w:p>
        </w:tc>
      </w:tr>
      <w:tr w14:paraId="46483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62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56</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9D3820">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CF8C5">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E4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抗压静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66F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2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6AB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5F8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1224.5 </w:t>
            </w:r>
          </w:p>
        </w:tc>
      </w:tr>
      <w:tr w14:paraId="4774E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E042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57</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5175F">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B2104">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BE7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抗拔静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CEA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2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52B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6B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195.9 </w:t>
            </w:r>
          </w:p>
        </w:tc>
      </w:tr>
      <w:tr w14:paraId="4F0B9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A6C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58</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A62BA">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CE9D6">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21D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1F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5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D072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1FB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71 </w:t>
            </w:r>
          </w:p>
        </w:tc>
      </w:tr>
      <w:tr w14:paraId="6B201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22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59</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8949D">
            <w:pPr>
              <w:jc w:val="center"/>
              <w:rPr>
                <w:rFonts w:hint="eastAsia" w:ascii="宋体" w:hAnsi="宋体" w:eastAsia="宋体" w:cs="宋体"/>
                <w:i w:val="0"/>
                <w:iCs w:val="0"/>
                <w:color w:val="000000"/>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3F189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教学综</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合楼</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50D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8C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66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133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985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66 </w:t>
            </w:r>
          </w:p>
        </w:tc>
      </w:tr>
      <w:tr w14:paraId="01308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617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60</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ACBC0">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66FEE">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42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抗压静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87F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3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008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CB8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1836.7 </w:t>
            </w:r>
          </w:p>
        </w:tc>
      </w:tr>
      <w:tr w14:paraId="3DA11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41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61</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E8EBD">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422EA0">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96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抗拔静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FF9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3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0B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4A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293.9 </w:t>
            </w:r>
          </w:p>
        </w:tc>
      </w:tr>
      <w:tr w14:paraId="3FABA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7B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62</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E04F0">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10749">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91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BF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10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65D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BC1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141 </w:t>
            </w:r>
          </w:p>
        </w:tc>
      </w:tr>
      <w:tr w14:paraId="3F84D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462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63</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3CBAD">
            <w:pPr>
              <w:jc w:val="center"/>
              <w:rPr>
                <w:rFonts w:hint="eastAsia" w:ascii="宋体" w:hAnsi="宋体" w:eastAsia="宋体" w:cs="宋体"/>
                <w:i w:val="0"/>
                <w:iCs w:val="0"/>
                <w:color w:val="000000"/>
                <w:sz w:val="24"/>
                <w:szCs w:val="24"/>
                <w:highlight w:val="none"/>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730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生活楼</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E063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低应变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BA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31 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2A6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8A0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31 </w:t>
            </w:r>
          </w:p>
        </w:tc>
      </w:tr>
      <w:tr w14:paraId="2A52A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C8E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64</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D0418">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A4E44">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CD3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抗压静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1B6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2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2500KN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EE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509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1224.5 </w:t>
            </w:r>
          </w:p>
        </w:tc>
      </w:tr>
      <w:tr w14:paraId="77AE1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2282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65</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5A6C9">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3B911">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A3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抗拔静</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70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2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400KN</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A70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D6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195.9 </w:t>
            </w:r>
          </w:p>
        </w:tc>
      </w:tr>
      <w:tr w14:paraId="38661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235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66</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9D0B9">
            <w:pPr>
              <w:jc w:val="center"/>
              <w:rPr>
                <w:rFonts w:hint="eastAsia" w:ascii="宋体" w:hAnsi="宋体" w:eastAsia="宋体" w:cs="宋体"/>
                <w:i w:val="0"/>
                <w:iCs w:val="0"/>
                <w:color w:val="000000"/>
                <w:sz w:val="24"/>
                <w:szCs w:val="24"/>
                <w:highlight w:val="none"/>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B4A88A">
            <w:pPr>
              <w:jc w:val="center"/>
              <w:rPr>
                <w:rFonts w:hint="eastAsia" w:ascii="宋体" w:hAnsi="宋体" w:eastAsia="宋体" w:cs="宋体"/>
                <w:i w:val="0"/>
                <w:iCs w:val="0"/>
                <w:color w:val="000000"/>
                <w:sz w:val="24"/>
                <w:szCs w:val="24"/>
                <w:highlight w:val="none"/>
                <w:u w:val="none"/>
              </w:rPr>
            </w:pP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1D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钻芯检测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230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Style w:val="10"/>
                <w:rFonts w:hint="eastAsia" w:ascii="宋体" w:hAnsi="宋体" w:eastAsia="宋体" w:cs="宋体"/>
                <w:snapToGrid w:val="0"/>
                <w:color w:val="000000"/>
                <w:sz w:val="24"/>
                <w:szCs w:val="24"/>
                <w:highlight w:val="none"/>
                <w:lang w:val="en-US" w:eastAsia="zh-CN" w:bidi="ar"/>
              </w:rPr>
              <w:t>5 根</w:t>
            </w:r>
            <w:r>
              <w:rPr>
                <w:rStyle w:val="10"/>
                <w:rFonts w:hint="eastAsia" w:ascii="宋体" w:hAnsi="宋体" w:eastAsia="宋体" w:cs="宋体"/>
                <w:snapToGrid w:val="0"/>
                <w:color w:val="000000"/>
                <w:sz w:val="24"/>
                <w:szCs w:val="24"/>
                <w:highlight w:val="none"/>
                <w:lang w:val="en-US" w:eastAsia="zh-CN" w:bidi="ar"/>
              </w:rPr>
              <w:br w:type="textWrapping"/>
            </w:r>
            <w:r>
              <w:rPr>
                <w:rStyle w:val="10"/>
                <w:rFonts w:hint="eastAsia" w:ascii="宋体" w:hAnsi="宋体" w:eastAsia="宋体" w:cs="宋体"/>
                <w:snapToGrid w:val="0"/>
                <w:color w:val="000000"/>
                <w:sz w:val="24"/>
                <w:szCs w:val="24"/>
                <w:highlight w:val="none"/>
                <w:lang w:val="en-US" w:eastAsia="zh-CN" w:bidi="ar"/>
              </w:rPr>
              <w:t>700mm</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E5F6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A1C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71 </w:t>
            </w:r>
          </w:p>
        </w:tc>
      </w:tr>
    </w:tbl>
    <w:p w14:paraId="377B9FF9">
      <w:pPr>
        <w:pStyle w:val="3"/>
        <w:rPr>
          <w:rFonts w:hint="eastAsia" w:ascii="宋体" w:hAnsi="宋体" w:eastAsia="宋体" w:cs="宋体"/>
          <w:color w:val="auto"/>
          <w:sz w:val="24"/>
          <w:szCs w:val="24"/>
          <w:highlight w:val="none"/>
        </w:rPr>
      </w:pPr>
    </w:p>
    <w:p w14:paraId="6AF8EB07">
      <w:pPr>
        <w:pageBreakBefore w:val="0"/>
        <w:widowControl w:val="0"/>
        <w:wordWrap/>
        <w:overflowPunct/>
        <w:topLinePunct w:val="0"/>
        <w:bidi w:val="0"/>
        <w:spacing w:before="78" w:line="219"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5"/>
          <w:sz w:val="24"/>
          <w:szCs w:val="24"/>
          <w:highlight w:val="none"/>
        </w:rPr>
        <w:t>（</w:t>
      </w:r>
      <w:r>
        <w:rPr>
          <w:rFonts w:hint="eastAsia" w:ascii="宋体" w:hAnsi="宋体" w:eastAsia="宋体" w:cs="宋体"/>
          <w:color w:val="auto"/>
          <w:spacing w:val="-5"/>
          <w:sz w:val="24"/>
          <w:szCs w:val="24"/>
          <w:highlight w:val="none"/>
          <w:lang w:val="en-US" w:eastAsia="zh-CN"/>
        </w:rPr>
        <w:t>二）服务</w:t>
      </w:r>
      <w:r>
        <w:rPr>
          <w:rFonts w:hint="eastAsia" w:ascii="宋体" w:hAnsi="宋体" w:eastAsia="宋体" w:cs="宋体"/>
          <w:color w:val="auto"/>
          <w:spacing w:val="-5"/>
          <w:sz w:val="24"/>
          <w:szCs w:val="24"/>
          <w:highlight w:val="none"/>
        </w:rPr>
        <w:t>需求</w:t>
      </w:r>
    </w:p>
    <w:p w14:paraId="7A22D0C8">
      <w:pPr>
        <w:pStyle w:val="2"/>
        <w:spacing w:before="162" w:line="360" w:lineRule="auto"/>
        <w:ind w:left="443"/>
        <w:outlineLvl w:val="9"/>
        <w:rPr>
          <w:rFonts w:hint="eastAsia" w:ascii="宋体" w:hAnsi="宋体" w:eastAsia="宋体" w:cs="宋体"/>
          <w:sz w:val="24"/>
          <w:szCs w:val="24"/>
          <w:highlight w:val="none"/>
        </w:rPr>
      </w:pPr>
      <w:r>
        <w:rPr>
          <w:rFonts w:hint="eastAsia" w:ascii="宋体" w:hAnsi="宋体" w:eastAsia="宋体" w:cs="宋体"/>
          <w:b/>
          <w:bCs/>
          <w:sz w:val="24"/>
          <w:szCs w:val="24"/>
          <w:highlight w:val="none"/>
        </w:rPr>
        <w:t>1、总体要求</w:t>
      </w:r>
    </w:p>
    <w:p w14:paraId="397D1F47">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(1)检测单位在检测过程中应始终维护采购人的合法利益，保证检测质量，实现工程质量目标。</w:t>
      </w:r>
    </w:p>
    <w:p w14:paraId="50487DB8">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(2)检测单位对检测结果的真实性和准确性负责，对检测过程中发现的质量问题要及时向监理工程师报告，并协助制定解决方案。</w:t>
      </w:r>
    </w:p>
    <w:p w14:paraId="01CFA082">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(3)检测单位必须及时完成现场检测工作，并按时提供中间报告和最终检测报告，确保后续工程施工顺利进行。</w:t>
      </w:r>
    </w:p>
    <w:p w14:paraId="54CD9E37">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(4)检测过程中涉及检测方法的重大变化必须报总监审核、经采购人同意后方可实施。</w:t>
      </w:r>
    </w:p>
    <w:p w14:paraId="1CC1B7ED">
      <w:pPr>
        <w:pStyle w:val="2"/>
        <w:spacing w:before="159" w:line="219" w:lineRule="auto"/>
        <w:ind w:left="433"/>
        <w:outlineLvl w:val="9"/>
        <w:rPr>
          <w:rFonts w:hint="eastAsia" w:ascii="宋体" w:hAnsi="宋体" w:eastAsia="宋体" w:cs="宋体"/>
          <w:sz w:val="24"/>
          <w:szCs w:val="24"/>
          <w:highlight w:val="none"/>
        </w:rPr>
      </w:pPr>
      <w:r>
        <w:rPr>
          <w:rFonts w:hint="eastAsia" w:ascii="宋体" w:hAnsi="宋体" w:eastAsia="宋体" w:cs="宋体"/>
          <w:b/>
          <w:bCs/>
          <w:spacing w:val="2"/>
          <w:sz w:val="24"/>
          <w:szCs w:val="24"/>
          <w:highlight w:val="none"/>
        </w:rPr>
        <w:t>2、仪器、设备及设施配置</w:t>
      </w:r>
    </w:p>
    <w:p w14:paraId="48477D97">
      <w:pPr>
        <w:pStyle w:val="2"/>
        <w:spacing w:before="156" w:line="328" w:lineRule="auto"/>
        <w:ind w:right="228" w:firstLine="52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(1)中标检测单位必须按照吉安市住房和城乡建设局颁发《关于进一步加强我市房屋建筑和</w:t>
      </w:r>
      <w:r>
        <w:rPr>
          <w:rFonts w:hint="eastAsia" w:ascii="宋体" w:hAnsi="宋体" w:eastAsia="宋体" w:cs="宋体"/>
          <w:spacing w:val="8"/>
          <w:sz w:val="24"/>
          <w:szCs w:val="24"/>
          <w:highlight w:val="none"/>
        </w:rPr>
        <w:t>市政工程质量检测管理工作通知》(吉市建发【2021】32号)文件要求，</w:t>
      </w:r>
      <w:r>
        <w:rPr>
          <w:rFonts w:hint="eastAsia" w:ascii="宋体" w:hAnsi="宋体" w:eastAsia="宋体" w:cs="宋体"/>
          <w:spacing w:val="7"/>
          <w:sz w:val="24"/>
          <w:szCs w:val="24"/>
          <w:highlight w:val="none"/>
        </w:rPr>
        <w:t>在采购人要求的开始工</w:t>
      </w:r>
      <w:r>
        <w:rPr>
          <w:rFonts w:hint="eastAsia" w:ascii="宋体" w:hAnsi="宋体" w:eastAsia="宋体" w:cs="宋体"/>
          <w:spacing w:val="6"/>
          <w:sz w:val="24"/>
          <w:szCs w:val="24"/>
          <w:highlight w:val="none"/>
        </w:rPr>
        <w:t>程检测时间前纳入“吉安市建筑市场和建筑工程质量安全监管服务平台”,以保证工程质量检测数据信息采集常态化。若中标检测单位无法在采购人规定的时间内纳入“建</w:t>
      </w:r>
      <w:r>
        <w:rPr>
          <w:rFonts w:hint="eastAsia" w:ascii="宋体" w:hAnsi="宋体" w:eastAsia="宋体" w:cs="宋体"/>
          <w:spacing w:val="5"/>
          <w:sz w:val="24"/>
          <w:szCs w:val="24"/>
          <w:highlight w:val="none"/>
        </w:rPr>
        <w:t>管平台”,则视为其</w:t>
      </w:r>
      <w:r>
        <w:rPr>
          <w:rFonts w:hint="eastAsia" w:ascii="宋体" w:hAnsi="宋体" w:eastAsia="宋体" w:cs="宋体"/>
          <w:spacing w:val="2"/>
          <w:sz w:val="24"/>
          <w:szCs w:val="24"/>
          <w:highlight w:val="none"/>
        </w:rPr>
        <w:t>无履行服务合同能力，采购人有权取消其中标资格并终止检测服务合同。</w:t>
      </w:r>
    </w:p>
    <w:p w14:paraId="5D0E83C8">
      <w:pPr>
        <w:pStyle w:val="2"/>
        <w:spacing w:before="170" w:line="314" w:lineRule="auto"/>
        <w:ind w:right="141" w:firstLine="529"/>
        <w:rPr>
          <w:rFonts w:hint="eastAsia" w:ascii="宋体" w:hAnsi="宋体" w:eastAsia="宋体" w:cs="宋体"/>
          <w:sz w:val="24"/>
          <w:szCs w:val="24"/>
          <w:highlight w:val="none"/>
        </w:rPr>
      </w:pPr>
      <w:r>
        <w:rPr>
          <w:rFonts w:hint="eastAsia" w:ascii="宋体" w:hAnsi="宋体" w:eastAsia="宋体" w:cs="宋体"/>
          <w:spacing w:val="1"/>
          <w:sz w:val="24"/>
          <w:szCs w:val="24"/>
          <w:highlight w:val="none"/>
        </w:rPr>
        <w:t>(2)投入本项目的检测仪器和设备必须保</w:t>
      </w:r>
      <w:r>
        <w:rPr>
          <w:rFonts w:hint="eastAsia" w:ascii="宋体" w:hAnsi="宋体" w:eastAsia="宋体" w:cs="宋体"/>
          <w:sz w:val="24"/>
          <w:szCs w:val="24"/>
          <w:highlight w:val="none"/>
        </w:rPr>
        <w:t xml:space="preserve">证满足本工程检测工作需要，不得随意更换或退场。 </w:t>
      </w:r>
      <w:r>
        <w:rPr>
          <w:rFonts w:hint="eastAsia" w:ascii="宋体" w:hAnsi="宋体" w:eastAsia="宋体" w:cs="宋体"/>
          <w:spacing w:val="1"/>
          <w:sz w:val="24"/>
          <w:szCs w:val="24"/>
          <w:highlight w:val="none"/>
        </w:rPr>
        <w:t>对不能满足本工程检测工作需要的仪器和设备，采购人</w:t>
      </w:r>
      <w:r>
        <w:rPr>
          <w:rFonts w:hint="eastAsia" w:ascii="宋体" w:hAnsi="宋体" w:eastAsia="宋体" w:cs="宋体"/>
          <w:sz w:val="24"/>
          <w:szCs w:val="24"/>
          <w:highlight w:val="none"/>
        </w:rPr>
        <w:t xml:space="preserve">或其委托的监理人有权要求检测单位更换。 </w:t>
      </w:r>
      <w:r>
        <w:rPr>
          <w:rFonts w:hint="eastAsia" w:ascii="宋体" w:hAnsi="宋体" w:eastAsia="宋体" w:cs="宋体"/>
          <w:spacing w:val="2"/>
          <w:sz w:val="24"/>
          <w:szCs w:val="24"/>
          <w:highlight w:val="none"/>
        </w:rPr>
        <w:t>替换的仪器设备的性能必须满足检测工作需要，并报监理单位批准。</w:t>
      </w:r>
    </w:p>
    <w:p w14:paraId="24090DD0">
      <w:pPr>
        <w:pStyle w:val="2"/>
        <w:spacing w:before="150" w:line="294" w:lineRule="auto"/>
        <w:ind w:right="217" w:firstLine="529"/>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(3)检测单位采用的检测仪器和设备必须经过计量部门的检定并在</w:t>
      </w:r>
      <w:r>
        <w:rPr>
          <w:rFonts w:hint="eastAsia" w:ascii="宋体" w:hAnsi="宋体" w:eastAsia="宋体" w:cs="宋体"/>
          <w:spacing w:val="3"/>
          <w:sz w:val="24"/>
          <w:szCs w:val="24"/>
          <w:highlight w:val="none"/>
        </w:rPr>
        <w:t>有效期内，应确保所有检</w:t>
      </w:r>
      <w:r>
        <w:rPr>
          <w:rFonts w:hint="eastAsia" w:ascii="宋体" w:hAnsi="宋体" w:eastAsia="宋体" w:cs="宋体"/>
          <w:sz w:val="24"/>
          <w:szCs w:val="24"/>
          <w:highlight w:val="none"/>
        </w:rPr>
        <w:t xml:space="preserve"> </w:t>
      </w:r>
      <w:r>
        <w:rPr>
          <w:rFonts w:hint="eastAsia" w:ascii="宋体" w:hAnsi="宋体" w:eastAsia="宋体" w:cs="宋体"/>
          <w:spacing w:val="2"/>
          <w:sz w:val="24"/>
          <w:szCs w:val="24"/>
          <w:highlight w:val="none"/>
        </w:rPr>
        <w:t>测仪器和设备在检测过程中状况良好、性能稳定、精度满足要求。</w:t>
      </w:r>
    </w:p>
    <w:p w14:paraId="3BAA7283">
      <w:pPr>
        <w:pStyle w:val="2"/>
        <w:spacing w:before="143" w:line="332" w:lineRule="auto"/>
        <w:ind w:firstLine="529"/>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(4)检测单位检测实验室须配备足够的检测仪器和</w:t>
      </w:r>
      <w:r>
        <w:rPr>
          <w:rFonts w:hint="eastAsia" w:ascii="宋体" w:hAnsi="宋体" w:eastAsia="宋体" w:cs="宋体"/>
          <w:spacing w:val="5"/>
          <w:sz w:val="24"/>
          <w:szCs w:val="24"/>
          <w:highlight w:val="none"/>
        </w:rPr>
        <w:t>设备，以满足多个工点同时检测的需要。</w:t>
      </w:r>
      <w:r>
        <w:rPr>
          <w:rFonts w:hint="eastAsia" w:ascii="宋体" w:hAnsi="宋体" w:eastAsia="宋体" w:cs="宋体"/>
          <w:spacing w:val="3"/>
          <w:sz w:val="24"/>
          <w:szCs w:val="24"/>
          <w:highlight w:val="none"/>
        </w:rPr>
        <w:t>中标检测单位应在钢筋力学室、混凝土力学室、水泥力学室等涉及结构安全性能检测的场所应安装视频装置，视频图像、角度应能清晰分辨送检及见证人员和送检的样品，视频保存时间不少于</w:t>
      </w:r>
      <w:r>
        <w:rPr>
          <w:rFonts w:hint="eastAsia" w:ascii="宋体" w:hAnsi="宋体" w:eastAsia="宋体" w:cs="宋体"/>
          <w:spacing w:val="6"/>
          <w:sz w:val="24"/>
          <w:szCs w:val="24"/>
          <w:highlight w:val="none"/>
        </w:rPr>
        <w:t>3个月。检测机构应及时将检测报告提交给建设单位或工程监理单位进行确认并上传“建管平台”</w:t>
      </w:r>
      <w:r>
        <w:rPr>
          <w:rFonts w:hint="eastAsia" w:ascii="宋体" w:hAnsi="宋体" w:eastAsia="宋体" w:cs="宋体"/>
          <w:spacing w:val="1"/>
          <w:sz w:val="24"/>
          <w:szCs w:val="24"/>
          <w:highlight w:val="none"/>
        </w:rPr>
        <w:t>后，交由施工单位存档。</w:t>
      </w:r>
    </w:p>
    <w:p w14:paraId="1E3DB0DC">
      <w:pPr>
        <w:pStyle w:val="2"/>
        <w:spacing w:before="160" w:line="299" w:lineRule="auto"/>
        <w:ind w:right="238" w:firstLine="529"/>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(5)检测单位自行解决在现场开展检测工作所必需的办公、生活、交通、通讯等设施，不得</w:t>
      </w:r>
      <w:r>
        <w:rPr>
          <w:rFonts w:hint="eastAsia" w:ascii="宋体" w:hAnsi="宋体" w:eastAsia="宋体" w:cs="宋体"/>
          <w:spacing w:val="1"/>
          <w:sz w:val="24"/>
          <w:szCs w:val="24"/>
          <w:highlight w:val="none"/>
        </w:rPr>
        <w:t>与被检测单位一起办公和食宿。</w:t>
      </w:r>
    </w:p>
    <w:p w14:paraId="36C4DBE7">
      <w:pPr>
        <w:pStyle w:val="2"/>
        <w:spacing w:before="150" w:line="290" w:lineRule="auto"/>
        <w:ind w:right="237" w:firstLine="529"/>
        <w:rPr>
          <w:rFonts w:hint="eastAsia" w:ascii="宋体" w:hAnsi="宋体" w:eastAsia="宋体" w:cs="宋体"/>
          <w:spacing w:val="1"/>
          <w:sz w:val="24"/>
          <w:szCs w:val="24"/>
          <w:highlight w:val="none"/>
        </w:rPr>
      </w:pPr>
      <w:r>
        <w:rPr>
          <w:rFonts w:hint="eastAsia" w:ascii="宋体" w:hAnsi="宋体" w:eastAsia="宋体" w:cs="宋体"/>
          <w:spacing w:val="3"/>
          <w:sz w:val="24"/>
          <w:szCs w:val="24"/>
          <w:highlight w:val="none"/>
        </w:rPr>
        <w:t>(6)中标检测单位后不得转让检测业务，也不得允许其他单位或个人以本单位的名义承担检</w:t>
      </w:r>
      <w:r>
        <w:rPr>
          <w:rFonts w:hint="eastAsia" w:ascii="宋体" w:hAnsi="宋体" w:eastAsia="宋体" w:cs="宋体"/>
          <w:spacing w:val="1"/>
          <w:sz w:val="24"/>
          <w:szCs w:val="24"/>
          <w:highlight w:val="none"/>
        </w:rPr>
        <w:t>测业务，否则视为违约。</w:t>
      </w:r>
    </w:p>
    <w:p w14:paraId="4971B842">
      <w:pPr>
        <w:pStyle w:val="2"/>
        <w:spacing w:before="150" w:line="290" w:lineRule="auto"/>
        <w:ind w:right="237" w:firstLine="529"/>
        <w:rPr>
          <w:rFonts w:hint="eastAsia" w:ascii="宋体" w:hAnsi="宋体" w:eastAsia="宋体" w:cs="宋体"/>
          <w:b/>
          <w:bCs/>
          <w:spacing w:val="1"/>
          <w:sz w:val="24"/>
          <w:szCs w:val="24"/>
          <w:highlight w:val="none"/>
        </w:rPr>
      </w:pPr>
      <w:r>
        <w:rPr>
          <w:rFonts w:hint="eastAsia" w:ascii="宋体" w:hAnsi="宋体" w:eastAsia="宋体" w:cs="宋体"/>
          <w:b/>
          <w:bCs/>
          <w:spacing w:val="1"/>
          <w:sz w:val="24"/>
          <w:szCs w:val="24"/>
          <w:highlight w:val="none"/>
          <w:lang w:val="en-US" w:eastAsia="zh-CN"/>
        </w:rPr>
        <w:t>3、</w:t>
      </w:r>
      <w:r>
        <w:rPr>
          <w:rFonts w:hint="eastAsia" w:ascii="宋体" w:hAnsi="宋体" w:eastAsia="宋体" w:cs="宋体"/>
          <w:b/>
          <w:bCs/>
          <w:spacing w:val="1"/>
          <w:sz w:val="24"/>
          <w:szCs w:val="24"/>
          <w:highlight w:val="none"/>
        </w:rPr>
        <w:t>检测要求</w:t>
      </w:r>
    </w:p>
    <w:p w14:paraId="5A5F3349">
      <w:pPr>
        <w:pStyle w:val="2"/>
        <w:spacing w:before="150" w:line="290" w:lineRule="auto"/>
        <w:ind w:right="237" w:firstLine="529"/>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rPr>
        <w:t>(1)检测单位必须根据设计施工图纸中注明的检测要求，对已完工的工程内容按照国家规定的</w:t>
      </w:r>
      <w:r>
        <w:rPr>
          <w:rFonts w:hint="eastAsia" w:ascii="宋体" w:hAnsi="宋体" w:eastAsia="宋体" w:cs="宋体"/>
          <w:spacing w:val="1"/>
          <w:sz w:val="24"/>
          <w:szCs w:val="24"/>
          <w:highlight w:val="none"/>
          <w:lang w:val="en-US" w:eastAsia="zh-CN"/>
        </w:rPr>
        <w:t>最新</w:t>
      </w:r>
      <w:r>
        <w:rPr>
          <w:rFonts w:hint="eastAsia" w:ascii="宋体" w:hAnsi="宋体" w:eastAsia="宋体" w:cs="宋体"/>
          <w:spacing w:val="1"/>
          <w:sz w:val="24"/>
          <w:szCs w:val="24"/>
          <w:highlight w:val="none"/>
        </w:rPr>
        <w:t>检测规范和标准进行建设工程质量检测，出具国家</w:t>
      </w:r>
      <w:r>
        <w:rPr>
          <w:rFonts w:hint="eastAsia" w:ascii="宋体" w:hAnsi="宋体" w:eastAsia="宋体" w:cs="宋体"/>
          <w:spacing w:val="1"/>
          <w:sz w:val="24"/>
          <w:szCs w:val="24"/>
          <w:highlight w:val="none"/>
          <w:lang w:val="en-US" w:eastAsia="zh-CN"/>
        </w:rPr>
        <w:t>或</w:t>
      </w:r>
      <w:r>
        <w:rPr>
          <w:rFonts w:hint="eastAsia" w:ascii="宋体" w:hAnsi="宋体" w:eastAsia="宋体" w:cs="宋体"/>
          <w:spacing w:val="1"/>
          <w:sz w:val="24"/>
          <w:szCs w:val="24"/>
          <w:highlight w:val="none"/>
        </w:rPr>
        <w:t>江西省地方相关部门认可的检测报告，所有检测工作须符合国家法律、法规及省、市有关文件要求。</w:t>
      </w:r>
    </w:p>
    <w:p w14:paraId="3AAC6105">
      <w:pPr>
        <w:pStyle w:val="2"/>
        <w:spacing w:before="150" w:line="290" w:lineRule="auto"/>
        <w:ind w:right="237" w:firstLine="529"/>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rPr>
        <w:t>(2)检测单位应根据上述工程静载荷试验等检测内容与技术要求编制详尽的检测方案，并提交设计院及采购人确认后方可执行，深化方案需提供可编辑电子文档。</w:t>
      </w:r>
    </w:p>
    <w:p w14:paraId="27000401">
      <w:pPr>
        <w:pStyle w:val="2"/>
        <w:spacing w:before="150" w:line="290" w:lineRule="auto"/>
        <w:ind w:right="237" w:firstLine="529"/>
        <w:rPr>
          <w:rFonts w:hint="eastAsia" w:ascii="宋体" w:hAnsi="宋体" w:eastAsia="宋体" w:cs="宋体"/>
          <w:b/>
          <w:bCs/>
          <w:spacing w:val="1"/>
          <w:sz w:val="24"/>
          <w:szCs w:val="24"/>
          <w:highlight w:val="none"/>
        </w:rPr>
      </w:pPr>
      <w:r>
        <w:rPr>
          <w:rFonts w:hint="eastAsia" w:ascii="宋体" w:hAnsi="宋体" w:eastAsia="宋体" w:cs="宋体"/>
          <w:b/>
          <w:bCs/>
          <w:spacing w:val="1"/>
          <w:sz w:val="24"/>
          <w:szCs w:val="24"/>
          <w:highlight w:val="none"/>
          <w:lang w:val="en-US" w:eastAsia="zh-CN"/>
        </w:rPr>
        <w:t>4</w:t>
      </w:r>
      <w:r>
        <w:rPr>
          <w:rFonts w:hint="eastAsia" w:ascii="宋体" w:hAnsi="宋体" w:eastAsia="宋体" w:cs="宋体"/>
          <w:b/>
          <w:bCs/>
          <w:spacing w:val="1"/>
          <w:sz w:val="24"/>
          <w:szCs w:val="24"/>
          <w:highlight w:val="none"/>
        </w:rPr>
        <w:t>、检测成果及服务</w:t>
      </w:r>
    </w:p>
    <w:p w14:paraId="612C21E4">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1</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检测人员须常驻现场，根据工程进展需要及时开展检测工作。在接到甲方口头或书面进场通知时，应在48小时内进场检测(不可抗力因素除外)。在接到甲方口头或书面退场通知时，应在48小时内完成检测设备的退场(不可抗力因素除外)。若乙方未达到以上要求，则给予每次3000元的处罚。罚款金额可在检测费用中予以扣除。</w:t>
      </w:r>
    </w:p>
    <w:p w14:paraId="59390D2C">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2</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检测工作必须接受采购人委托的监理单位的见证检测，按照施工单位报检计划和监理指 令进行检测，及时提供中间检测结果、正式检测报告。</w:t>
      </w:r>
    </w:p>
    <w:p w14:paraId="7D28E500">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3</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每个检测项目完成后15天内提交正式中间成果报告肆份，并附电子版；</w:t>
      </w:r>
    </w:p>
    <w:p w14:paraId="083E2A34">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4</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全部检测工作结束后两周内提交全部正式检测成果报告捌份，并附电子版。</w:t>
      </w:r>
    </w:p>
    <w:p w14:paraId="278E81C5">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5</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正式检测报告原件至少一式肆份，由检测人员、审核人员、检测负责人等签字，并加盖检测专用章、CMA 章。如采购人需要增加检测报告原件份数时，中标人应无偿如数提交。</w:t>
      </w:r>
    </w:p>
    <w:p w14:paraId="144D3FF1">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6</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检测报告一经出具，不得随意更改。如有特殊情况确需更改，必须取得监理工程师的认可，报采购人备案并通报施工单位。</w:t>
      </w:r>
    </w:p>
    <w:p w14:paraId="3D2D66DC">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lang w:val="en-US" w:eastAsia="zh-CN"/>
        </w:rPr>
        <w:t>7</w:t>
      </w:r>
      <w:r>
        <w:rPr>
          <w:rFonts w:hint="eastAsia" w:ascii="宋体" w:hAnsi="宋体" w:eastAsia="宋体" w:cs="宋体"/>
          <w:spacing w:val="1"/>
          <w:sz w:val="24"/>
          <w:szCs w:val="24"/>
          <w:highlight w:val="none"/>
          <w:lang w:eastAsia="zh-CN"/>
        </w:rPr>
        <w:t>）</w:t>
      </w:r>
      <w:r>
        <w:rPr>
          <w:rFonts w:hint="eastAsia" w:ascii="宋体" w:hAnsi="宋体" w:eastAsia="宋体" w:cs="宋体"/>
          <w:spacing w:val="1"/>
          <w:sz w:val="24"/>
          <w:szCs w:val="24"/>
          <w:highlight w:val="none"/>
        </w:rPr>
        <w:t>如因检测单位自身的原因导致检测工作延误影响正常施工，检测单位应承担相应的赔偿责任 。</w:t>
      </w:r>
    </w:p>
    <w:p w14:paraId="3AA4CA80">
      <w:pPr>
        <w:pStyle w:val="2"/>
        <w:spacing w:before="150" w:line="290" w:lineRule="auto"/>
        <w:ind w:right="237"/>
        <w:rPr>
          <w:rFonts w:hint="eastAsia" w:ascii="宋体" w:hAnsi="宋体" w:eastAsia="宋体" w:cs="宋体"/>
          <w:spacing w:val="1"/>
          <w:sz w:val="24"/>
          <w:szCs w:val="24"/>
          <w:highlight w:val="none"/>
        </w:rPr>
      </w:pPr>
      <w:r>
        <w:rPr>
          <w:rFonts w:hint="eastAsia" w:ascii="宋体" w:hAnsi="宋体" w:eastAsia="宋体" w:cs="宋体"/>
          <w:spacing w:val="1"/>
          <w:sz w:val="24"/>
          <w:szCs w:val="24"/>
          <w:highlight w:val="none"/>
        </w:rPr>
        <w:t>(</w:t>
      </w:r>
      <w:r>
        <w:rPr>
          <w:rFonts w:hint="eastAsia" w:ascii="宋体" w:hAnsi="宋体" w:eastAsia="宋体" w:cs="宋体"/>
          <w:spacing w:val="1"/>
          <w:sz w:val="24"/>
          <w:szCs w:val="24"/>
          <w:highlight w:val="none"/>
          <w:lang w:val="en-US" w:eastAsia="zh-CN"/>
        </w:rPr>
        <w:t>8</w:t>
      </w:r>
      <w:r>
        <w:rPr>
          <w:rFonts w:hint="eastAsia" w:ascii="宋体" w:hAnsi="宋体" w:eastAsia="宋体" w:cs="宋体"/>
          <w:spacing w:val="1"/>
          <w:sz w:val="24"/>
          <w:szCs w:val="24"/>
          <w:highlight w:val="none"/>
        </w:rPr>
        <w:t>)若检测单位依据现行规范标准对本项目</w:t>
      </w:r>
      <w:r>
        <w:rPr>
          <w:rFonts w:hint="eastAsia" w:ascii="宋体" w:hAnsi="宋体" w:eastAsia="宋体" w:cs="宋体"/>
          <w:spacing w:val="1"/>
          <w:sz w:val="24"/>
          <w:szCs w:val="24"/>
          <w:highlight w:val="none"/>
          <w:lang w:val="en-US" w:eastAsia="zh-CN"/>
        </w:rPr>
        <w:t>所有</w:t>
      </w:r>
      <w:r>
        <w:rPr>
          <w:rFonts w:hint="eastAsia" w:ascii="宋体" w:hAnsi="宋体" w:eastAsia="宋体" w:cs="宋体"/>
          <w:spacing w:val="1"/>
          <w:sz w:val="24"/>
          <w:szCs w:val="24"/>
          <w:highlight w:val="none"/>
        </w:rPr>
        <w:t>实体进行检测后，判定为不合格的，由施工单位负责按相关规范要求进行处理或返工，经监理工程师认可后，报检测单位重新检测。对检测结果如有争议且不能达成一致时，则由采购人委托第三方检测机构进行复测，</w:t>
      </w:r>
      <w:r>
        <w:rPr>
          <w:rFonts w:hint="eastAsia" w:ascii="宋体" w:hAnsi="宋体" w:eastAsia="宋体" w:cs="宋体"/>
          <w:spacing w:val="1"/>
          <w:sz w:val="24"/>
          <w:szCs w:val="24"/>
          <w:highlight w:val="none"/>
          <w:lang w:val="en-US" w:eastAsia="zh-CN"/>
        </w:rPr>
        <w:t>所有</w:t>
      </w:r>
      <w:r>
        <w:rPr>
          <w:rFonts w:hint="eastAsia" w:ascii="宋体" w:hAnsi="宋体" w:eastAsia="宋体" w:cs="宋体"/>
          <w:spacing w:val="1"/>
          <w:sz w:val="24"/>
          <w:szCs w:val="24"/>
          <w:highlight w:val="none"/>
        </w:rPr>
        <w:t>费用由责任方承担。</w:t>
      </w:r>
    </w:p>
    <w:p w14:paraId="5172981C">
      <w:pPr>
        <w:pStyle w:val="2"/>
        <w:spacing w:before="150" w:line="290" w:lineRule="auto"/>
        <w:ind w:right="237"/>
        <w:rPr>
          <w:rFonts w:ascii="宋体" w:hAnsi="宋体" w:eastAsia="宋体" w:cs="宋体"/>
          <w:color w:val="auto"/>
          <w:spacing w:val="-6"/>
          <w:sz w:val="28"/>
          <w:szCs w:val="28"/>
          <w:highlight w:val="none"/>
          <w:lang w:eastAsia="zh-CN"/>
        </w:rPr>
      </w:pPr>
      <w:r>
        <w:rPr>
          <w:rFonts w:hint="eastAsia" w:ascii="宋体" w:hAnsi="宋体" w:eastAsia="宋体" w:cs="宋体"/>
          <w:spacing w:val="1"/>
          <w:sz w:val="24"/>
          <w:szCs w:val="24"/>
          <w:highlight w:val="none"/>
        </w:rPr>
        <w:t>(</w:t>
      </w:r>
      <w:r>
        <w:rPr>
          <w:rFonts w:hint="eastAsia" w:ascii="宋体" w:hAnsi="宋体" w:eastAsia="宋体" w:cs="宋体"/>
          <w:spacing w:val="1"/>
          <w:sz w:val="24"/>
          <w:szCs w:val="24"/>
          <w:highlight w:val="none"/>
          <w:lang w:val="en-US" w:eastAsia="zh-CN"/>
        </w:rPr>
        <w:t>9</w:t>
      </w:r>
      <w:r>
        <w:rPr>
          <w:rFonts w:hint="eastAsia" w:ascii="宋体" w:hAnsi="宋体" w:eastAsia="宋体" w:cs="宋体"/>
          <w:spacing w:val="1"/>
          <w:sz w:val="24"/>
          <w:szCs w:val="24"/>
          <w:highlight w:val="none"/>
        </w:rPr>
        <w:t>)检测过程中应遵守施工现场安全和文明施工相关管理规定。</w:t>
      </w:r>
    </w:p>
    <w:p w14:paraId="048DA35F">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57D0A0D6">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1FBE110F">
      <w:pPr>
        <w:pageBreakBefore w:val="0"/>
        <w:widowControl w:val="0"/>
        <w:wordWrap/>
        <w:overflowPunct/>
        <w:topLinePunct w:val="0"/>
        <w:bidi w:val="0"/>
        <w:spacing w:before="78" w:line="360" w:lineRule="auto"/>
        <w:rPr>
          <w:rFonts w:ascii="宋体" w:hAnsi="宋体" w:eastAsia="宋体" w:cs="宋体"/>
          <w:color w:val="auto"/>
          <w:spacing w:val="-6"/>
          <w:sz w:val="28"/>
          <w:szCs w:val="28"/>
          <w:highlight w:val="none"/>
          <w:lang w:eastAsia="zh-CN"/>
        </w:rPr>
      </w:pPr>
    </w:p>
    <w:p w14:paraId="7A5AF508">
      <w:pPr>
        <w:pageBreakBefore w:val="0"/>
        <w:widowControl w:val="0"/>
        <w:wordWrap/>
        <w:overflowPunct/>
        <w:topLinePunct w:val="0"/>
        <w:bidi w:val="0"/>
        <w:spacing w:before="78" w:line="360" w:lineRule="auto"/>
        <w:rPr>
          <w:rFonts w:hint="eastAsia" w:asciiTheme="minorEastAsia" w:hAnsiTheme="minorEastAsia" w:eastAsiaTheme="minorEastAsia" w:cstheme="minorEastAsia"/>
          <w:sz w:val="28"/>
          <w:szCs w:val="28"/>
          <w:highlight w:val="none"/>
        </w:rPr>
      </w:pPr>
      <w:bookmarkStart w:id="5" w:name="_GoBack"/>
      <w:bookmarkEnd w:id="5"/>
      <w:r>
        <w:rPr>
          <w:rFonts w:ascii="宋体" w:hAnsi="宋体" w:eastAsia="宋体" w:cs="宋体"/>
          <w:color w:val="auto"/>
          <w:spacing w:val="-6"/>
          <w:sz w:val="28"/>
          <w:szCs w:val="28"/>
          <w:highlight w:val="none"/>
          <w:lang w:eastAsia="zh-CN"/>
        </w:rPr>
        <w:t>（</w:t>
      </w:r>
      <w:r>
        <w:rPr>
          <w:rFonts w:hint="eastAsia" w:ascii="宋体" w:hAnsi="宋体" w:eastAsia="宋体" w:cs="宋体"/>
          <w:color w:val="auto"/>
          <w:spacing w:val="-6"/>
          <w:sz w:val="28"/>
          <w:szCs w:val="28"/>
          <w:highlight w:val="none"/>
          <w:lang w:val="en-US" w:eastAsia="zh-CN"/>
        </w:rPr>
        <w:t>三</w:t>
      </w:r>
      <w:r>
        <w:rPr>
          <w:rFonts w:ascii="宋体" w:hAnsi="宋体" w:eastAsia="宋体" w:cs="宋体"/>
          <w:color w:val="auto"/>
          <w:spacing w:val="-6"/>
          <w:sz w:val="28"/>
          <w:szCs w:val="28"/>
          <w:highlight w:val="none"/>
          <w:lang w:eastAsia="zh-CN"/>
        </w:rPr>
        <w:t>）</w:t>
      </w:r>
      <w:r>
        <w:rPr>
          <w:rFonts w:ascii="宋体" w:hAnsi="宋体" w:eastAsia="宋体" w:cs="宋体"/>
          <w:color w:val="auto"/>
          <w:spacing w:val="32"/>
          <w:sz w:val="28"/>
          <w:szCs w:val="28"/>
          <w:highlight w:val="none"/>
          <w:lang w:eastAsia="zh-CN"/>
        </w:rPr>
        <w:t xml:space="preserve"> </w:t>
      </w:r>
      <w:r>
        <w:rPr>
          <w:rFonts w:ascii="宋体" w:hAnsi="宋体" w:eastAsia="宋体" w:cs="宋体"/>
          <w:color w:val="auto"/>
          <w:spacing w:val="-6"/>
          <w:sz w:val="28"/>
          <w:szCs w:val="28"/>
          <w:highlight w:val="none"/>
          <w:lang w:eastAsia="zh-CN"/>
        </w:rPr>
        <w:t>商务条件</w:t>
      </w:r>
    </w:p>
    <w:p w14:paraId="69097548">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1、服务地点：采购人指定地点。</w:t>
      </w:r>
    </w:p>
    <w:p w14:paraId="6B5A88B6">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2、服务期限：从检测单位进场至所有服务项目完成，服务周期必须满足实际施工要求和验收 要求，具体开工时间以采购人书面通知或合同约定为准。因采购人原因或现场不具备作业条件，检测时间顺延。</w:t>
      </w:r>
    </w:p>
    <w:p w14:paraId="5F6E6E60">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3、付款方式：</w:t>
      </w:r>
      <w:r>
        <w:rPr>
          <w:rFonts w:hint="eastAsia" w:ascii="宋体" w:hAnsi="宋体" w:eastAsia="宋体" w:cs="宋体"/>
          <w:color w:val="auto"/>
          <w:sz w:val="24"/>
          <w:szCs w:val="24"/>
          <w:highlight w:val="none"/>
          <w:lang w:val="en-US" w:eastAsia="zh-CN"/>
        </w:rPr>
        <w:t>所有</w:t>
      </w:r>
      <w:r>
        <w:rPr>
          <w:rFonts w:hint="eastAsia" w:ascii="宋体" w:hAnsi="宋体" w:eastAsia="宋体" w:cs="宋体"/>
          <w:color w:val="auto"/>
          <w:sz w:val="24"/>
          <w:szCs w:val="24"/>
          <w:highlight w:val="none"/>
          <w:lang w:eastAsia="zh-CN"/>
        </w:rPr>
        <w:t>检测服务完成并经过建筑行业主管部门验收合格后，支付实际已完成检测费用金额的70%,提交全部正式检测报告且工程综合验收合格后一个月内全部付清剩余检测费用(双方据实结算，不计息)。</w:t>
      </w:r>
    </w:p>
    <w:p w14:paraId="58DD6D03">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4、质量标准：符合国家现行技术标准和规范的要求。</w:t>
      </w:r>
    </w:p>
    <w:p w14:paraId="179E095D">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投标报价：本项目报价为完成采购人检测工作的检测费、顾问费、文本制作费及检测过程中的配合服务费等所有费用。包含机械进出场费、机械安拆费、文明施工措施费、人工费、油料费、保险费、管理费、规费、利润、税金、以及与本次检测作业有关的现场踏勘、取样、试验、测试、检测、制作检测报告、认证等所需全部费用。在合同实施期间，检测费用综合单价不随国家政策或法规、标准及市场因素的变化而进行调整，检测数量以采购人和监理单位等相关单位确认的实际发生检测数量为准。</w:t>
      </w:r>
    </w:p>
    <w:p w14:paraId="34F043C5">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由于投标人提供的检测成果资料质量不合格，投标人应负责无偿给予补充完善使其达到质量合格；若因检测质量造成重大经济损失或工程事故时，投标人除应负法律责任外，并根据损失程度向采购人支付赔偿金，赔偿金由采购人、投标人商定。</w:t>
      </w:r>
    </w:p>
    <w:p w14:paraId="50CE54E0">
      <w:pPr>
        <w:pageBreakBefore w:val="0"/>
        <w:widowControl w:val="0"/>
        <w:wordWrap/>
        <w:overflowPunct/>
        <w:topLinePunct w:val="0"/>
        <w:bidi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本项目为特殊教育学校建设工程，服务对象为特殊学生群体，建筑安全、无障碍设施及应急防护标准要求更高；且承担绿色建筑一星级全过程咨询与检测工作，涉及建筑安全耐久、场地消防、校园安全等专业评价内容。供应商须为本项目组建专职检测服务团队，提供《拟派项目团队人员名单》，内容包含姓名、岗位、联系方式。需配备一名安全评价师持证人员，可专业开展安全风险辨识、隐患研判与合规评估，保障项目建设、检测及绿色建筑评价安全指标合规达标，筑牢校园安全底线。安全评价师必须具有高级（三级）及以上安全评价师职业资格证书和本项目相关（建设工程质量检测人员或消防设施操作员或电工等）资格证书。投标文件中提供相关证书原件扫描件和相关证书的网站查询截图(相关证书查询官网为“www.12333.gov.cn"或者“zscx.osta.org.cn"或者“gjzwfw.www.gov.cn等国家行政部门官网平台)。</w:t>
      </w:r>
    </w:p>
    <w:p w14:paraId="5567A972">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、其他说明事项：</w:t>
      </w:r>
    </w:p>
    <w:p w14:paraId="21ACEFB9">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(1)投标人在开标截止时间前，可自行踏勘现场，有关费用自理，踏勘期间发生的意外自负。</w:t>
      </w:r>
    </w:p>
    <w:p w14:paraId="7DC9CBD7">
      <w:pPr>
        <w:pageBreakBefore w:val="0"/>
        <w:widowControl w:val="0"/>
        <w:wordWrap/>
        <w:overflowPunct/>
        <w:topLinePunct w:val="0"/>
        <w:bidi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)中标人未经采购人同意，不得变更拟派的项目工作人员；否则采购人有权终止合同。</w:t>
      </w:r>
    </w:p>
    <w:p w14:paraId="5223D879">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)中标人须加强施工现场的组织管理，所有派驻的检测工作人员必须严格遵守安全文明施工的有关规章制度和采购人规定的相关制度。中标人在项目实施或服务过程中发生的重大人员、 质量、交通事故，或因中标人管理不善等原因造成的人员伤亡等责任事故均由中标人负责，采购人不承担任何法律及经济责任。</w:t>
      </w:r>
    </w:p>
    <w:p w14:paraId="744B7D63">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8、商业保密条款</w:t>
      </w:r>
    </w:p>
    <w:p w14:paraId="683A3FD3">
      <w:pPr>
        <w:pageBreakBefore w:val="0"/>
        <w:widowControl w:val="0"/>
        <w:wordWrap/>
        <w:overflowPunct/>
        <w:topLinePunct w:val="0"/>
        <w:bidi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项目履行过程中，投标人应对本项目严格保密，不得泄露信息，如有违反需承担相应法律责任，采购人保留追诉投标人相关过错的权利。投标人应保证采购人在使用该服务或其任何一部分 时不受第三方提出的侵犯专利权、著作权、商标权和工业设计权等的起诉。如果任何第三方提出侵权指控，投标人须与第三方交涉并承担由此发生的一切责任、费用和经济赔偿。</w:t>
      </w:r>
    </w:p>
    <w:p w14:paraId="26E0F60C">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9、验收</w:t>
      </w:r>
    </w:p>
    <w:p w14:paraId="0E9B4EE0">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）交付验收标准：依次序对照适用标准为：</w:t>
      </w:r>
    </w:p>
    <w:p w14:paraId="05056046">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①符合中华人民共和国国家相关行业标准。</w:t>
      </w:r>
    </w:p>
    <w:p w14:paraId="01AEC22F">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②符合采购文件和投标承诺中采购人认可的合理最佳服务技术要求。</w:t>
      </w:r>
    </w:p>
    <w:p w14:paraId="670DB43E">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上述标准必须是有关官方机构发布的最新版本的标准。</w:t>
      </w:r>
    </w:p>
    <w:p w14:paraId="265CF02D">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）中标人须为验收提供必需的设备、工具及其他便利条件。</w:t>
      </w:r>
    </w:p>
    <w:p w14:paraId="35C6140B">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）在验收过程中发现数量不足或有质量、技术等问题，中标人应负责按照采购人的要求采取补足等措施妥善处理，并承担由此发生的一切费用和损失。</w:t>
      </w:r>
    </w:p>
    <w:p w14:paraId="1340F07C">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）验收所产生的一切费用(含所有检测费用、验收费)由中标人全部承担。</w:t>
      </w:r>
    </w:p>
    <w:p w14:paraId="74629B95">
      <w:pPr>
        <w:pageBreakBefore w:val="0"/>
        <w:widowControl w:val="0"/>
        <w:wordWrap/>
        <w:overflowPunct/>
        <w:topLinePunct w:val="0"/>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10、未尽事宜，请与采购人联系。</w:t>
      </w:r>
    </w:p>
    <w:p w14:paraId="37B28D75">
      <w:pPr>
        <w:pageBreakBefore w:val="0"/>
        <w:widowControl w:val="0"/>
        <w:wordWrap/>
        <w:overflowPunct/>
        <w:topLinePunct w:val="0"/>
        <w:bidi w:val="0"/>
        <w:spacing w:line="360" w:lineRule="auto"/>
        <w:rPr>
          <w:color w:val="auto"/>
          <w:highlight w:val="none"/>
          <w:lang w:eastAsia="zh-CN"/>
        </w:rPr>
      </w:pPr>
    </w:p>
    <w:p w14:paraId="76FBD907">
      <w:pPr>
        <w:pageBreakBefore w:val="0"/>
        <w:widowControl w:val="0"/>
        <w:wordWrap/>
        <w:overflowPunct/>
        <w:topLinePunct w:val="0"/>
        <w:bidi w:val="0"/>
        <w:spacing w:line="249" w:lineRule="auto"/>
        <w:rPr>
          <w:color w:val="auto"/>
          <w:highlight w:val="none"/>
          <w:lang w:eastAsia="zh-CN"/>
        </w:rPr>
      </w:pPr>
    </w:p>
    <w:p w14:paraId="2E243D2D">
      <w:pPr>
        <w:pageBreakBefore w:val="0"/>
        <w:widowControl w:val="0"/>
        <w:wordWrap/>
        <w:overflowPunct/>
        <w:topLinePunct w:val="0"/>
        <w:bidi w:val="0"/>
        <w:spacing w:line="249" w:lineRule="auto"/>
        <w:rPr>
          <w:color w:val="auto"/>
          <w:highlight w:val="none"/>
          <w:lang w:eastAsia="zh-CN"/>
        </w:rPr>
      </w:pPr>
    </w:p>
    <w:p w14:paraId="62011CCB">
      <w:pPr>
        <w:pageBreakBefore w:val="0"/>
        <w:widowControl w:val="0"/>
        <w:wordWrap/>
        <w:overflowPunct/>
        <w:topLinePunct w:val="0"/>
        <w:bidi w:val="0"/>
        <w:spacing w:line="249" w:lineRule="auto"/>
        <w:rPr>
          <w:color w:val="auto"/>
          <w:highlight w:val="none"/>
          <w:lang w:eastAsia="zh-CN"/>
        </w:rPr>
      </w:pPr>
    </w:p>
    <w:p w14:paraId="6C0507C5">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p>
    <w:p w14:paraId="2E109E4E">
      <w:pPr>
        <w:pageBreakBefore w:val="0"/>
        <w:widowControl w:val="0"/>
        <w:wordWrap/>
        <w:overflowPunct/>
        <w:topLinePunct w:val="0"/>
        <w:bidi w:val="0"/>
        <w:spacing w:line="283" w:lineRule="auto"/>
        <w:rPr>
          <w:color w:val="auto"/>
          <w:highlight w:val="none"/>
          <w:lang w:eastAsia="zh-CN"/>
        </w:rPr>
      </w:pPr>
    </w:p>
    <w:p w14:paraId="3B01C864">
      <w:pPr>
        <w:pageBreakBefore w:val="0"/>
        <w:widowControl w:val="0"/>
        <w:wordWrap/>
        <w:overflowPunct/>
        <w:topLinePunct w:val="0"/>
        <w:bidi w:val="0"/>
        <w:spacing w:line="283" w:lineRule="auto"/>
        <w:rPr>
          <w:color w:val="auto"/>
          <w:highlight w:val="none"/>
          <w:lang w:eastAsia="zh-CN"/>
        </w:rPr>
      </w:pPr>
    </w:p>
    <w:p w14:paraId="5D887819">
      <w:pPr>
        <w:pageBreakBefore w:val="0"/>
        <w:widowControl w:val="0"/>
        <w:wordWrap/>
        <w:overflowPunct/>
        <w:topLinePunct w:val="0"/>
        <w:bidi w:val="0"/>
        <w:spacing w:line="283" w:lineRule="auto"/>
        <w:rPr>
          <w:color w:val="auto"/>
          <w:highlight w:val="none"/>
          <w:lang w:eastAsia="zh-CN"/>
        </w:rPr>
      </w:pPr>
    </w:p>
    <w:p w14:paraId="4FC47A89">
      <w:pPr>
        <w:pageBreakBefore w:val="0"/>
        <w:widowControl w:val="0"/>
        <w:wordWrap/>
        <w:overflowPunct/>
        <w:topLinePunct w:val="0"/>
        <w:bidi w:val="0"/>
        <w:spacing w:line="283" w:lineRule="auto"/>
        <w:rPr>
          <w:color w:val="auto"/>
          <w:highlight w:val="none"/>
          <w:lang w:eastAsia="zh-CN"/>
        </w:rPr>
      </w:pPr>
    </w:p>
    <w:p w14:paraId="6E7F9F5E">
      <w:pPr>
        <w:pageBreakBefore w:val="0"/>
        <w:widowControl w:val="0"/>
        <w:wordWrap/>
        <w:overflowPunct/>
        <w:topLinePunct w:val="0"/>
        <w:bidi w:val="0"/>
        <w:spacing w:line="283" w:lineRule="auto"/>
        <w:rPr>
          <w:color w:val="auto"/>
          <w:highlight w:val="none"/>
          <w:lang w:eastAsia="zh-CN"/>
        </w:rPr>
      </w:pPr>
    </w:p>
    <w:p w14:paraId="31963BF4">
      <w:pPr>
        <w:pageBreakBefore w:val="0"/>
        <w:widowControl w:val="0"/>
        <w:wordWrap/>
        <w:overflowPunct/>
        <w:topLinePunct w:val="0"/>
        <w:bidi w:val="0"/>
        <w:spacing w:line="283" w:lineRule="auto"/>
        <w:rPr>
          <w:color w:val="auto"/>
          <w:highlight w:val="none"/>
          <w:lang w:eastAsia="zh-CN"/>
        </w:rPr>
      </w:pPr>
    </w:p>
    <w:p w14:paraId="574D8573">
      <w:pPr>
        <w:pageBreakBefore w:val="0"/>
        <w:widowControl w:val="0"/>
        <w:wordWrap/>
        <w:overflowPunct/>
        <w:topLinePunct w:val="0"/>
        <w:bidi w:val="0"/>
        <w:spacing w:line="283" w:lineRule="auto"/>
        <w:rPr>
          <w:color w:val="auto"/>
          <w:highlight w:val="none"/>
          <w:lang w:eastAsia="zh-CN"/>
        </w:rPr>
      </w:pPr>
    </w:p>
    <w:p w14:paraId="6AB0267A">
      <w:pPr>
        <w:pageBreakBefore w:val="0"/>
        <w:widowControl w:val="0"/>
        <w:wordWrap/>
        <w:overflowPunct/>
        <w:topLinePunct w:val="0"/>
        <w:bidi w:val="0"/>
        <w:spacing w:line="283" w:lineRule="auto"/>
        <w:rPr>
          <w:color w:val="auto"/>
          <w:highlight w:val="none"/>
          <w:lang w:eastAsia="zh-CN"/>
        </w:rPr>
      </w:pPr>
    </w:p>
    <w:p w14:paraId="4EDB27B0">
      <w:pPr>
        <w:pageBreakBefore w:val="0"/>
        <w:widowControl w:val="0"/>
        <w:wordWrap/>
        <w:overflowPunct/>
        <w:topLinePunct w:val="0"/>
        <w:bidi w:val="0"/>
        <w:spacing w:line="283" w:lineRule="auto"/>
        <w:rPr>
          <w:color w:val="auto"/>
          <w:highlight w:val="none"/>
          <w:lang w:eastAsia="zh-CN"/>
        </w:rPr>
      </w:pPr>
    </w:p>
    <w:p w14:paraId="2FE1145F">
      <w:pPr>
        <w:pageBreakBefore w:val="0"/>
        <w:widowControl w:val="0"/>
        <w:wordWrap/>
        <w:overflowPunct/>
        <w:topLinePunct w:val="0"/>
        <w:bidi w:val="0"/>
        <w:spacing w:line="283" w:lineRule="auto"/>
        <w:rPr>
          <w:color w:val="auto"/>
          <w:highlight w:val="none"/>
          <w:lang w:eastAsia="zh-CN"/>
        </w:rPr>
      </w:pPr>
    </w:p>
    <w:p w14:paraId="730473C5">
      <w:pPr>
        <w:pageBreakBefore w:val="0"/>
        <w:widowControl w:val="0"/>
        <w:wordWrap/>
        <w:overflowPunct/>
        <w:topLinePunct w:val="0"/>
        <w:bidi w:val="0"/>
        <w:spacing w:line="283" w:lineRule="auto"/>
        <w:rPr>
          <w:color w:val="auto"/>
          <w:highlight w:val="none"/>
          <w:lang w:eastAsia="zh-CN"/>
        </w:rPr>
      </w:pPr>
    </w:p>
    <w:p w14:paraId="292D935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3CE9AE">
                          <w:pPr>
                            <w:pStyle w:val="4"/>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563CE9AE">
                    <w:pPr>
                      <w:pStyle w:val="4"/>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E403DD"/>
    <w:rsid w:val="27E403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Plain Text"/>
    <w:basedOn w:val="1"/>
    <w:qFormat/>
    <w:uiPriority w:val="0"/>
    <w:rPr>
      <w:rFonts w:ascii="宋体" w:hAnsi="Courier New"/>
      <w:kern w:val="0"/>
      <w:sz w:val="20"/>
      <w:szCs w:val="21"/>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character" w:customStyle="1" w:styleId="9">
    <w:name w:val="font112"/>
    <w:basedOn w:val="6"/>
    <w:qFormat/>
    <w:uiPriority w:val="0"/>
    <w:rPr>
      <w:rFonts w:ascii="宋体" w:hAnsi="宋体" w:eastAsia="宋体" w:cs="宋体"/>
      <w:b/>
      <w:bCs/>
      <w:color w:val="000000"/>
      <w:sz w:val="24"/>
      <w:szCs w:val="24"/>
      <w:u w:val="none"/>
    </w:rPr>
  </w:style>
  <w:style w:type="character" w:customStyle="1" w:styleId="10">
    <w:name w:val="font91"/>
    <w:basedOn w:val="6"/>
    <w:qFormat/>
    <w:uiPriority w:val="0"/>
    <w:rPr>
      <w:rFonts w:ascii="宋体" w:hAnsi="宋体" w:eastAsia="宋体" w:cs="宋体"/>
      <w:color w:val="000000"/>
      <w:sz w:val="24"/>
      <w:szCs w:val="24"/>
      <w:u w:val="none"/>
    </w:rPr>
  </w:style>
  <w:style w:type="character" w:customStyle="1" w:styleId="11">
    <w:name w:val="font71"/>
    <w:basedOn w:val="6"/>
    <w:qFormat/>
    <w:uiPriority w:val="0"/>
    <w:rPr>
      <w:rFonts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2026-05-12T06:23:00Z</dcterms:created>
  <dc:creator>Administrator</dc:creator>
  <cp:lastModifiedBy>Administrator</cp:lastModifiedBy>
  <dcterms:modified xsi:type="dcterms:W3CDTF">2026-05-12T06:30:10Z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EA7CB6B089FB481FA2300A45996891C0_11</vt:lpwstr>
  </property>
  <property fmtid="{D5CDD505-2E9C-101B-9397-08002B2CF9AE}" pid="4" name="KSOTemplateDocerSaveRecord">
    <vt:lpwstr>eyJoZGlkIjoiMjY4YTVhY2Y5MGU2ODY0ZmMwNTA5ZTllNDg2Mjk1YmMiLCJ1c2VySWQiOiI5NDM5ODY5MzIifQ==</vt:lpwstr>
  </property>
</Properties>
</file>