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pPr>
        <w:pageBreakBefore w:val="0"/>
        <w:widowControl w:val="0"/>
        <w:wordWrap/>
        <w:overflowPunct/>
        <w:topLinePunct w:val="0"/>
        <w:bidi w:val="0"/>
        <w:spacing w:line="309" w:lineRule="auto"/>
        <w:jc w:val="center"/>
        <w:rPr>
          <w:color w:val="auto"/>
          <w:highlight w:val="none"/>
          <w:lang w:eastAsia="zh-CN"/>
        </w:rPr>
      </w:pPr>
    </w:p>
    <w:p>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pPr>
        <w:pageBreakBefore w:val="0"/>
        <w:widowControl w:val="0"/>
        <w:wordWrap/>
        <w:overflowPunct/>
        <w:topLinePunct w:val="0"/>
        <w:bidi w:val="0"/>
        <w:spacing w:before="64"/>
        <w:rPr>
          <w:color w:val="auto"/>
          <w:highlight w:val="none"/>
        </w:rPr>
      </w:pPr>
    </w:p>
    <w:tbl>
      <w:tblPr>
        <w:tblStyle w:val="6"/>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2048"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82816"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pPr>
              <w:pStyle w:val="7"/>
              <w:pageBreakBefore w:val="0"/>
              <w:widowControl w:val="0"/>
              <w:wordWrap/>
              <w:overflowPunct/>
              <w:topLinePunct w:val="0"/>
              <w:bidi w:val="0"/>
              <w:spacing w:line="245" w:lineRule="auto"/>
              <w:rPr>
                <w:color w:val="auto"/>
                <w:highlight w:val="none"/>
              </w:rPr>
            </w:pPr>
          </w:p>
          <w:p>
            <w:pPr>
              <w:pStyle w:val="7"/>
              <w:pageBreakBefore w:val="0"/>
              <w:widowControl w:val="0"/>
              <w:wordWrap/>
              <w:overflowPunct/>
              <w:topLinePunct w:val="0"/>
              <w:bidi w:val="0"/>
              <w:spacing w:line="246" w:lineRule="auto"/>
              <w:rPr>
                <w:color w:val="auto"/>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pPr>
              <w:pStyle w:val="7"/>
              <w:pageBreakBefore w:val="0"/>
              <w:widowControl w:val="0"/>
              <w:wordWrap/>
              <w:overflowPunct/>
              <w:topLinePunct w:val="0"/>
              <w:bidi w:val="0"/>
              <w:spacing w:line="338" w:lineRule="auto"/>
              <w:rPr>
                <w:color w:val="auto"/>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pPr>
              <w:pStyle w:val="7"/>
              <w:pageBreakBefore w:val="0"/>
              <w:widowControl w:val="0"/>
              <w:wordWrap/>
              <w:overflowPunct/>
              <w:topLinePunct w:val="0"/>
              <w:bidi w:val="0"/>
              <w:spacing w:line="263" w:lineRule="auto"/>
              <w:rPr>
                <w:color w:val="auto"/>
                <w:highlight w:val="none"/>
              </w:rPr>
            </w:pPr>
          </w:p>
          <w:p>
            <w:pPr>
              <w:pStyle w:val="7"/>
              <w:pageBreakBefore w:val="0"/>
              <w:widowControl w:val="0"/>
              <w:wordWrap/>
              <w:overflowPunct/>
              <w:topLinePunct w:val="0"/>
              <w:bidi w:val="0"/>
              <w:spacing w:line="263" w:lineRule="auto"/>
              <w:rPr>
                <w:color w:val="auto"/>
                <w:highlight w:val="none"/>
              </w:rPr>
            </w:pPr>
          </w:p>
          <w:p>
            <w:pPr>
              <w:pStyle w:val="7"/>
              <w:pageBreakBefore w:val="0"/>
              <w:widowControl w:val="0"/>
              <w:wordWrap/>
              <w:overflowPunct/>
              <w:topLinePunct w:val="0"/>
              <w:bidi w:val="0"/>
              <w:spacing w:line="264" w:lineRule="auto"/>
              <w:rPr>
                <w:color w:val="auto"/>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pPr>
              <w:pStyle w:val="7"/>
              <w:pageBreakBefore w:val="0"/>
              <w:widowControl w:val="0"/>
              <w:wordWrap/>
              <w:overflowPunct/>
              <w:topLinePunct w:val="0"/>
              <w:bidi w:val="0"/>
            </w:pPr>
          </w:p>
          <w:p>
            <w:pPr>
              <w:bidi w:val="0"/>
            </w:pPr>
          </w:p>
          <w:p>
            <w:pPr>
              <w:bidi w:val="0"/>
            </w:pPr>
          </w:p>
          <w:p>
            <w:pPr>
              <w:bidi w:val="0"/>
            </w:pPr>
          </w:p>
          <w:p>
            <w:pPr>
              <w:bidi w:val="0"/>
              <w:jc w:val="center"/>
            </w:pPr>
            <w:r>
              <w:rPr>
                <w:rFonts w:hint="eastAsia" w:ascii="宋体" w:hAnsi="宋体" w:eastAsia="宋体" w:cs="宋体"/>
                <w:snapToGrid w:val="0"/>
                <w:color w:val="auto"/>
                <w:spacing w:val="-1"/>
                <w:position w:val="17"/>
                <w:sz w:val="24"/>
                <w:szCs w:val="24"/>
                <w:highlight w:val="none"/>
                <w:lang w:val="en-US" w:eastAsia="zh-CN" w:bidi="ar-SA"/>
              </w:rPr>
              <w:t>2026年度环保管家服务采购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pPr>
              <w:pStyle w:val="7"/>
              <w:pageBreakBefore w:val="0"/>
              <w:widowControl w:val="0"/>
              <w:wordWrap/>
              <w:overflowPunct/>
              <w:topLinePunct w:val="0"/>
              <w:bidi w:val="0"/>
              <w:ind w:firstLine="2856" w:firstLineChars="1200"/>
              <w:jc w:val="both"/>
              <w:rPr>
                <w:rFonts w:hint="default" w:eastAsia="宋体"/>
                <w:color w:val="auto"/>
                <w:highlight w:val="none"/>
                <w:lang w:val="en-US" w:eastAsia="zh-CN"/>
              </w:rPr>
            </w:pPr>
            <w:r>
              <w:rPr>
                <w:rFonts w:hint="eastAsia" w:ascii="宋体" w:hAnsi="宋体" w:eastAsia="宋体" w:cs="宋体"/>
                <w:color w:val="auto"/>
                <w:spacing w:val="-1"/>
                <w:position w:val="17"/>
                <w:sz w:val="24"/>
                <w:szCs w:val="24"/>
                <w:highlight w:val="none"/>
                <w:lang w:val="en-US" w:eastAsia="zh-CN"/>
              </w:rPr>
              <w:t>1项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pPr>
              <w:pStyle w:val="7"/>
              <w:pageBreakBefore w:val="0"/>
              <w:widowControl w:val="0"/>
              <w:wordWrap/>
              <w:overflowPunct/>
              <w:topLinePunct w:val="0"/>
              <w:bidi w:val="0"/>
              <w:jc w:val="center"/>
              <w:rPr>
                <w:color w:val="auto"/>
                <w:highlight w:val="none"/>
              </w:rPr>
            </w:pPr>
            <w:r>
              <w:rPr>
                <w:rFonts w:hint="eastAsia" w:ascii="宋体" w:hAnsi="宋体" w:eastAsia="宋体" w:cs="宋体"/>
                <w:color w:val="auto"/>
                <w:spacing w:val="-1"/>
                <w:position w:val="17"/>
                <w:sz w:val="24"/>
                <w:szCs w:val="24"/>
                <w:highlight w:val="none"/>
                <w:lang w:val="en-US" w:eastAsia="zh-CN"/>
              </w:rPr>
              <w:t>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pPr>
              <w:pStyle w:val="7"/>
              <w:pageBreakBefore w:val="0"/>
              <w:widowControl w:val="0"/>
              <w:wordWrap/>
              <w:overflowPunct/>
              <w:topLinePunct w:val="0"/>
              <w:bidi w:val="0"/>
              <w:jc w:val="center"/>
              <w:rPr>
                <w:color w:val="auto"/>
                <w:highlight w:val="none"/>
              </w:rPr>
            </w:pPr>
            <w:r>
              <w:rPr>
                <w:rFonts w:hint="eastAsia" w:ascii="宋体" w:hAnsi="宋体" w:eastAsia="宋体" w:cs="宋体"/>
                <w:color w:val="auto"/>
                <w:spacing w:val="-1"/>
                <w:position w:val="17"/>
                <w:sz w:val="24"/>
                <w:szCs w:val="24"/>
                <w:highlight w:val="none"/>
                <w:lang w:val="en-US" w:eastAsia="zh-CN"/>
              </w:rPr>
              <w:t>遂川县工业园区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9" w:hRule="atLeast"/>
        </w:trPr>
        <w:tc>
          <w:tcPr>
            <w:tcW w:w="2865" w:type="dxa"/>
            <w:gridSpan w:val="2"/>
          </w:tcPr>
          <w:p>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pPr>
              <w:pStyle w:val="7"/>
              <w:pageBreakBefore w:val="0"/>
              <w:widowControl w:val="0"/>
              <w:wordWrap/>
              <w:overflowPunct/>
              <w:topLinePunct w:val="0"/>
              <w:bidi w:val="0"/>
              <w:jc w:val="center"/>
              <w:rPr>
                <w:rFonts w:hint="eastAsia" w:eastAsia="宋体"/>
                <w:color w:val="auto"/>
                <w:highlight w:val="none"/>
                <w:lang w:val="en-US" w:eastAsia="zh-CN"/>
              </w:rPr>
            </w:pPr>
            <w:r>
              <w:rPr>
                <w:rFonts w:hint="eastAsia" w:eastAsia="宋体"/>
                <w:color w:val="auto"/>
                <w:highlight w:val="none"/>
                <w:lang w:val="en-US" w:eastAsia="zh-CN"/>
              </w:rPr>
              <w:t>/</w:t>
            </w:r>
          </w:p>
        </w:tc>
      </w:tr>
    </w:tbl>
    <w:p>
      <w:pPr>
        <w:pageBreakBefore w:val="0"/>
        <w:widowControl w:val="0"/>
        <w:wordWrap/>
        <w:overflowPunct/>
        <w:topLinePunct w:val="0"/>
        <w:bidi w:val="0"/>
        <w:rPr>
          <w:color w:val="auto"/>
          <w:highlight w:val="none"/>
        </w:rPr>
      </w:pPr>
    </w:p>
    <w:p>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技术要求</w:t>
      </w:r>
    </w:p>
    <w:p>
      <w:pPr>
        <w:pageBreakBefore w:val="0"/>
        <w:widowControl w:val="0"/>
        <w:wordWrap/>
        <w:overflowPunct/>
        <w:topLinePunct w:val="0"/>
        <w:bidi w:val="0"/>
        <w:spacing w:line="257" w:lineRule="auto"/>
        <w:rPr>
          <w:color w:val="auto"/>
          <w:highlight w:val="none"/>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（一）环保技术服务范围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按《中华人民共和国环境保护法》《中华人民共和国水污染防治法》《中华人民共和国噪声污染防治法》等有关法律，行政法规和国家、行业及地方标准规章，各级有关部门规范性文件等要求组织专家成员对江西遂川高新技术产业园区管理委员会所属辖区范围内的企业（含在建企业项目、投产企业等）、 租赁厂房生产企业等进行环保隐患检查，并提供环境诊断服务及整改方向、治理措施的意见建议。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（二）服务内容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1.总体要求：</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按《中华人民共和国环境保护法》等相关法律、行政法规和国家、行业及地方标准规章制度，各级有关部门规范性文件等要求，组织“环保管家”根据“全覆盖、重实效、可操作”的工作原则，对辖区企业开展全面的“体检式”排查巡检，并对症下药，指导整改；包括环境管理、环境治理、环境应急等方面的排查、监测、溯源、整治、协助巡查与督查、提出合理化建议等工作。</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服务范围：江西遂川高新技术产业园区。</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1.1园区环保排查摸底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园区所有企业环保排查摸底（前期已摸底，需更新最新情况）对整个区域内所有企业进行巡查及诊断，重点关注企业在环保政策、生产工艺、产污环节、环保设施建设及运行情况等方面存在的环境问题和环境风险隐患，对区域内企业环保管理提出切实可行的指导性意见，形成最终完整的书面排查报告及初步治理方案(书面排查报告需经公司审核盖章后提交至园区管委会)。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1.2园区环保问题统计分析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对园区及企业环保方面存在的共性问题和突出问题做分类整理，按照一企一档建立台账，并提出解决方案，形成园区整体的排查报告。在原有档案资料基础上，更新完善所有企业环保管理档案库（“一企一档”）更新完善纸质版与电子台账版“一企一档”，并与江西遂川高新技术产业园区管理委员会共享资料。</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2.年度环保管家服务内容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2.1实地调查工业企业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以环境保护相关法律法规、技术要求为依据，根据工业企业建设项目内容与完善环保手续所需的审批时间长短，将工业企业分类开展工作。每年根据企业实际情况对落户企业进行不少于三次的复查，针对一类企业及重点排污企业进行不少于四次现场检查，并提供政策及技术指导，协助其完善环保手续和规范现场，并向区管委会提供现场排查情况报告，具体为：</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a.指导、协助企业申报建设项目环境影响报告书/报告表审批或登记表备案；</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b.指导、协助企业按环评要求建设污染物防治设施，达到预期治理效果；</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c.指导、协助企业申请污染物排放许可证；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d.指导、协助企业开展建设项目竣工环境保护验收工作；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e.协助完成高新区管委会及企业提出的其他环保问题。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2.2日常巡查、夜查及迎检、配合环保督查工作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配合环保督察工作参与园区和生态环境部门的日常化巡查、排查和迎检等有关工作；配合协助上级环保督察工作的信访件和反馈问题回复和整改等工作。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2.3协助环保事故应急处理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协助主管部门及企业进行污染事故、环境事件的应急处理，并对污染事故、事件的损害进行评估，提出处理方案并协助落实事故处理。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2.4对园区进行环保巡查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根据雨水总排口、污水排放进水、出水水质超标情况进行排查，排查超标存在的问题，通过实地翻看检查、取样等手段，形成调查报告，确定超标排放企业和超标原因。开展日查和夜查双轨方式对园区水、气、声、渣进行排查，检查出园区存在的环保问题，并形成检查记录和初步整改治理方案。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2.5 开展环境检测</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根据园区要求每月对重点排污单位废水总排口、入河排污口进行检测，必要时提供CMA检测报告。</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2.6提供环保方面业务培训 </w:t>
      </w:r>
    </w:p>
    <w:p>
      <w:pPr>
        <w:pageBreakBefore w:val="0"/>
        <w:widowControl w:val="0"/>
        <w:wordWrap/>
        <w:overflowPunct/>
        <w:topLinePunct w:val="0"/>
        <w:bidi w:val="0"/>
        <w:spacing w:before="183" w:line="360" w:lineRule="auto"/>
        <w:ind w:right="10"/>
        <w:jc w:val="both"/>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每季度对企业及相关工作人员进行一次多形式开展环保专业知识、技术和环保政策培训、业务能力专项培训。</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（三）团队服务需求 </w:t>
      </w:r>
    </w:p>
    <w:p>
      <w:pPr>
        <w:pageBreakBefore w:val="0"/>
        <w:widowControl w:val="0"/>
        <w:wordWrap/>
        <w:overflowPunct/>
        <w:topLinePunct w:val="0"/>
        <w:bidi w:val="0"/>
        <w:spacing w:before="183" w:line="360" w:lineRule="auto"/>
        <w:ind w:right="10"/>
        <w:jc w:val="both"/>
        <w:rPr>
          <w:rFonts w:hint="eastAsia" w:ascii="宋体" w:hAnsi="宋体" w:eastAsia="宋体" w:cs="宋体"/>
          <w:color w:val="000000"/>
          <w:kern w:val="0"/>
          <w:sz w:val="24"/>
          <w:szCs w:val="24"/>
          <w:lang w:val="en-US" w:eastAsia="zh-CN" w:bidi="ar"/>
        </w:rPr>
      </w:pPr>
      <w:r>
        <w:rPr>
          <w:rFonts w:hint="eastAsia" w:ascii="宋体" w:hAnsi="宋体" w:eastAsia="宋体" w:cs="宋体"/>
          <w:color w:val="auto"/>
          <w:spacing w:val="-1"/>
          <w:position w:val="17"/>
          <w:sz w:val="24"/>
          <w:szCs w:val="24"/>
          <w:highlight w:val="none"/>
          <w:lang w:val="en-US" w:eastAsia="zh-CN"/>
        </w:rPr>
        <w:t>项目驻场服务团队：安排至少2名具有环保相关专业人员在服务期内常驻园区工作，配套至少1台车辆；配备相应环保检测装备，包括但不限于采样器、常规因子及重金属快检包、管网排查设备等。</w:t>
      </w:r>
      <w:r>
        <w:rPr>
          <w:rFonts w:hint="eastAsia" w:ascii="宋体" w:hAnsi="宋体" w:eastAsia="宋体" w:cs="宋体"/>
          <w:color w:val="000000"/>
          <w:kern w:val="0"/>
          <w:sz w:val="24"/>
          <w:szCs w:val="24"/>
          <w:lang w:val="en-US" w:eastAsia="zh-CN" w:bidi="ar"/>
        </w:rPr>
        <w:t xml:space="preserve"> </w:t>
      </w:r>
    </w:p>
    <w:p>
      <w:pPr>
        <w:pageBreakBefore w:val="0"/>
        <w:widowControl w:val="0"/>
        <w:wordWrap/>
        <w:overflowPunct/>
        <w:topLinePunct w:val="0"/>
        <w:bidi w:val="0"/>
        <w:spacing w:before="78" w:line="219" w:lineRule="auto"/>
        <w:rPr>
          <w:rFonts w:hint="eastAsia" w:ascii="宋体" w:hAnsi="宋体" w:eastAsia="宋体" w:cs="宋体"/>
          <w:color w:val="000000"/>
          <w:kern w:val="0"/>
          <w:sz w:val="24"/>
          <w:szCs w:val="24"/>
          <w:lang w:val="en-US" w:eastAsia="zh-CN" w:bidi="ar"/>
        </w:rPr>
      </w:pPr>
    </w:p>
    <w:p>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val="en-US" w:eastAsia="zh-CN"/>
        </w:rPr>
        <w:t>三、</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pPr>
        <w:pageBreakBefore w:val="0"/>
        <w:widowControl w:val="0"/>
        <w:wordWrap/>
        <w:overflowPunct/>
        <w:topLinePunct w:val="0"/>
        <w:bidi w:val="0"/>
        <w:spacing w:line="249" w:lineRule="auto"/>
        <w:rPr>
          <w:color w:val="auto"/>
          <w:highlight w:val="none"/>
          <w:lang w:eastAsia="zh-CN"/>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1、采购合同的签订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（1）中标供应商应按《中标通知书》指定的时间、地点与采购人签订合同。招标文件、中标供应商的响应文件及书面澄清文件等，均为签订合同的依据。</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（2）中标结果公示期满后3天内中标供应商领取《中标通知书》并</w:t>
      </w:r>
      <w:r>
        <w:rPr>
          <w:rFonts w:hint="eastAsia" w:ascii="宋体" w:hAnsi="宋体" w:eastAsia="宋体" w:cs="宋体"/>
          <w:color w:val="auto"/>
          <w:spacing w:val="-1"/>
          <w:position w:val="17"/>
          <w:sz w:val="24"/>
          <w:szCs w:val="24"/>
          <w:highlight w:val="none"/>
          <w:lang w:val="en-US" w:eastAsia="zh-CN"/>
        </w:rPr>
        <w:t>在规定时间内</w:t>
      </w:r>
      <w:r>
        <w:rPr>
          <w:rFonts w:hint="eastAsia" w:ascii="宋体" w:hAnsi="宋体" w:eastAsia="宋体" w:cs="宋体"/>
          <w:color w:val="auto"/>
          <w:spacing w:val="-1"/>
          <w:position w:val="17"/>
          <w:sz w:val="24"/>
          <w:szCs w:val="24"/>
          <w:highlight w:val="none"/>
          <w:lang w:eastAsia="zh-CN"/>
        </w:rPr>
        <w:t>与采购人签订采购合同，如未在规定的时间内签订采购合同，采购人有权取消其中标资格并没收其投标保证金，采购单位管理部门有权按“无正当理由放弃成交”对成交供应商进行处理。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（3）采购合同的签订：采购合同由中标供应商与采购人签订。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w:t>
      </w:r>
      <w:r>
        <w:rPr>
          <w:rFonts w:hint="eastAsia" w:ascii="宋体" w:hAnsi="宋体" w:eastAsia="宋体" w:cs="宋体"/>
          <w:color w:val="auto"/>
          <w:spacing w:val="-1"/>
          <w:position w:val="17"/>
          <w:sz w:val="24"/>
          <w:szCs w:val="24"/>
          <w:highlight w:val="none"/>
          <w:lang w:val="en-US" w:eastAsia="zh-CN"/>
        </w:rPr>
        <w:t>合同工期：1年。</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3、付款方式</w:t>
      </w:r>
      <w:r>
        <w:rPr>
          <w:rFonts w:hint="eastAsia" w:ascii="宋体" w:hAnsi="宋体" w:eastAsia="宋体" w:cs="宋体"/>
          <w:color w:val="auto"/>
          <w:spacing w:val="-1"/>
          <w:position w:val="17"/>
          <w:sz w:val="24"/>
          <w:szCs w:val="24"/>
          <w:highlight w:val="none"/>
          <w:lang w:val="en-US" w:eastAsia="zh-CN"/>
        </w:rPr>
        <w:t>：</w:t>
      </w:r>
      <w:r>
        <w:rPr>
          <w:rFonts w:hint="eastAsia" w:ascii="宋体" w:hAnsi="宋体" w:eastAsia="宋体" w:cs="宋体"/>
          <w:color w:val="auto"/>
          <w:spacing w:val="-1"/>
          <w:position w:val="17"/>
          <w:sz w:val="24"/>
          <w:szCs w:val="24"/>
          <w:highlight w:val="none"/>
          <w:lang w:eastAsia="zh-CN"/>
        </w:rPr>
        <w:t>服务费用按季度平均分四次支付，服务每满三个月，经考核验收后支付，乙方开具同等金额的增值税专用发票（税率为1%）后付款（不计息）。最后一次请款，须完成本合同全部服务内容，经甲方验收考核通过后才能支付。</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4</w:t>
      </w:r>
      <w:r>
        <w:rPr>
          <w:rFonts w:hint="eastAsia" w:ascii="宋体" w:hAnsi="宋体" w:eastAsia="宋体" w:cs="宋体"/>
          <w:color w:val="auto"/>
          <w:spacing w:val="-1"/>
          <w:position w:val="17"/>
          <w:sz w:val="24"/>
          <w:szCs w:val="24"/>
          <w:highlight w:val="none"/>
          <w:lang w:eastAsia="zh-CN"/>
        </w:rPr>
        <w:t>、</w:t>
      </w:r>
      <w:bookmarkStart w:id="1" w:name="OLE_LINK31"/>
      <w:r>
        <w:rPr>
          <w:rFonts w:hint="eastAsia" w:ascii="宋体" w:hAnsi="宋体" w:eastAsia="宋体" w:cs="宋体"/>
          <w:color w:val="auto"/>
          <w:spacing w:val="-1"/>
          <w:position w:val="17"/>
          <w:sz w:val="24"/>
          <w:szCs w:val="24"/>
          <w:highlight w:val="none"/>
          <w:lang w:eastAsia="zh-CN"/>
        </w:rPr>
        <w:t>履约保证金：本项目履约保证金为中标价的5%，履约保证金可采用银行转账或银行保函方式提交，</w:t>
      </w:r>
      <w:r>
        <w:rPr>
          <w:rFonts w:hint="eastAsia" w:ascii="宋体" w:hAnsi="宋体" w:eastAsia="宋体" w:cs="宋体"/>
          <w:color w:val="auto"/>
          <w:spacing w:val="-1"/>
          <w:position w:val="17"/>
          <w:sz w:val="24"/>
          <w:szCs w:val="24"/>
          <w:highlight w:val="none"/>
          <w:lang w:val="zh-CN" w:eastAsia="zh-CN"/>
        </w:rPr>
        <w:t>有效期须与本项目履行期相同或更长，否则视为无效。</w:t>
      </w:r>
      <w:r>
        <w:rPr>
          <w:rFonts w:hint="eastAsia" w:ascii="宋体" w:hAnsi="宋体" w:eastAsia="宋体" w:cs="宋体"/>
          <w:color w:val="auto"/>
          <w:spacing w:val="-1"/>
          <w:position w:val="17"/>
          <w:sz w:val="24"/>
          <w:szCs w:val="24"/>
          <w:highlight w:val="none"/>
          <w:lang w:eastAsia="zh-CN"/>
        </w:rPr>
        <w:t>（采购合同签订前提交到采购人指定账户）履约保证金在履约期满后10天内一次性无息退还。</w:t>
      </w:r>
      <w:bookmarkEnd w:id="1"/>
    </w:p>
    <w:p>
      <w:pPr>
        <w:pageBreakBefore w:val="0"/>
        <w:widowControl w:val="0"/>
        <w:wordWrap/>
        <w:overflowPunct/>
        <w:topLinePunct w:val="0"/>
        <w:bidi w:val="0"/>
        <w:spacing w:before="183" w:line="360" w:lineRule="auto"/>
        <w:ind w:right="10"/>
        <w:jc w:val="both"/>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5.履约验收：服务商完成成果报告后，采购人组织对成果文件验收。服务商应严格按采购人指定地点、时间、标准完成服务项目，并保证所有的服务质量达到国家规定的标准。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(1)在规定时间保质保量完成采购人交给的任务。</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(2)严格遵守采购人的所有的规定、制度，不给采购人造成经济和信誉的损失。</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(3)项目的执行能够达到采购人所要求的预期目标。</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6、保密要求：成交服务商在项目实施过程中，对采购人所提供的所有相关资料、</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数据，未经采购人书面同意不得向任何第三人泄露，且保密责任不因合同的终止或解除而失效。如采购人提出要求，成交服务商须无条件与采购人签定保密协议。项目完成后，成交服务商须把采购人提供的所有资料、数据完整归还采购人，并不得留存任</w:t>
      </w:r>
      <w:bookmarkStart w:id="2" w:name="_GoBack"/>
      <w:bookmarkEnd w:id="2"/>
      <w:r>
        <w:rPr>
          <w:rFonts w:hint="eastAsia" w:ascii="宋体" w:hAnsi="宋体" w:eastAsia="宋体" w:cs="宋体"/>
          <w:color w:val="auto"/>
          <w:spacing w:val="-1"/>
          <w:position w:val="17"/>
          <w:sz w:val="24"/>
          <w:szCs w:val="24"/>
          <w:highlight w:val="none"/>
          <w:lang w:val="en-US" w:eastAsia="zh-CN"/>
        </w:rPr>
        <w:t>何复制品。</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7、采购人不组织现场考察踏勘。投标人自行安排时间进行实地考察，以获得由响应服务商自己负责的有关编制投标文件和签署合同的所有信息，一旦中标这种考察即被认为其结果已在投标文件中的充分反映。考察现场的费用由投标人自行承担；</w:t>
      </w:r>
    </w:p>
    <w:p>
      <w:r>
        <w:rPr>
          <w:rFonts w:hint="eastAsia" w:ascii="宋体" w:hAnsi="宋体" w:eastAsia="宋体" w:cs="宋体"/>
          <w:color w:val="auto"/>
          <w:spacing w:val="-1"/>
          <w:position w:val="17"/>
          <w:sz w:val="24"/>
          <w:szCs w:val="24"/>
          <w:highlight w:val="none"/>
          <w:lang w:val="en-US" w:eastAsia="zh-CN"/>
        </w:rPr>
        <w:t>8、未尽事宜，以签订合同为准。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4IK8VAgAAFwQAAA4AAABkcnMvZTJvRG9jLnhtbK1Ty47TMBTdI/EP&#10;lvc0aYFRVT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Md4IK8VAgAAFwQAAA4AAAAAAAAA&#10;AQAgAAAAHwEAAGRycy9lMm9Eb2MueG1sUEsFBgAAAAAGAAYAWQEAAKY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AB041C"/>
    <w:rsid w:val="09AB04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customStyle="1" w:styleId="2">
    <w:name w:val="Default"/>
    <w:next w:val="1"/>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Layout w:type="fixed"/>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2026-05-12T03:33:00Z</dcterms:created>
  <dc:creator>Administrator</dc:creator>
  <cp:lastModifiedBy>Administrator</cp:lastModifiedBy>
  <dcterms:modified xsi:type="dcterms:W3CDTF">2026-05-12T03:33:54Z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