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pPr>
        <w:pageBreakBefore w:val="0"/>
        <w:widowControl w:val="0"/>
        <w:wordWrap/>
        <w:overflowPunct/>
        <w:topLinePunct w:val="0"/>
        <w:bidi w:val="0"/>
        <w:spacing w:line="309" w:lineRule="auto"/>
        <w:jc w:val="center"/>
        <w:rPr>
          <w:color w:val="auto"/>
          <w:highlight w:val="none"/>
          <w:lang w:eastAsia="zh-CN"/>
        </w:rPr>
      </w:pPr>
    </w:p>
    <w:p>
      <w:pPr>
        <w:pageBreakBefore w:val="0"/>
        <w:widowControl w:val="0"/>
        <w:wordWrap/>
        <w:overflowPunct/>
        <w:topLinePunct w:val="0"/>
        <w:bidi w:val="0"/>
        <w:spacing w:before="78" w:line="220" w:lineRule="auto"/>
        <w:jc w:val="both"/>
        <w:outlineLvl w:val="1"/>
        <w:rPr>
          <w:rFonts w:ascii="宋体" w:hAnsi="宋体" w:eastAsia="宋体" w:cs="宋体"/>
          <w:color w:val="auto"/>
          <w:sz w:val="24"/>
          <w:szCs w:val="24"/>
          <w:highlight w:val="none"/>
        </w:rPr>
      </w:pP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需求表</w:t>
      </w:r>
    </w:p>
    <w:p>
      <w:pPr>
        <w:pageBreakBefore w:val="0"/>
        <w:widowControl w:val="0"/>
        <w:wordWrap/>
        <w:overflowPunct/>
        <w:topLinePunct w:val="0"/>
        <w:bidi w:val="0"/>
        <w:spacing w:before="64"/>
        <w:rPr>
          <w:color w:val="auto"/>
          <w:highlight w:val="none"/>
        </w:rPr>
      </w:pPr>
    </w:p>
    <w:tbl>
      <w:tblPr>
        <w:tblStyle w:val="7"/>
        <w:tblW w:w="9015" w:type="dxa"/>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2292" w:hRule="atLeast"/>
        </w:trPr>
        <w:tc>
          <w:tcPr>
            <w:tcW w:w="2048" w:type="dxa"/>
            <w:tcBorders>
              <w:right w:val="nil"/>
            </w:tcBorders>
          </w:tcPr>
          <w:p>
            <w:pPr>
              <w:pageBreakBefore w:val="0"/>
              <w:widowControl w:val="0"/>
              <w:wordWrap/>
              <w:overflowPunct/>
              <w:topLinePunct w:val="0"/>
              <w:bidi w:val="0"/>
              <w:spacing w:before="183" w:line="223" w:lineRule="auto"/>
              <w:ind w:left="1091"/>
              <w:rPr>
                <w:rFonts w:ascii="宋体" w:hAnsi="宋体" w:eastAsia="宋体" w:cs="宋体"/>
                <w:color w:val="auto"/>
                <w:sz w:val="24"/>
                <w:szCs w:val="24"/>
                <w:highlight w:val="none"/>
              </w:rPr>
            </w:pPr>
            <w:bookmarkStart w:id="3" w:name="_GoBack"/>
            <w:r>
              <w:rPr>
                <w:color w:val="auto"/>
                <w:highlight w:val="none"/>
              </w:rPr>
              <w:drawing>
                <wp:anchor distT="0" distB="0" distL="0" distR="0" simplePos="0" relativeHeight="251682816"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bookmarkEnd w:id="3"/>
            <w:r>
              <w:rPr>
                <w:rFonts w:ascii="宋体" w:hAnsi="宋体" w:eastAsia="宋体" w:cs="宋体"/>
                <w:color w:val="auto"/>
                <w:sz w:val="24"/>
                <w:szCs w:val="24"/>
                <w:highlight w:val="none"/>
              </w:rPr>
              <w:t>名</w:t>
            </w:r>
          </w:p>
          <w:p>
            <w:pPr>
              <w:pStyle w:val="8"/>
              <w:pageBreakBefore w:val="0"/>
              <w:widowControl w:val="0"/>
              <w:wordWrap/>
              <w:overflowPunct/>
              <w:topLinePunct w:val="0"/>
              <w:bidi w:val="0"/>
              <w:spacing w:line="245" w:lineRule="auto"/>
              <w:rPr>
                <w:color w:val="auto"/>
                <w:highlight w:val="none"/>
              </w:rPr>
            </w:pPr>
          </w:p>
          <w:p>
            <w:pPr>
              <w:pStyle w:val="8"/>
              <w:pageBreakBefore w:val="0"/>
              <w:widowControl w:val="0"/>
              <w:wordWrap/>
              <w:overflowPunct/>
              <w:topLinePunct w:val="0"/>
              <w:bidi w:val="0"/>
              <w:spacing w:line="246" w:lineRule="auto"/>
              <w:rPr>
                <w:color w:val="auto"/>
                <w:highlight w:val="none"/>
              </w:rPr>
            </w:pPr>
          </w:p>
          <w:p>
            <w:pPr>
              <w:pageBreakBefore w:val="0"/>
              <w:widowControl w:val="0"/>
              <w:wordWrap/>
              <w:overflowPunct/>
              <w:topLinePunct w:val="0"/>
              <w:bidi w:val="0"/>
              <w:spacing w:before="78" w:line="219" w:lineRule="auto"/>
              <w:ind w:left="481"/>
              <w:rPr>
                <w:rFonts w:ascii="宋体" w:hAnsi="宋体" w:eastAsia="宋体" w:cs="宋体"/>
                <w:color w:val="auto"/>
                <w:sz w:val="24"/>
                <w:szCs w:val="24"/>
                <w:highlight w:val="none"/>
              </w:rPr>
            </w:pPr>
            <w:r>
              <w:rPr>
                <w:rFonts w:ascii="宋体" w:hAnsi="宋体" w:eastAsia="宋体" w:cs="宋体"/>
                <w:color w:val="auto"/>
                <w:sz w:val="24"/>
                <w:szCs w:val="24"/>
                <w:highlight w:val="none"/>
              </w:rPr>
              <w:t>内</w:t>
            </w:r>
          </w:p>
          <w:p>
            <w:pPr>
              <w:pStyle w:val="8"/>
              <w:pageBreakBefore w:val="0"/>
              <w:widowControl w:val="0"/>
              <w:wordWrap/>
              <w:overflowPunct/>
              <w:topLinePunct w:val="0"/>
              <w:bidi w:val="0"/>
              <w:spacing w:line="338" w:lineRule="auto"/>
              <w:rPr>
                <w:color w:val="auto"/>
                <w:highlight w:val="none"/>
              </w:rPr>
            </w:pPr>
          </w:p>
          <w:p>
            <w:pPr>
              <w:pageBreakBefore w:val="0"/>
              <w:widowControl w:val="0"/>
              <w:wordWrap/>
              <w:overflowPunct/>
              <w:topLinePunct w:val="0"/>
              <w:bidi w:val="0"/>
              <w:spacing w:before="78" w:line="220" w:lineRule="auto"/>
              <w:ind w:left="1311"/>
              <w:rPr>
                <w:rFonts w:ascii="宋体" w:hAnsi="宋体" w:eastAsia="宋体" w:cs="宋体"/>
                <w:color w:val="auto"/>
                <w:sz w:val="24"/>
                <w:szCs w:val="24"/>
                <w:highlight w:val="none"/>
              </w:rPr>
            </w:pPr>
            <w:r>
              <w:rPr>
                <w:rFonts w:ascii="宋体" w:hAnsi="宋体" w:eastAsia="宋体" w:cs="宋体"/>
                <w:color w:val="auto"/>
                <w:sz w:val="24"/>
                <w:szCs w:val="24"/>
                <w:highlight w:val="none"/>
              </w:rPr>
              <w:t>容</w:t>
            </w:r>
          </w:p>
        </w:tc>
        <w:tc>
          <w:tcPr>
            <w:tcW w:w="817" w:type="dxa"/>
            <w:tcBorders>
              <w:left w:val="nil"/>
            </w:tcBorders>
          </w:tcPr>
          <w:p>
            <w:pPr>
              <w:pStyle w:val="8"/>
              <w:pageBreakBefore w:val="0"/>
              <w:widowControl w:val="0"/>
              <w:wordWrap/>
              <w:overflowPunct/>
              <w:topLinePunct w:val="0"/>
              <w:bidi w:val="0"/>
              <w:spacing w:line="263" w:lineRule="auto"/>
              <w:rPr>
                <w:color w:val="auto"/>
                <w:highlight w:val="none"/>
              </w:rPr>
            </w:pPr>
          </w:p>
          <w:p>
            <w:pPr>
              <w:pStyle w:val="8"/>
              <w:pageBreakBefore w:val="0"/>
              <w:widowControl w:val="0"/>
              <w:wordWrap/>
              <w:overflowPunct/>
              <w:topLinePunct w:val="0"/>
              <w:bidi w:val="0"/>
              <w:spacing w:line="263" w:lineRule="auto"/>
              <w:rPr>
                <w:color w:val="auto"/>
                <w:highlight w:val="none"/>
              </w:rPr>
            </w:pPr>
          </w:p>
          <w:p>
            <w:pPr>
              <w:pStyle w:val="8"/>
              <w:pageBreakBefore w:val="0"/>
              <w:widowControl w:val="0"/>
              <w:wordWrap/>
              <w:overflowPunct/>
              <w:topLinePunct w:val="0"/>
              <w:bidi w:val="0"/>
              <w:spacing w:line="264" w:lineRule="auto"/>
              <w:rPr>
                <w:color w:val="auto"/>
                <w:highlight w:val="none"/>
              </w:rPr>
            </w:pPr>
          </w:p>
          <w:p>
            <w:pPr>
              <w:pageBreakBefore w:val="0"/>
              <w:widowControl w:val="0"/>
              <w:wordWrap/>
              <w:overflowPunct/>
              <w:topLinePunct w:val="0"/>
              <w:bidi w:val="0"/>
              <w:spacing w:before="78" w:line="221" w:lineRule="auto"/>
              <w:ind w:left="192"/>
              <w:rPr>
                <w:rFonts w:ascii="宋体" w:hAnsi="宋体" w:eastAsia="宋体" w:cs="宋体"/>
                <w:color w:val="auto"/>
                <w:sz w:val="24"/>
                <w:szCs w:val="24"/>
                <w:highlight w:val="none"/>
              </w:rPr>
            </w:pPr>
            <w:r>
              <w:rPr>
                <w:rFonts w:ascii="宋体" w:hAnsi="宋体" w:eastAsia="宋体" w:cs="宋体"/>
                <w:color w:val="auto"/>
                <w:sz w:val="24"/>
                <w:szCs w:val="24"/>
                <w:highlight w:val="none"/>
              </w:rPr>
              <w:t>称</w:t>
            </w:r>
          </w:p>
        </w:tc>
        <w:tc>
          <w:tcPr>
            <w:tcW w:w="6150" w:type="dxa"/>
          </w:tcPr>
          <w:p>
            <w:pPr>
              <w:pStyle w:val="8"/>
              <w:pageBreakBefore w:val="0"/>
              <w:widowControl w:val="0"/>
              <w:wordWrap/>
              <w:overflowPunct/>
              <w:topLinePunct w:val="0"/>
              <w:bidi w:val="0"/>
              <w:rPr>
                <w:highlight w:val="none"/>
              </w:rPr>
            </w:pPr>
          </w:p>
          <w:p>
            <w:pPr>
              <w:bidi w:val="0"/>
              <w:rPr>
                <w:highlight w:val="none"/>
              </w:rPr>
            </w:pPr>
          </w:p>
          <w:p>
            <w:pPr>
              <w:bidi w:val="0"/>
              <w:rPr>
                <w:highlight w:val="none"/>
              </w:rPr>
            </w:pPr>
          </w:p>
          <w:p>
            <w:pPr>
              <w:bidi w:val="0"/>
              <w:rPr>
                <w:highlight w:val="none"/>
              </w:rPr>
            </w:pPr>
          </w:p>
          <w:p>
            <w:pPr>
              <w:bidi w:val="0"/>
              <w:jc w:val="center"/>
              <w:rPr>
                <w:highlight w:val="none"/>
              </w:rPr>
            </w:pPr>
            <w:bookmarkStart w:id="0" w:name="OLE_LINK4"/>
            <w:r>
              <w:rPr>
                <w:rFonts w:hint="eastAsia" w:ascii="宋体" w:hAnsi="宋体" w:eastAsia="宋体" w:cs="宋体"/>
                <w:snapToGrid w:val="0"/>
                <w:color w:val="auto"/>
                <w:spacing w:val="-1"/>
                <w:position w:val="17"/>
                <w:sz w:val="24"/>
                <w:szCs w:val="24"/>
                <w:highlight w:val="none"/>
                <w:lang w:val="en-US" w:eastAsia="zh-CN" w:bidi="ar-SA"/>
              </w:rPr>
              <w:t>遂川县公安局1-4期天网线路费用采购项目</w:t>
            </w:r>
            <w:bookmarkEnd w:id="0"/>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65" w:type="dxa"/>
            <w:gridSpan w:val="2"/>
          </w:tcPr>
          <w:p>
            <w:pPr>
              <w:pageBreakBefore w:val="0"/>
              <w:widowControl w:val="0"/>
              <w:wordWrap/>
              <w:overflowPunct/>
              <w:topLinePunct w:val="0"/>
              <w:bidi w:val="0"/>
              <w:spacing w:before="253" w:line="219" w:lineRule="auto"/>
              <w:ind w:left="1188"/>
              <w:rPr>
                <w:rFonts w:ascii="宋体" w:hAnsi="宋体" w:eastAsia="宋体" w:cs="宋体"/>
                <w:color w:val="auto"/>
                <w:sz w:val="24"/>
                <w:szCs w:val="24"/>
                <w:highlight w:val="none"/>
              </w:rPr>
            </w:pPr>
            <w:r>
              <w:rPr>
                <w:rFonts w:ascii="宋体" w:hAnsi="宋体" w:eastAsia="宋体" w:cs="宋体"/>
                <w:color w:val="auto"/>
                <w:spacing w:val="-6"/>
                <w:sz w:val="24"/>
                <w:szCs w:val="24"/>
                <w:highlight w:val="none"/>
              </w:rPr>
              <w:t>数量</w:t>
            </w:r>
          </w:p>
        </w:tc>
        <w:tc>
          <w:tcPr>
            <w:tcW w:w="6150" w:type="dxa"/>
            <w:vAlign w:val="center"/>
          </w:tcPr>
          <w:p>
            <w:pPr>
              <w:pStyle w:val="8"/>
              <w:pageBreakBefore w:val="0"/>
              <w:widowControl w:val="0"/>
              <w:wordWrap/>
              <w:overflowPunct/>
              <w:topLinePunct w:val="0"/>
              <w:bidi w:val="0"/>
              <w:ind w:firstLine="2856" w:firstLineChars="1200"/>
              <w:jc w:val="both"/>
              <w:rPr>
                <w:rFonts w:hint="default" w:eastAsia="宋体"/>
                <w:color w:val="auto"/>
                <w:highlight w:val="none"/>
                <w:lang w:val="en-US" w:eastAsia="zh-CN"/>
              </w:rPr>
            </w:pPr>
            <w:r>
              <w:rPr>
                <w:rFonts w:hint="eastAsia" w:ascii="宋体" w:hAnsi="宋体" w:eastAsia="宋体" w:cs="宋体"/>
                <w:color w:val="auto"/>
                <w:spacing w:val="-1"/>
                <w:position w:val="17"/>
                <w:sz w:val="24"/>
                <w:szCs w:val="24"/>
                <w:highlight w:val="none"/>
                <w:lang w:val="en-US" w:eastAsia="zh-CN"/>
              </w:rPr>
              <w:t>1项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65" w:type="dxa"/>
            <w:gridSpan w:val="2"/>
          </w:tcPr>
          <w:p>
            <w:pPr>
              <w:pageBreakBefore w:val="0"/>
              <w:widowControl w:val="0"/>
              <w:wordWrap/>
              <w:overflowPunct/>
              <w:topLinePunct w:val="0"/>
              <w:bidi w:val="0"/>
              <w:spacing w:before="253" w:line="219" w:lineRule="auto"/>
              <w:ind w:left="1071"/>
              <w:rPr>
                <w:rFonts w:ascii="宋体" w:hAnsi="宋体" w:eastAsia="宋体" w:cs="宋体"/>
                <w:color w:val="auto"/>
                <w:sz w:val="24"/>
                <w:szCs w:val="24"/>
                <w:highlight w:val="none"/>
              </w:rPr>
            </w:pPr>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期</w:t>
            </w:r>
          </w:p>
        </w:tc>
        <w:tc>
          <w:tcPr>
            <w:tcW w:w="6150" w:type="dxa"/>
            <w:vAlign w:val="center"/>
          </w:tcPr>
          <w:p>
            <w:pPr>
              <w:pStyle w:val="8"/>
              <w:pageBreakBefore w:val="0"/>
              <w:widowControl w:val="0"/>
              <w:wordWrap/>
              <w:overflowPunct/>
              <w:topLinePunct w:val="0"/>
              <w:bidi w:val="0"/>
              <w:jc w:val="center"/>
              <w:rPr>
                <w:color w:val="auto"/>
                <w:highlight w:val="none"/>
              </w:rPr>
            </w:pPr>
            <w:r>
              <w:rPr>
                <w:rFonts w:hint="eastAsia" w:ascii="宋体" w:hAnsi="宋体" w:eastAsia="宋体" w:cs="宋体"/>
                <w:color w:val="auto"/>
                <w:spacing w:val="-1"/>
                <w:position w:val="17"/>
                <w:sz w:val="24"/>
                <w:szCs w:val="24"/>
                <w:highlight w:val="none"/>
                <w:lang w:val="en-US" w:eastAsia="zh-CN"/>
              </w:rPr>
              <w:t>1年。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4" w:hRule="atLeast"/>
        </w:trPr>
        <w:tc>
          <w:tcPr>
            <w:tcW w:w="2865" w:type="dxa"/>
            <w:gridSpan w:val="2"/>
          </w:tcPr>
          <w:p>
            <w:pPr>
              <w:pageBreakBefore w:val="0"/>
              <w:widowControl w:val="0"/>
              <w:wordWrap/>
              <w:overflowPunct/>
              <w:topLinePunct w:val="0"/>
              <w:bidi w:val="0"/>
              <w:spacing w:before="256" w:line="219" w:lineRule="auto"/>
              <w:ind w:left="951"/>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lang w:val="en-US" w:eastAsia="zh-CN"/>
              </w:rPr>
              <w:t>服务</w:t>
            </w:r>
            <w:r>
              <w:rPr>
                <w:rFonts w:ascii="宋体" w:hAnsi="宋体" w:eastAsia="宋体" w:cs="宋体"/>
                <w:color w:val="auto"/>
                <w:spacing w:val="-4"/>
                <w:sz w:val="24"/>
                <w:szCs w:val="24"/>
                <w:highlight w:val="none"/>
              </w:rPr>
              <w:t>地点</w:t>
            </w:r>
          </w:p>
        </w:tc>
        <w:tc>
          <w:tcPr>
            <w:tcW w:w="6150" w:type="dxa"/>
            <w:vAlign w:val="center"/>
          </w:tcPr>
          <w:p>
            <w:pPr>
              <w:pStyle w:val="8"/>
              <w:pageBreakBefore w:val="0"/>
              <w:widowControl w:val="0"/>
              <w:wordWrap/>
              <w:overflowPunct/>
              <w:topLinePunct w:val="0"/>
              <w:bidi w:val="0"/>
              <w:jc w:val="center"/>
              <w:rPr>
                <w:color w:val="auto"/>
                <w:highlight w:val="none"/>
              </w:rPr>
            </w:pPr>
            <w:r>
              <w:rPr>
                <w:rFonts w:hint="eastAsia" w:ascii="宋体" w:hAnsi="宋体" w:eastAsia="宋体" w:cs="宋体"/>
                <w:color w:val="auto"/>
                <w:spacing w:val="-1"/>
                <w:position w:val="17"/>
                <w:sz w:val="24"/>
                <w:szCs w:val="24"/>
                <w:highlight w:val="none"/>
                <w:lang w:val="en-US" w:eastAsia="zh-CN"/>
              </w:rPr>
              <w:t>遂川县</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Ex>
        <w:trPr>
          <w:trHeight w:val="909" w:hRule="atLeast"/>
        </w:trPr>
        <w:tc>
          <w:tcPr>
            <w:tcW w:w="2865" w:type="dxa"/>
            <w:gridSpan w:val="2"/>
          </w:tcPr>
          <w:p>
            <w:pPr>
              <w:pageBreakBefore w:val="0"/>
              <w:widowControl w:val="0"/>
              <w:wordWrap/>
              <w:overflowPunct/>
              <w:topLinePunct w:val="0"/>
              <w:bidi w:val="0"/>
              <w:spacing w:before="256" w:line="221" w:lineRule="auto"/>
              <w:ind w:left="1189"/>
              <w:rPr>
                <w:rFonts w:ascii="宋体" w:hAnsi="宋体" w:eastAsia="宋体" w:cs="宋体"/>
                <w:color w:val="auto"/>
                <w:sz w:val="24"/>
                <w:szCs w:val="24"/>
                <w:highlight w:val="none"/>
              </w:rPr>
            </w:pPr>
            <w:r>
              <w:rPr>
                <w:rFonts w:ascii="宋体" w:hAnsi="宋体" w:eastAsia="宋体" w:cs="宋体"/>
                <w:color w:val="auto"/>
                <w:spacing w:val="-7"/>
                <w:sz w:val="24"/>
                <w:szCs w:val="24"/>
                <w:highlight w:val="none"/>
              </w:rPr>
              <w:t>备注</w:t>
            </w:r>
          </w:p>
        </w:tc>
        <w:tc>
          <w:tcPr>
            <w:tcW w:w="6150" w:type="dxa"/>
            <w:vAlign w:val="center"/>
          </w:tcPr>
          <w:p>
            <w:pPr>
              <w:pStyle w:val="8"/>
              <w:pageBreakBefore w:val="0"/>
              <w:widowControl w:val="0"/>
              <w:wordWrap/>
              <w:overflowPunct/>
              <w:topLinePunct w:val="0"/>
              <w:bidi w:val="0"/>
              <w:jc w:val="center"/>
              <w:rPr>
                <w:rFonts w:hint="eastAsia" w:eastAsia="宋体"/>
                <w:color w:val="auto"/>
                <w:highlight w:val="none"/>
                <w:lang w:val="en-US" w:eastAsia="zh-CN"/>
              </w:rPr>
            </w:pPr>
            <w:r>
              <w:rPr>
                <w:rFonts w:hint="eastAsia" w:eastAsia="宋体"/>
                <w:color w:val="auto"/>
                <w:highlight w:val="none"/>
                <w:lang w:val="en-US" w:eastAsia="zh-CN"/>
              </w:rPr>
              <w:t>/</w:t>
            </w:r>
          </w:p>
        </w:tc>
      </w:tr>
    </w:tbl>
    <w:p>
      <w:pPr>
        <w:pageBreakBefore w:val="0"/>
        <w:widowControl w:val="0"/>
        <w:wordWrap/>
        <w:overflowPunct/>
        <w:topLinePunct w:val="0"/>
        <w:bidi w:val="0"/>
        <w:rPr>
          <w:color w:val="auto"/>
          <w:highlight w:val="none"/>
        </w:rPr>
      </w:pPr>
    </w:p>
    <w:p>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1" w:name="bookmark81"/>
      <w:bookmarkEnd w:id="1"/>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技术要求</w:t>
      </w:r>
    </w:p>
    <w:p>
      <w:pPr>
        <w:pageBreakBefore w:val="0"/>
        <w:widowControl w:val="0"/>
        <w:wordWrap/>
        <w:overflowPunct/>
        <w:topLinePunct w:val="0"/>
        <w:bidi w:val="0"/>
        <w:spacing w:line="257" w:lineRule="auto"/>
        <w:rPr>
          <w:color w:val="auto"/>
          <w:highlight w:val="none"/>
        </w:rPr>
      </w:pPr>
    </w:p>
    <w:p>
      <w:pPr>
        <w:pageBreakBefore w:val="0"/>
        <w:widowControl w:val="0"/>
        <w:numPr>
          <w:ilvl w:val="0"/>
          <w:numId w:val="1"/>
        </w:numPr>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、服务需求</w:t>
      </w:r>
    </w:p>
    <w:tbl>
      <w:tblPr>
        <w:tblStyle w:val="5"/>
        <w:tblW w:w="95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3"/>
        <w:gridCol w:w="4037"/>
        <w:gridCol w:w="1625"/>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8" w:hRule="atLeast"/>
        </w:trPr>
        <w:tc>
          <w:tcPr>
            <w:tcW w:w="2523" w:type="dxa"/>
            <w:vAlign w:val="center"/>
          </w:tcPr>
          <w:p>
            <w:pPr>
              <w:pStyle w:val="2"/>
              <w:numPr>
                <w:ilvl w:val="0"/>
                <w:numId w:val="0"/>
              </w:numPr>
              <w:jc w:val="center"/>
              <w:rPr>
                <w:rFonts w:hint="default"/>
                <w:highlight w:val="none"/>
                <w:vertAlign w:val="baseline"/>
                <w:lang w:val="en-US" w:eastAsia="zh-CN"/>
              </w:rPr>
            </w:pPr>
            <w:r>
              <w:rPr>
                <w:rFonts w:hint="eastAsia"/>
                <w:highlight w:val="none"/>
                <w:vertAlign w:val="baseline"/>
                <w:lang w:val="en-US" w:eastAsia="zh-CN"/>
              </w:rPr>
              <w:t>项目名称</w:t>
            </w:r>
          </w:p>
        </w:tc>
        <w:tc>
          <w:tcPr>
            <w:tcW w:w="4037" w:type="dxa"/>
            <w:vAlign w:val="center"/>
          </w:tcPr>
          <w:p>
            <w:pPr>
              <w:pStyle w:val="2"/>
              <w:numPr>
                <w:ilvl w:val="0"/>
                <w:numId w:val="0"/>
              </w:numPr>
              <w:jc w:val="center"/>
              <w:rPr>
                <w:rFonts w:hint="default"/>
                <w:highlight w:val="none"/>
                <w:vertAlign w:val="baseline"/>
                <w:lang w:val="en-US" w:eastAsia="zh-CN"/>
              </w:rPr>
            </w:pPr>
            <w:r>
              <w:rPr>
                <w:rFonts w:hint="default"/>
                <w:highlight w:val="none"/>
                <w:vertAlign w:val="baseline"/>
                <w:lang w:val="en-US" w:eastAsia="zh-CN"/>
              </w:rPr>
              <w:t>服务内容</w:t>
            </w:r>
          </w:p>
        </w:tc>
        <w:tc>
          <w:tcPr>
            <w:tcW w:w="1625" w:type="dxa"/>
            <w:vAlign w:val="center"/>
          </w:tcPr>
          <w:p>
            <w:pPr>
              <w:pStyle w:val="2"/>
              <w:numPr>
                <w:ilvl w:val="0"/>
                <w:numId w:val="0"/>
              </w:numPr>
              <w:jc w:val="center"/>
              <w:rPr>
                <w:rFonts w:hint="default"/>
                <w:highlight w:val="none"/>
                <w:vertAlign w:val="baseline"/>
                <w:lang w:val="en-US" w:eastAsia="zh-CN"/>
              </w:rPr>
            </w:pPr>
            <w:r>
              <w:rPr>
                <w:rFonts w:hint="eastAsia"/>
                <w:highlight w:val="none"/>
                <w:vertAlign w:val="baseline"/>
                <w:lang w:val="en-US" w:eastAsia="zh-CN"/>
              </w:rPr>
              <w:t>点位数</w:t>
            </w:r>
          </w:p>
        </w:tc>
        <w:tc>
          <w:tcPr>
            <w:tcW w:w="1315" w:type="dxa"/>
            <w:vAlign w:val="center"/>
          </w:tcPr>
          <w:p>
            <w:pPr>
              <w:pStyle w:val="2"/>
              <w:numPr>
                <w:ilvl w:val="0"/>
                <w:numId w:val="0"/>
              </w:numPr>
              <w:jc w:val="center"/>
              <w:rPr>
                <w:rFonts w:hint="default"/>
                <w:highlight w:val="none"/>
                <w:vertAlign w:val="baseline"/>
                <w:lang w:val="en-US" w:eastAsia="zh-CN"/>
              </w:rPr>
            </w:pPr>
            <w:r>
              <w:rPr>
                <w:rFonts w:hint="eastAsia"/>
                <w:highlight w:val="none"/>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rPr>
        <w:tc>
          <w:tcPr>
            <w:tcW w:w="2523" w:type="dxa"/>
            <w:vAlign w:val="center"/>
          </w:tcPr>
          <w:p>
            <w:pPr>
              <w:pStyle w:val="2"/>
              <w:numPr>
                <w:ilvl w:val="0"/>
                <w:numId w:val="0"/>
              </w:numPr>
              <w:jc w:val="center"/>
              <w:rPr>
                <w:rFonts w:hint="default"/>
                <w:highlight w:val="none"/>
                <w:vertAlign w:val="baseline"/>
                <w:lang w:val="en-US" w:eastAsia="zh-CN"/>
              </w:rPr>
            </w:pPr>
            <w:r>
              <w:rPr>
                <w:rFonts w:hint="eastAsia" w:ascii="宋体" w:hAnsi="宋体" w:eastAsia="宋体" w:cs="宋体"/>
                <w:snapToGrid w:val="0"/>
                <w:color w:val="auto"/>
                <w:spacing w:val="-1"/>
                <w:position w:val="17"/>
                <w:sz w:val="24"/>
                <w:szCs w:val="24"/>
                <w:highlight w:val="none"/>
                <w:lang w:val="en-US" w:eastAsia="zh-CN" w:bidi="ar-SA"/>
              </w:rPr>
              <w:t>遂川县公安局1-4期天网线路费用采购项目</w:t>
            </w:r>
          </w:p>
        </w:tc>
        <w:tc>
          <w:tcPr>
            <w:tcW w:w="4037" w:type="dxa"/>
            <w:vAlign w:val="center"/>
          </w:tcPr>
          <w:p>
            <w:pPr>
              <w:pStyle w:val="2"/>
              <w:numPr>
                <w:ilvl w:val="0"/>
                <w:numId w:val="0"/>
              </w:numPr>
              <w:jc w:val="center"/>
              <w:rPr>
                <w:rFonts w:hint="default"/>
                <w:highlight w:val="none"/>
                <w:vertAlign w:val="baseline"/>
                <w:lang w:val="en-US" w:eastAsia="zh-CN"/>
              </w:rPr>
            </w:pPr>
            <w:r>
              <w:rPr>
                <w:rFonts w:hint="default"/>
                <w:highlight w:val="none"/>
                <w:vertAlign w:val="baseline"/>
                <w:lang w:val="en-US" w:eastAsia="zh-CN"/>
              </w:rPr>
              <w:t>1.监控点网络专线链路，带宽须满足各平台和设备之间的最小传输要求（≥</w:t>
            </w:r>
            <w:r>
              <w:rPr>
                <w:rFonts w:hint="eastAsia"/>
                <w:highlight w:val="none"/>
                <w:vertAlign w:val="baseline"/>
                <w:lang w:val="en-US" w:eastAsia="zh-CN"/>
              </w:rPr>
              <w:t>50</w:t>
            </w:r>
            <w:r>
              <w:rPr>
                <w:rFonts w:hint="default"/>
                <w:highlight w:val="none"/>
                <w:vertAlign w:val="baseline"/>
                <w:lang w:val="en-US" w:eastAsia="zh-CN"/>
              </w:rPr>
              <w:t>M）；</w:t>
            </w:r>
          </w:p>
          <w:p>
            <w:pPr>
              <w:pStyle w:val="2"/>
              <w:numPr>
                <w:ilvl w:val="0"/>
                <w:numId w:val="0"/>
              </w:numPr>
              <w:jc w:val="center"/>
              <w:rPr>
                <w:rFonts w:hint="default"/>
                <w:strike w:val="0"/>
                <w:highlight w:val="none"/>
                <w:vertAlign w:val="baseline"/>
                <w:lang w:val="en-US" w:eastAsia="zh-CN"/>
              </w:rPr>
            </w:pPr>
            <w:r>
              <w:rPr>
                <w:rFonts w:hint="default"/>
                <w:highlight w:val="none"/>
                <w:vertAlign w:val="baseline"/>
                <w:lang w:val="en-US" w:eastAsia="zh-CN"/>
              </w:rPr>
              <w:t>2、</w:t>
            </w:r>
            <w:r>
              <w:rPr>
                <w:rFonts w:hint="eastAsia"/>
                <w:strike w:val="0"/>
                <w:dstrike w:val="0"/>
                <w:highlight w:val="none"/>
                <w:vertAlign w:val="baseline"/>
                <w:lang w:val="en-US" w:eastAsia="zh-CN"/>
              </w:rPr>
              <w:t>包含本项目所有链路的人工维保</w:t>
            </w:r>
            <w:r>
              <w:rPr>
                <w:rFonts w:hint="default"/>
                <w:strike w:val="0"/>
                <w:dstrike w:val="0"/>
                <w:highlight w:val="none"/>
                <w:vertAlign w:val="baseline"/>
                <w:lang w:val="en-US" w:eastAsia="zh-CN"/>
              </w:rPr>
              <w:t>；</w:t>
            </w:r>
          </w:p>
          <w:p>
            <w:pPr>
              <w:pStyle w:val="2"/>
              <w:numPr>
                <w:ilvl w:val="0"/>
                <w:numId w:val="0"/>
              </w:numPr>
              <w:jc w:val="center"/>
              <w:rPr>
                <w:rFonts w:hint="default"/>
                <w:highlight w:val="none"/>
                <w:vertAlign w:val="baseline"/>
                <w:lang w:val="en-US" w:eastAsia="zh-CN"/>
              </w:rPr>
            </w:pPr>
          </w:p>
        </w:tc>
        <w:tc>
          <w:tcPr>
            <w:tcW w:w="1625" w:type="dxa"/>
            <w:vAlign w:val="center"/>
          </w:tcPr>
          <w:p>
            <w:pPr>
              <w:pStyle w:val="2"/>
              <w:numPr>
                <w:ilvl w:val="0"/>
                <w:numId w:val="0"/>
              </w:numPr>
              <w:jc w:val="center"/>
              <w:rPr>
                <w:rFonts w:hint="default"/>
                <w:highlight w:val="none"/>
                <w:vertAlign w:val="baseline"/>
                <w:lang w:val="en-US" w:eastAsia="zh-CN"/>
              </w:rPr>
            </w:pPr>
            <w:r>
              <w:rPr>
                <w:rFonts w:hint="eastAsia"/>
                <w:highlight w:val="none"/>
                <w:vertAlign w:val="baseline"/>
                <w:lang w:val="en-US" w:eastAsia="zh-CN"/>
              </w:rPr>
              <w:t>267个点位</w:t>
            </w:r>
          </w:p>
        </w:tc>
        <w:tc>
          <w:tcPr>
            <w:tcW w:w="1315" w:type="dxa"/>
            <w:vAlign w:val="center"/>
          </w:tcPr>
          <w:p>
            <w:pPr>
              <w:pStyle w:val="2"/>
              <w:numPr>
                <w:ilvl w:val="0"/>
                <w:numId w:val="0"/>
              </w:numPr>
              <w:jc w:val="center"/>
              <w:rPr>
                <w:rFonts w:hint="default"/>
                <w:highlight w:val="none"/>
                <w:vertAlign w:val="baseline"/>
                <w:lang w:val="en-US" w:eastAsia="zh-CN"/>
              </w:rPr>
            </w:pPr>
            <w:r>
              <w:rPr>
                <w:rFonts w:hint="eastAsia"/>
                <w:highlight w:val="none"/>
                <w:vertAlign w:val="baseline"/>
                <w:lang w:val="en-US" w:eastAsia="zh-CN"/>
              </w:rPr>
              <w:t>无</w:t>
            </w:r>
          </w:p>
        </w:tc>
      </w:tr>
    </w:tbl>
    <w:p>
      <w:pPr>
        <w:pStyle w:val="2"/>
        <w:numPr>
          <w:ilvl w:val="0"/>
          <w:numId w:val="0"/>
        </w:numPr>
        <w:rPr>
          <w:rFonts w:hint="default"/>
          <w:highlight w:val="none"/>
          <w:lang w:val="en-US" w:eastAsia="zh-CN"/>
        </w:rPr>
      </w:pP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（二）、服务要求</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设立维护项目服务小组提供实时响应服务，为本项目提供7×24小时实时响应服务。</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1、日常巡检要求：对链路的日常巡检、故障维护、隐患排查，及时处理故障。</w:t>
      </w:r>
    </w:p>
    <w:p>
      <w:pPr>
        <w:pStyle w:val="2"/>
        <w:keepNext w:val="0"/>
        <w:keepLines w:val="0"/>
        <w:pageBreakBefore w:val="0"/>
        <w:widowControl w:val="0"/>
        <w:wordWrap/>
        <w:overflowPunct/>
        <w:topLinePunct w:val="0"/>
        <w:autoSpaceDE w:val="0"/>
        <w:autoSpaceDN w:val="0"/>
        <w:bidi w:val="0"/>
        <w:adjustRightInd w:val="0"/>
        <w:spacing w:line="460" w:lineRule="exact"/>
        <w:rPr>
          <w:rFonts w:hint="eastAsia"/>
          <w:highlight w:val="none"/>
          <w:lang w:val="en-US" w:eastAsia="zh-CN"/>
        </w:rPr>
      </w:pPr>
      <w:r>
        <w:rPr>
          <w:rFonts w:hint="eastAsia"/>
          <w:highlight w:val="none"/>
          <w:lang w:val="en-US" w:eastAsia="zh-CN"/>
        </w:rPr>
        <w:t>2、电话支持服务</w:t>
      </w:r>
    </w:p>
    <w:p>
      <w:pPr>
        <w:pStyle w:val="2"/>
        <w:keepNext w:val="0"/>
        <w:keepLines w:val="0"/>
        <w:pageBreakBefore w:val="0"/>
        <w:widowControl w:val="0"/>
        <w:wordWrap/>
        <w:overflowPunct/>
        <w:topLinePunct w:val="0"/>
        <w:autoSpaceDE w:val="0"/>
        <w:autoSpaceDN w:val="0"/>
        <w:bidi w:val="0"/>
        <w:adjustRightInd w:val="0"/>
        <w:spacing w:line="460" w:lineRule="exact"/>
        <w:rPr>
          <w:rFonts w:hint="eastAsia"/>
          <w:highlight w:val="none"/>
          <w:lang w:val="en-US" w:eastAsia="zh-CN"/>
        </w:rPr>
      </w:pPr>
      <w:r>
        <w:rPr>
          <w:rFonts w:hint="eastAsia"/>
          <w:highlight w:val="none"/>
          <w:lang w:val="en-US" w:eastAsia="zh-CN"/>
        </w:rPr>
        <w:t>对于临时出现的使用、操作或其他非故障的简单问题可提供直接电话咨询服务，寻求问题的解决方案、操作方法及技术指导。</w:t>
      </w:r>
    </w:p>
    <w:p>
      <w:pPr>
        <w:keepNext w:val="0"/>
        <w:keepLines w:val="0"/>
        <w:pageBreakBefore w:val="0"/>
        <w:widowControl w:val="0"/>
        <w:wordWrap/>
        <w:overflowPunct/>
        <w:topLinePunct w:val="0"/>
        <w:autoSpaceDE w:val="0"/>
        <w:autoSpaceDN w:val="0"/>
        <w:bidi w:val="0"/>
        <w:adjustRightInd w:val="0"/>
        <w:spacing w:before="78" w:line="460" w:lineRule="exact"/>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（三）、人员及设备要求</w:t>
      </w:r>
    </w:p>
    <w:p>
      <w:pPr>
        <w:keepNext w:val="0"/>
        <w:keepLines w:val="0"/>
        <w:pageBreakBefore w:val="0"/>
        <w:widowControl w:val="0"/>
        <w:wordWrap/>
        <w:overflowPunct/>
        <w:topLinePunct w:val="0"/>
        <w:autoSpaceDE w:val="0"/>
        <w:autoSpaceDN w:val="0"/>
        <w:bidi w:val="0"/>
        <w:adjustRightInd w:val="0"/>
        <w:spacing w:before="78" w:line="460" w:lineRule="exact"/>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为了做好链路的维护工作，应为本项目安排技术负责人及项目经理各1名。并至少有两个运行维护专业人员负责本项目运行维护工作，提供7*24小时维保响应服务（联络人，备选联络人），中标人接到前端故障通知后1小时响应，3小时内赶到故障现场并在24小时内解决问题。否则采购单位将自行采取必要的措施，由此产生风险和费用应由中标人承担。</w:t>
      </w:r>
    </w:p>
    <w:tbl>
      <w:tblPr>
        <w:tblStyle w:val="5"/>
        <w:tblW w:w="95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70"/>
        <w:gridCol w:w="3170"/>
        <w:gridCol w:w="3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70" w:type="dxa"/>
          </w:tcPr>
          <w:p>
            <w:pPr>
              <w:keepNext w:val="0"/>
              <w:keepLines w:val="0"/>
              <w:pageBreakBefore w:val="0"/>
              <w:widowControl w:val="0"/>
              <w:wordWrap/>
              <w:overflowPunct/>
              <w:topLinePunct w:val="0"/>
              <w:autoSpaceDE w:val="0"/>
              <w:autoSpaceDN w:val="0"/>
              <w:bidi w:val="0"/>
              <w:adjustRightInd w:val="0"/>
              <w:spacing w:before="78" w:line="460" w:lineRule="exact"/>
              <w:jc w:val="center"/>
              <w:rPr>
                <w:rFonts w:hint="eastAsia" w:ascii="宋体" w:hAnsi="宋体" w:eastAsia="宋体" w:cs="宋体"/>
                <w:color w:val="auto"/>
                <w:spacing w:val="-6"/>
                <w:sz w:val="24"/>
                <w:szCs w:val="24"/>
                <w:highlight w:val="none"/>
                <w:vertAlign w:val="baseline"/>
                <w:lang w:val="en-US" w:eastAsia="zh-CN"/>
              </w:rPr>
            </w:pPr>
            <w:r>
              <w:rPr>
                <w:rFonts w:hint="eastAsia" w:ascii="宋体" w:hAnsi="宋体" w:eastAsia="宋体" w:cs="宋体"/>
                <w:color w:val="auto"/>
                <w:spacing w:val="-6"/>
                <w:sz w:val="24"/>
                <w:szCs w:val="24"/>
                <w:highlight w:val="none"/>
                <w:vertAlign w:val="baseline"/>
                <w:lang w:val="en-US" w:eastAsia="zh-CN"/>
              </w:rPr>
              <w:t>项目</w:t>
            </w:r>
          </w:p>
        </w:tc>
        <w:tc>
          <w:tcPr>
            <w:tcW w:w="3170" w:type="dxa"/>
          </w:tcPr>
          <w:p>
            <w:pPr>
              <w:keepNext w:val="0"/>
              <w:keepLines w:val="0"/>
              <w:pageBreakBefore w:val="0"/>
              <w:widowControl w:val="0"/>
              <w:wordWrap/>
              <w:overflowPunct/>
              <w:topLinePunct w:val="0"/>
              <w:autoSpaceDE w:val="0"/>
              <w:autoSpaceDN w:val="0"/>
              <w:bidi w:val="0"/>
              <w:adjustRightInd w:val="0"/>
              <w:spacing w:before="78" w:line="460" w:lineRule="exact"/>
              <w:jc w:val="center"/>
              <w:rPr>
                <w:rFonts w:hint="eastAsia" w:ascii="宋体" w:hAnsi="宋体" w:eastAsia="宋体" w:cs="宋体"/>
                <w:color w:val="auto"/>
                <w:spacing w:val="-6"/>
                <w:sz w:val="24"/>
                <w:szCs w:val="24"/>
                <w:highlight w:val="none"/>
                <w:vertAlign w:val="baseline"/>
                <w:lang w:val="en-US" w:eastAsia="zh-CN"/>
              </w:rPr>
            </w:pPr>
            <w:r>
              <w:rPr>
                <w:rFonts w:hint="eastAsia" w:ascii="宋体" w:hAnsi="宋体" w:eastAsia="宋体" w:cs="宋体"/>
                <w:color w:val="auto"/>
                <w:spacing w:val="-6"/>
                <w:sz w:val="24"/>
                <w:szCs w:val="24"/>
                <w:highlight w:val="none"/>
                <w:vertAlign w:val="baseline"/>
                <w:lang w:val="en-US" w:eastAsia="zh-CN"/>
              </w:rPr>
              <w:t>配备人员</w:t>
            </w:r>
          </w:p>
        </w:tc>
        <w:tc>
          <w:tcPr>
            <w:tcW w:w="3171" w:type="dxa"/>
          </w:tcPr>
          <w:p>
            <w:pPr>
              <w:keepNext w:val="0"/>
              <w:keepLines w:val="0"/>
              <w:pageBreakBefore w:val="0"/>
              <w:widowControl w:val="0"/>
              <w:wordWrap/>
              <w:overflowPunct/>
              <w:topLinePunct w:val="0"/>
              <w:autoSpaceDE w:val="0"/>
              <w:autoSpaceDN w:val="0"/>
              <w:bidi w:val="0"/>
              <w:adjustRightInd w:val="0"/>
              <w:spacing w:before="78" w:line="460" w:lineRule="exact"/>
              <w:jc w:val="center"/>
              <w:rPr>
                <w:rFonts w:hint="eastAsia" w:ascii="宋体" w:hAnsi="宋体" w:eastAsia="宋体" w:cs="宋体"/>
                <w:color w:val="auto"/>
                <w:spacing w:val="-6"/>
                <w:sz w:val="24"/>
                <w:szCs w:val="24"/>
                <w:highlight w:val="none"/>
                <w:vertAlign w:val="baseline"/>
                <w:lang w:val="en-US" w:eastAsia="zh-CN"/>
              </w:rPr>
            </w:pPr>
            <w:r>
              <w:rPr>
                <w:rFonts w:hint="eastAsia" w:ascii="宋体" w:hAnsi="宋体" w:eastAsia="宋体" w:cs="宋体"/>
                <w:color w:val="auto"/>
                <w:spacing w:val="-6"/>
                <w:sz w:val="24"/>
                <w:szCs w:val="24"/>
                <w:highlight w:val="none"/>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70" w:type="dxa"/>
          </w:tcPr>
          <w:p>
            <w:pPr>
              <w:keepNext w:val="0"/>
              <w:keepLines w:val="0"/>
              <w:pageBreakBefore w:val="0"/>
              <w:widowControl w:val="0"/>
              <w:wordWrap/>
              <w:overflowPunct/>
              <w:topLinePunct w:val="0"/>
              <w:autoSpaceDE w:val="0"/>
              <w:autoSpaceDN w:val="0"/>
              <w:bidi w:val="0"/>
              <w:adjustRightInd w:val="0"/>
              <w:spacing w:before="78" w:line="460" w:lineRule="exact"/>
              <w:jc w:val="center"/>
              <w:rPr>
                <w:rFonts w:hint="eastAsia" w:ascii="宋体" w:hAnsi="宋体" w:eastAsia="宋体" w:cs="宋体"/>
                <w:color w:val="auto"/>
                <w:spacing w:val="-6"/>
                <w:sz w:val="24"/>
                <w:szCs w:val="24"/>
                <w:highlight w:val="none"/>
                <w:vertAlign w:val="baseline"/>
                <w:lang w:val="en-US" w:eastAsia="zh-CN"/>
              </w:rPr>
            </w:pPr>
            <w:r>
              <w:rPr>
                <w:rFonts w:hint="eastAsia" w:ascii="宋体" w:hAnsi="宋体" w:eastAsia="宋体" w:cs="宋体"/>
                <w:color w:val="auto"/>
                <w:spacing w:val="-6"/>
                <w:sz w:val="24"/>
                <w:szCs w:val="24"/>
                <w:highlight w:val="none"/>
                <w:vertAlign w:val="baseline"/>
                <w:lang w:val="en-US" w:eastAsia="zh-CN"/>
              </w:rPr>
              <w:t>维护、维修技术人员</w:t>
            </w:r>
          </w:p>
        </w:tc>
        <w:tc>
          <w:tcPr>
            <w:tcW w:w="3170" w:type="dxa"/>
          </w:tcPr>
          <w:p>
            <w:pPr>
              <w:keepNext w:val="0"/>
              <w:keepLines w:val="0"/>
              <w:pageBreakBefore w:val="0"/>
              <w:widowControl w:val="0"/>
              <w:wordWrap/>
              <w:overflowPunct/>
              <w:topLinePunct w:val="0"/>
              <w:autoSpaceDE w:val="0"/>
              <w:autoSpaceDN w:val="0"/>
              <w:bidi w:val="0"/>
              <w:adjustRightInd w:val="0"/>
              <w:spacing w:before="78" w:line="460" w:lineRule="exact"/>
              <w:jc w:val="center"/>
              <w:rPr>
                <w:rFonts w:hint="eastAsia" w:ascii="宋体" w:hAnsi="宋体" w:eastAsia="宋体" w:cs="宋体"/>
                <w:color w:val="auto"/>
                <w:spacing w:val="-6"/>
                <w:sz w:val="24"/>
                <w:szCs w:val="24"/>
                <w:highlight w:val="none"/>
                <w:vertAlign w:val="baseline"/>
                <w:lang w:val="en-US" w:eastAsia="zh-CN"/>
              </w:rPr>
            </w:pPr>
            <w:r>
              <w:rPr>
                <w:rFonts w:hint="eastAsia" w:ascii="宋体" w:hAnsi="宋体" w:eastAsia="宋体" w:cs="宋体"/>
                <w:color w:val="auto"/>
                <w:spacing w:val="-6"/>
                <w:sz w:val="24"/>
                <w:szCs w:val="24"/>
                <w:highlight w:val="none"/>
                <w:vertAlign w:val="baseline"/>
                <w:lang w:val="en-US" w:eastAsia="zh-CN"/>
              </w:rPr>
              <w:t>2人（含）以上</w:t>
            </w:r>
          </w:p>
        </w:tc>
        <w:tc>
          <w:tcPr>
            <w:tcW w:w="3171" w:type="dxa"/>
          </w:tcPr>
          <w:p>
            <w:pPr>
              <w:keepNext w:val="0"/>
              <w:keepLines w:val="0"/>
              <w:pageBreakBefore w:val="0"/>
              <w:widowControl w:val="0"/>
              <w:wordWrap/>
              <w:overflowPunct/>
              <w:topLinePunct w:val="0"/>
              <w:autoSpaceDE w:val="0"/>
              <w:autoSpaceDN w:val="0"/>
              <w:bidi w:val="0"/>
              <w:adjustRightInd w:val="0"/>
              <w:spacing w:before="78" w:line="460" w:lineRule="exact"/>
              <w:jc w:val="center"/>
              <w:rPr>
                <w:rFonts w:hint="eastAsia" w:ascii="宋体" w:hAnsi="宋体" w:eastAsia="宋体" w:cs="宋体"/>
                <w:color w:val="auto"/>
                <w:spacing w:val="-6"/>
                <w:sz w:val="24"/>
                <w:szCs w:val="24"/>
                <w:highlight w:val="none"/>
                <w:vertAlign w:val="baseline"/>
                <w:lang w:val="en-US" w:eastAsia="zh-CN"/>
              </w:rPr>
            </w:pPr>
            <w:r>
              <w:rPr>
                <w:rFonts w:hint="eastAsia" w:ascii="宋体" w:hAnsi="宋体" w:eastAsia="宋体" w:cs="宋体"/>
                <w:color w:val="auto"/>
                <w:spacing w:val="-6"/>
                <w:sz w:val="24"/>
                <w:szCs w:val="24"/>
                <w:highlight w:val="none"/>
                <w:vertAlign w:val="baseline"/>
                <w:lang w:val="en-US" w:eastAsia="zh-CN"/>
              </w:rPr>
              <w:t>登高车一部</w:t>
            </w:r>
          </w:p>
        </w:tc>
      </w:tr>
    </w:tbl>
    <w:p>
      <w:pPr>
        <w:keepNext w:val="0"/>
        <w:keepLines w:val="0"/>
        <w:pageBreakBefore w:val="0"/>
        <w:widowControl w:val="0"/>
        <w:wordWrap/>
        <w:overflowPunct/>
        <w:topLinePunct w:val="0"/>
        <w:autoSpaceDE w:val="0"/>
        <w:autoSpaceDN w:val="0"/>
        <w:bidi w:val="0"/>
        <w:adjustRightInd w:val="0"/>
        <w:spacing w:before="78" w:line="460" w:lineRule="exact"/>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中标人需提供三个及以上联系电话，其中须有1部不受人事变动影响的固定值班电话须喷写在点位箱体上，24小时内最少保证其中一部电话畅通。</w:t>
      </w:r>
    </w:p>
    <w:p>
      <w:pPr>
        <w:keepNext w:val="0"/>
        <w:keepLines w:val="0"/>
        <w:pageBreakBefore w:val="0"/>
        <w:widowControl w:val="0"/>
        <w:wordWrap/>
        <w:overflowPunct/>
        <w:topLinePunct w:val="0"/>
        <w:autoSpaceDE w:val="0"/>
        <w:autoSpaceDN w:val="0"/>
        <w:bidi w:val="0"/>
        <w:adjustRightInd w:val="0"/>
        <w:spacing w:before="78" w:line="460" w:lineRule="exact"/>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（四）、其他要求</w:t>
      </w:r>
    </w:p>
    <w:p>
      <w:pPr>
        <w:keepNext w:val="0"/>
        <w:keepLines w:val="0"/>
        <w:pageBreakBefore w:val="0"/>
        <w:widowControl w:val="0"/>
        <w:wordWrap/>
        <w:overflowPunct/>
        <w:topLinePunct w:val="0"/>
        <w:autoSpaceDE w:val="0"/>
        <w:autoSpaceDN w:val="0"/>
        <w:bidi w:val="0"/>
        <w:adjustRightInd w:val="0"/>
        <w:spacing w:before="78" w:line="460" w:lineRule="exact"/>
        <w:rPr>
          <w:rFonts w:hint="eastAsia" w:ascii="宋体" w:hAnsi="宋体" w:eastAsia="宋体" w:cs="宋体"/>
          <w:color w:val="auto"/>
          <w:spacing w:val="-6"/>
          <w:sz w:val="24"/>
          <w:szCs w:val="24"/>
          <w:highlight w:val="none"/>
          <w:lang w:val="en-US" w:eastAsia="zh-CN"/>
        </w:rPr>
      </w:pPr>
      <w:r>
        <w:rPr>
          <w:rFonts w:hint="eastAsia" w:ascii="宋体" w:hAnsi="宋体" w:eastAsia="宋体" w:cs="宋体"/>
          <w:color w:val="auto"/>
          <w:spacing w:val="-6"/>
          <w:sz w:val="24"/>
          <w:szCs w:val="24"/>
          <w:highlight w:val="none"/>
          <w:lang w:val="en-US" w:eastAsia="zh-CN"/>
        </w:rPr>
        <w:t>1、为保证项目的网络资源，投标人所投网络资源服务供应商（或其总公司）应具有广泛的网络覆盖能力，能提供充足的IPV4地址和IPV6地址；</w:t>
      </w:r>
    </w:p>
    <w:p>
      <w:pPr>
        <w:pStyle w:val="2"/>
        <w:keepNext w:val="0"/>
        <w:keepLines w:val="0"/>
        <w:pageBreakBefore w:val="0"/>
        <w:widowControl w:val="0"/>
        <w:wordWrap/>
        <w:overflowPunct/>
        <w:topLinePunct w:val="0"/>
        <w:autoSpaceDE w:val="0"/>
        <w:autoSpaceDN w:val="0"/>
        <w:bidi w:val="0"/>
        <w:adjustRightInd w:val="0"/>
        <w:spacing w:line="460" w:lineRule="exact"/>
        <w:rPr>
          <w:rFonts w:hint="eastAsia"/>
          <w:highlight w:val="none"/>
          <w:lang w:val="en-US" w:eastAsia="zh-CN"/>
        </w:rPr>
      </w:pPr>
      <w:r>
        <w:rPr>
          <w:rFonts w:hint="eastAsia"/>
          <w:highlight w:val="none"/>
          <w:lang w:val="en-US" w:eastAsia="zh-CN"/>
        </w:rPr>
        <w:t>2、为保障项目正常运转的及时性以提高前端点在线率，中标人应在中标后7天内开通本项目所有前端点的链路。</w:t>
      </w:r>
    </w:p>
    <w:p>
      <w:pPr>
        <w:pStyle w:val="2"/>
        <w:rPr>
          <w:rFonts w:hint="eastAsia"/>
          <w:highlight w:val="none"/>
          <w:lang w:val="en-US" w:eastAsia="zh-CN"/>
        </w:rPr>
      </w:pPr>
    </w:p>
    <w:p>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lang w:val="en-US" w:eastAsia="zh-CN"/>
        </w:rPr>
        <w:t>三、</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pPr>
        <w:pageBreakBefore w:val="0"/>
        <w:widowControl w:val="0"/>
        <w:wordWrap/>
        <w:overflowPunct/>
        <w:topLinePunct w:val="0"/>
        <w:bidi w:val="0"/>
        <w:spacing w:line="249" w:lineRule="auto"/>
        <w:rPr>
          <w:color w:val="auto"/>
          <w:highlight w:val="none"/>
          <w:lang w:eastAsia="zh-CN"/>
        </w:rPr>
      </w:pP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1、采购合同的签订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（1）中标供应商应按《中标通知书》指定的时间、地点与采购人签订合同。招标文件、中标供应商的响应文件及书面澄清文件等，均为签订合同的依据。</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（2）中标结果公示期满后3天内中标供应商领取《中标通知书》并</w:t>
      </w:r>
      <w:r>
        <w:rPr>
          <w:rFonts w:hint="eastAsia" w:ascii="宋体" w:hAnsi="宋体" w:eastAsia="宋体" w:cs="宋体"/>
          <w:color w:val="auto"/>
          <w:spacing w:val="-1"/>
          <w:position w:val="17"/>
          <w:sz w:val="24"/>
          <w:szCs w:val="24"/>
          <w:highlight w:val="none"/>
          <w:lang w:val="en-US" w:eastAsia="zh-CN"/>
        </w:rPr>
        <w:t>在规定时间内</w:t>
      </w:r>
      <w:r>
        <w:rPr>
          <w:rFonts w:hint="eastAsia" w:ascii="宋体" w:hAnsi="宋体" w:eastAsia="宋体" w:cs="宋体"/>
          <w:color w:val="auto"/>
          <w:spacing w:val="-1"/>
          <w:position w:val="17"/>
          <w:sz w:val="24"/>
          <w:szCs w:val="24"/>
          <w:highlight w:val="none"/>
          <w:lang w:eastAsia="zh-CN"/>
        </w:rPr>
        <w:t>与采购人签订采购合同，如未在规定的时间内签订采购合同，采购人有权取消其中标资格并没收其投标保证金，采购单位管理部门有权按“无正当理由放弃成交”对成交供应商进行处理。</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（3）采购合同的签订：采购合同由中标供应商与采购人签订。</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2、</w:t>
      </w:r>
      <w:r>
        <w:rPr>
          <w:rFonts w:hint="eastAsia" w:ascii="宋体" w:hAnsi="宋体" w:eastAsia="宋体" w:cs="宋体"/>
          <w:color w:val="auto"/>
          <w:spacing w:val="-1"/>
          <w:position w:val="17"/>
          <w:sz w:val="24"/>
          <w:szCs w:val="24"/>
          <w:highlight w:val="none"/>
          <w:lang w:val="en-US" w:eastAsia="zh-CN"/>
        </w:rPr>
        <w:t>合同工期：1年。</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eastAsia="zh-CN"/>
        </w:rPr>
        <w:t>3、运行维护服务费的结算</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3.</w:t>
      </w:r>
      <w:r>
        <w:rPr>
          <w:rFonts w:hint="eastAsia" w:ascii="宋体" w:hAnsi="宋体" w:eastAsia="宋体" w:cs="宋体"/>
          <w:color w:val="auto"/>
          <w:spacing w:val="-1"/>
          <w:position w:val="17"/>
          <w:sz w:val="24"/>
          <w:szCs w:val="24"/>
          <w:highlight w:val="none"/>
          <w:lang w:eastAsia="zh-CN"/>
        </w:rPr>
        <w:t>1、本项目运行维护费包括视频专线电路租赁费、维护人工费、结算税金等所有费用。</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3.</w:t>
      </w:r>
      <w:r>
        <w:rPr>
          <w:rFonts w:hint="eastAsia" w:ascii="宋体" w:hAnsi="宋体" w:eastAsia="宋体" w:cs="宋体"/>
          <w:color w:val="auto"/>
          <w:spacing w:val="-1"/>
          <w:position w:val="17"/>
          <w:sz w:val="24"/>
          <w:szCs w:val="24"/>
          <w:highlight w:val="none"/>
          <w:lang w:eastAsia="zh-CN"/>
        </w:rPr>
        <w:t>2、本项目运行维护费实行一年一结算。</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4</w:t>
      </w:r>
      <w:r>
        <w:rPr>
          <w:rFonts w:hint="eastAsia" w:ascii="宋体" w:hAnsi="宋体" w:eastAsia="宋体" w:cs="宋体"/>
          <w:color w:val="auto"/>
          <w:spacing w:val="-1"/>
          <w:position w:val="17"/>
          <w:sz w:val="24"/>
          <w:szCs w:val="24"/>
          <w:highlight w:val="none"/>
          <w:lang w:eastAsia="zh-CN"/>
        </w:rPr>
        <w:t>、</w:t>
      </w:r>
      <w:bookmarkStart w:id="2" w:name="OLE_LINK31"/>
      <w:r>
        <w:rPr>
          <w:rFonts w:hint="eastAsia" w:ascii="宋体" w:hAnsi="宋体" w:eastAsia="宋体" w:cs="宋体"/>
          <w:color w:val="auto"/>
          <w:spacing w:val="-1"/>
          <w:position w:val="17"/>
          <w:sz w:val="24"/>
          <w:szCs w:val="24"/>
          <w:highlight w:val="none"/>
          <w:lang w:eastAsia="zh-CN"/>
        </w:rPr>
        <w:t>履约保证金：本项目履约保证金为中标价的5%，履约保证金可采用银行转账或银行保函方式提交，</w:t>
      </w:r>
      <w:r>
        <w:rPr>
          <w:rFonts w:hint="eastAsia" w:ascii="宋体" w:hAnsi="宋体" w:eastAsia="宋体" w:cs="宋体"/>
          <w:color w:val="auto"/>
          <w:spacing w:val="-1"/>
          <w:position w:val="17"/>
          <w:sz w:val="24"/>
          <w:szCs w:val="24"/>
          <w:highlight w:val="none"/>
          <w:lang w:val="zh-CN" w:eastAsia="zh-CN"/>
        </w:rPr>
        <w:t>有效期须与本项目履行期相同或更长，否则视为无效。</w:t>
      </w:r>
      <w:r>
        <w:rPr>
          <w:rFonts w:hint="eastAsia" w:ascii="宋体" w:hAnsi="宋体" w:eastAsia="宋体" w:cs="宋体"/>
          <w:color w:val="auto"/>
          <w:spacing w:val="-1"/>
          <w:position w:val="17"/>
          <w:sz w:val="24"/>
          <w:szCs w:val="24"/>
          <w:highlight w:val="none"/>
          <w:lang w:eastAsia="zh-CN"/>
        </w:rPr>
        <w:t>（采购合同签订前提交到采购人指定账户）履约保证金在履约期满后10天内一次性无息退还。</w:t>
      </w:r>
      <w:bookmarkEnd w:id="2"/>
    </w:p>
    <w:p>
      <w:pPr>
        <w:pageBreakBefore w:val="0"/>
        <w:widowControl w:val="0"/>
        <w:wordWrap/>
        <w:overflowPunct/>
        <w:topLinePunct w:val="0"/>
        <w:bidi w:val="0"/>
        <w:spacing w:before="183" w:line="360" w:lineRule="auto"/>
        <w:ind w:right="10"/>
        <w:jc w:val="both"/>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5.履约验收：服务商完成成果报告后，采购人组织对成果文件验收。服务商应严格按采购人指定地点、时间、标准完成服务项目，并保证所有的服务质量达到国家规定的标准。</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(1)在规定时间保质保量完成采购人交给的任务。</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(2)严格遵守采购人的所有的规定、制度，不给采购人造成经济和信誉的损失。</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(3)项目的执行能够达到采购人所要求的预期目标。</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6、保密要求：成交服务商在项目实施过程中，对采购人所提供的所有相关资料、</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数据，未经采购人书面同意不得向任何第三人泄露，且保密责任不因合同的终止或解</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除而失效。如采购人提出要求，成交服务商须无条件与采购人签定保密协议。项目完</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成后，成交服务商须把采购人提供的所有资料、数据完整归还采购人，并不得留存任</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何复制品。</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7、采购人不组织现场考察踏勘。投标人自行安排时间进行实地考察，以获得由响应服务商自己负责的有关编制投标文件和签署合同的所有信息，一旦中标这种考察即被认为其结果已在投标文件中的充分反映。考察现场的费用由投标人自行承担；</w:t>
      </w:r>
    </w:p>
    <w:p>
      <w:pPr>
        <w:pageBreakBefore w:val="0"/>
        <w:widowControl w:val="0"/>
        <w:wordWrap/>
        <w:overflowPunct/>
        <w:topLinePunct w:val="0"/>
        <w:bidi w:val="0"/>
        <w:spacing w:before="183" w:line="360" w:lineRule="auto"/>
        <w:ind w:right="10"/>
        <w:jc w:val="both"/>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8、未尽事宜，以签订合同为准。</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lang w:eastAsia="zh-CN"/>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Md4IK8VAgAAFwQAAA4AAAAAAAAA&#10;AQAgAAAAHwEAAGRycy9lMm9Eb2MueG1sUEsFBgAAAAAGAAYAWQEAAKY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1D098F"/>
    <w:multiLevelType w:val="singleLevel"/>
    <w:tmpl w:val="9C1D098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4D25FA1"/>
    <w:rsid w:val="24D25F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customStyle="1" w:styleId="2">
    <w:name w:val="Default"/>
    <w:next w:val="1"/>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table" w:customStyle="1" w:styleId="7">
    <w:name w:val="Table Normal"/>
    <w:semiHidden/>
    <w:unhideWhenUsed/>
    <w:qFormat/>
    <w:uiPriority w:val="0"/>
    <w:tblPr>
      <w:tblLayout w:type="fixed"/>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2026-05-12T02:26:00Z</dcterms:created>
  <dc:creator>Administrator</dc:creator>
  <cp:lastModifiedBy>Administrator</cp:lastModifiedBy>
  <dcterms:modified xsi:type="dcterms:W3CDTF">2026-05-12T02:26:42Z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