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F23C12">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采购需求</w:t>
      </w:r>
    </w:p>
    <w:p w14:paraId="35C4CE8A">
      <w:pPr>
        <w:keepNext w:val="0"/>
        <w:keepLines w:val="0"/>
        <w:pageBreakBefore w:val="0"/>
        <w:widowControl w:val="0"/>
        <w:kinsoku w:val="0"/>
        <w:wordWrap/>
        <w:overflowPunct/>
        <w:topLinePunct w:val="0"/>
        <w:autoSpaceDE w:val="0"/>
        <w:autoSpaceDN w:val="0"/>
        <w:bidi w:val="0"/>
        <w:adjustRightInd w:val="0"/>
        <w:snapToGrid w:val="0"/>
        <w:spacing w:before="78" w:line="219" w:lineRule="auto"/>
        <w:textAlignment w:val="baseline"/>
        <w:outlineLvl w:val="2"/>
        <w:rPr>
          <w:rFonts w:hint="eastAsia" w:ascii="宋体" w:hAnsi="宋体" w:eastAsia="宋体" w:cs="宋体"/>
          <w:b/>
          <w:bCs/>
          <w:color w:val="auto"/>
          <w:spacing w:val="0"/>
          <w:position w:val="0"/>
          <w:sz w:val="24"/>
          <w:szCs w:val="24"/>
          <w:highlight w:val="none"/>
        </w:rPr>
      </w:pPr>
      <w:bookmarkStart w:id="0" w:name="_Toc29894"/>
      <w:r>
        <w:rPr>
          <w:rFonts w:hint="eastAsia" w:ascii="宋体" w:hAnsi="宋体" w:eastAsia="宋体" w:cs="宋体"/>
          <w:b/>
          <w:bCs/>
          <w:color w:val="auto"/>
          <w:spacing w:val="0"/>
          <w:position w:val="0"/>
          <w:sz w:val="24"/>
          <w:szCs w:val="24"/>
          <w:highlight w:val="none"/>
        </w:rPr>
        <w:t>（一）</w:t>
      </w:r>
      <w:r>
        <w:rPr>
          <w:rFonts w:hint="eastAsia" w:ascii="宋体" w:hAnsi="宋体" w:eastAsia="宋体" w:cs="宋体"/>
          <w:b/>
          <w:bCs/>
          <w:color w:val="auto"/>
          <w:spacing w:val="0"/>
          <w:position w:val="0"/>
          <w:sz w:val="24"/>
          <w:szCs w:val="24"/>
          <w:highlight w:val="none"/>
          <w:lang w:val="en-US" w:eastAsia="zh-CN"/>
        </w:rPr>
        <w:t>服务</w:t>
      </w:r>
      <w:r>
        <w:rPr>
          <w:rFonts w:hint="eastAsia" w:ascii="宋体" w:hAnsi="宋体" w:eastAsia="宋体" w:cs="宋体"/>
          <w:b/>
          <w:bCs/>
          <w:color w:val="auto"/>
          <w:spacing w:val="0"/>
          <w:position w:val="0"/>
          <w:sz w:val="24"/>
          <w:szCs w:val="24"/>
          <w:highlight w:val="none"/>
        </w:rPr>
        <w:t>需求</w:t>
      </w:r>
      <w:bookmarkEnd w:id="0"/>
    </w:p>
    <w:p w14:paraId="09D9D910">
      <w:pPr>
        <w:spacing w:line="29" w:lineRule="exact"/>
        <w:rPr>
          <w:rFonts w:hint="eastAsia" w:ascii="宋体" w:hAnsi="宋体" w:eastAsia="宋体" w:cs="宋体"/>
          <w:color w:val="auto"/>
          <w:sz w:val="21"/>
          <w:szCs w:val="21"/>
          <w:highlight w:val="none"/>
        </w:rPr>
      </w:pPr>
    </w:p>
    <w:p w14:paraId="72745A73">
      <w:pPr>
        <w:spacing w:line="30" w:lineRule="exact"/>
        <w:rPr>
          <w:rFonts w:hint="eastAsia" w:ascii="宋体" w:hAnsi="宋体" w:eastAsia="宋体" w:cs="宋体"/>
          <w:color w:val="auto"/>
          <w:sz w:val="21"/>
          <w:szCs w:val="21"/>
          <w:highlight w:val="none"/>
        </w:rPr>
      </w:pPr>
    </w:p>
    <w:tbl>
      <w:tblPr>
        <w:tblStyle w:val="7"/>
        <w:tblW w:w="8831"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8"/>
        <w:gridCol w:w="3772"/>
        <w:gridCol w:w="4081"/>
      </w:tblGrid>
      <w:tr w14:paraId="62A7C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8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DE0379">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8"/>
                <w:szCs w:val="28"/>
                <w:highlight w:val="none"/>
                <w:u w:val="none"/>
                <w:lang w:val="en-US" w:eastAsia="zh-CN" w:bidi="ar"/>
              </w:rPr>
            </w:pPr>
            <w:r>
              <w:rPr>
                <w:rFonts w:hint="eastAsia" w:ascii="宋体" w:hAnsi="宋体" w:eastAsia="宋体" w:cs="宋体"/>
                <w:b/>
                <w:bCs/>
                <w:i w:val="0"/>
                <w:iCs w:val="0"/>
                <w:snapToGrid w:val="0"/>
                <w:color w:val="auto"/>
                <w:kern w:val="0"/>
                <w:sz w:val="28"/>
                <w:szCs w:val="28"/>
                <w:highlight w:val="none"/>
                <w:u w:val="none"/>
                <w:lang w:val="en-US" w:eastAsia="zh-CN" w:bidi="ar"/>
              </w:rPr>
              <w:t>2025年市公安局体检项目（男A）</w:t>
            </w:r>
          </w:p>
        </w:tc>
      </w:tr>
      <w:tr w14:paraId="30A3F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D7A16">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序号</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BAF61">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项目</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9EC49">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临床意义</w:t>
            </w:r>
          </w:p>
        </w:tc>
      </w:tr>
      <w:tr w14:paraId="128C2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BC89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4F39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血球全套</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952A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血液系统疾病：炎症、白血病、贫血等</w:t>
            </w:r>
          </w:p>
        </w:tc>
      </w:tr>
      <w:tr w14:paraId="4329E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3468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E43A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生化全套</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89A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了解肝、肾、血脂血糖、心肌酶等</w:t>
            </w:r>
          </w:p>
        </w:tc>
      </w:tr>
      <w:tr w14:paraId="429EC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0630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4688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同型半胱氨酸（Hcy）</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6905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各种心血管疾病</w:t>
            </w:r>
          </w:p>
        </w:tc>
      </w:tr>
      <w:tr w14:paraId="15860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FF4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D105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癌胚抗原（CEA）</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594A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消化系统肿瘤筛查</w:t>
            </w:r>
          </w:p>
        </w:tc>
      </w:tr>
      <w:tr w14:paraId="1C93C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E041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CFAA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甲胎蛋白（AFP）</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9B7F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原发性肝癌的重要指标</w:t>
            </w:r>
          </w:p>
        </w:tc>
      </w:tr>
      <w:tr w14:paraId="43C4F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2717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F4D0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细胞角蛋白19片段（CY-211）</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2AD8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肺癌</w:t>
            </w:r>
          </w:p>
        </w:tc>
      </w:tr>
      <w:tr w14:paraId="76529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E5F4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2161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糖类抗原CA199</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E7ED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胰腺癌</w:t>
            </w:r>
          </w:p>
        </w:tc>
      </w:tr>
      <w:tr w14:paraId="1175A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EF03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F85E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糖类抗原CA724</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744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胃癌</w:t>
            </w:r>
          </w:p>
        </w:tc>
      </w:tr>
      <w:tr w14:paraId="44925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3648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CEFB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糖类抗原CA-153</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D776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乳腺、肺癌</w:t>
            </w:r>
          </w:p>
        </w:tc>
      </w:tr>
      <w:tr w14:paraId="766AD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6C48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7E2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TPSA（男）</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EB1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总前列腺特异性抗原</w:t>
            </w:r>
          </w:p>
        </w:tc>
      </w:tr>
      <w:tr w14:paraId="2ECA6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B46C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8698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鼻咽癌早筛EB病毒六项</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1EA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鼻咽癌</w:t>
            </w:r>
          </w:p>
        </w:tc>
      </w:tr>
      <w:tr w14:paraId="0F29F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36C1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D39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腹部（肝胆胰脾）彩超</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494F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各脏器有无形态学改变及占位性病变（肿瘤、结石、囊肿等）</w:t>
            </w:r>
          </w:p>
        </w:tc>
      </w:tr>
      <w:tr w14:paraId="2A949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A444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9258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泌尿系（双肾+前列腺）彩超</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39BA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检查双肾有无结石、积水，前列腺是否有增生或肿瘤</w:t>
            </w:r>
          </w:p>
        </w:tc>
      </w:tr>
      <w:tr w14:paraId="6E150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AC4D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DF06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双侧颈动脉+锁骨下动脉彩超</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7DA9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可以显示颈动脉、锁骨下动脉内-中膜的厚度，斑块的大小、位置、性质以及血管狭窄的程度和有无闭塞。</w:t>
            </w:r>
          </w:p>
        </w:tc>
      </w:tr>
      <w:tr w14:paraId="1E315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7821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A41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甲状腺彩超</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ADAE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检查甲状腺有无结节、囊肿等</w:t>
            </w:r>
          </w:p>
        </w:tc>
      </w:tr>
      <w:tr w14:paraId="72F71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06AF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9B0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成人心脏彩超（需预约）</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8689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心脏彩超是心血管疾病当中最为重要的检查方式之一，医生可以通过心脏彩超了解心瓣膜病变的程度、提示心肌缺血的部位、三尖瓣关闭不全、主动脉瓣狭窄合并关闭不全、二尖瓣闭锁不全等</w:t>
            </w:r>
          </w:p>
        </w:tc>
      </w:tr>
      <w:tr w14:paraId="02B74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1E0F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72C0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胸正位片</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6A6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了解肺部、纵膈、情况（一个部位）</w:t>
            </w:r>
          </w:p>
        </w:tc>
      </w:tr>
      <w:tr w14:paraId="406FD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A09F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C9CF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颈椎侧位片</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4B99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颈椎病变、颈椎骨质增生（一个部位）</w:t>
            </w:r>
          </w:p>
        </w:tc>
      </w:tr>
      <w:tr w14:paraId="25C90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871F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1893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十二导心电图</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803E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了解心脏有无缺血、心率失常、传导阻滞等</w:t>
            </w:r>
          </w:p>
        </w:tc>
      </w:tr>
      <w:tr w14:paraId="7C404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FFFE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7F5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尿液分析</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448B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筛查肾炎、尿路感染、血尿等</w:t>
            </w:r>
          </w:p>
        </w:tc>
      </w:tr>
      <w:tr w14:paraId="3DC3B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2D3E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21</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33B7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内科，血压</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F765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有无血压脉搏异常，主任医生总检</w:t>
            </w:r>
          </w:p>
        </w:tc>
      </w:tr>
      <w:tr w14:paraId="18E9D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3070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22</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6C82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C14幽门螺杆菌检测（未婚、备孕者禁做）</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43AA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判断胃内有无幽门螺杆菌感染，此感染与胃炎、消化性溃疡、胃癌等发病关系密切</w:t>
            </w:r>
          </w:p>
        </w:tc>
      </w:tr>
      <w:tr w14:paraId="0AC39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D650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23</w:t>
            </w:r>
          </w:p>
        </w:tc>
        <w:tc>
          <w:tcPr>
            <w:tcW w:w="3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61E2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大便隐血检测</w:t>
            </w:r>
          </w:p>
        </w:tc>
        <w:tc>
          <w:tcPr>
            <w:tcW w:w="4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0666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大肠癌早期筛查</w:t>
            </w:r>
          </w:p>
        </w:tc>
      </w:tr>
    </w:tbl>
    <w:p w14:paraId="592FC18C">
      <w:pPr>
        <w:pageBreakBefore w:val="0"/>
        <w:widowControl w:val="0"/>
        <w:wordWrap/>
        <w:overflowPunct/>
        <w:topLinePunct w:val="0"/>
        <w:bidi w:val="0"/>
        <w:spacing w:line="242" w:lineRule="auto"/>
        <w:rPr>
          <w:color w:val="auto"/>
          <w:highlight w:val="none"/>
        </w:rPr>
      </w:pPr>
    </w:p>
    <w:p w14:paraId="6CC553CA">
      <w:pPr>
        <w:pageBreakBefore w:val="0"/>
        <w:widowControl w:val="0"/>
        <w:wordWrap/>
        <w:overflowPunct/>
        <w:topLinePunct w:val="0"/>
        <w:bidi w:val="0"/>
        <w:spacing w:line="242" w:lineRule="auto"/>
        <w:rPr>
          <w:color w:val="auto"/>
          <w:highlight w:val="none"/>
        </w:rPr>
      </w:pPr>
    </w:p>
    <w:tbl>
      <w:tblPr>
        <w:tblStyle w:val="7"/>
        <w:tblW w:w="876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04"/>
        <w:gridCol w:w="3773"/>
        <w:gridCol w:w="4083"/>
      </w:tblGrid>
      <w:tr w14:paraId="6700E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7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583B07">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8"/>
                <w:szCs w:val="28"/>
                <w:highlight w:val="none"/>
                <w:u w:val="none"/>
                <w:lang w:val="en-US" w:eastAsia="zh-CN" w:bidi="ar"/>
              </w:rPr>
            </w:pPr>
            <w:r>
              <w:rPr>
                <w:rFonts w:hint="eastAsia" w:ascii="宋体" w:hAnsi="宋体" w:eastAsia="宋体" w:cs="宋体"/>
                <w:b/>
                <w:bCs/>
                <w:i w:val="0"/>
                <w:iCs w:val="0"/>
                <w:snapToGrid w:val="0"/>
                <w:color w:val="auto"/>
                <w:kern w:val="0"/>
                <w:sz w:val="28"/>
                <w:szCs w:val="28"/>
                <w:highlight w:val="none"/>
                <w:u w:val="none"/>
                <w:lang w:val="en-US" w:eastAsia="zh-CN" w:bidi="ar"/>
              </w:rPr>
              <w:t>2025年市公安局体检项目（男B）</w:t>
            </w:r>
          </w:p>
        </w:tc>
      </w:tr>
      <w:tr w14:paraId="3F402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75ABB">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序号</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F3356">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项目</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8FC46">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临床意义</w:t>
            </w:r>
          </w:p>
        </w:tc>
      </w:tr>
      <w:tr w14:paraId="6D9CB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B9D6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4431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小肝功能</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94DA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肝功能有无损害</w:t>
            </w:r>
          </w:p>
        </w:tc>
      </w:tr>
      <w:tr w14:paraId="11A7A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EED7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86D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血脂血糖</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BEEF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发现动脉粥样硬化、冠心病、糖尿病</w:t>
            </w:r>
          </w:p>
        </w:tc>
      </w:tr>
      <w:tr w14:paraId="4DB9B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5360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43B8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血球全套</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9300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血液系统疾病：炎症、白血病、贫血等</w:t>
            </w:r>
          </w:p>
        </w:tc>
      </w:tr>
      <w:tr w14:paraId="350C4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6273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B98F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肾功能</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2DA7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肾功能有无损害、尿毒症、痛风等</w:t>
            </w:r>
          </w:p>
        </w:tc>
      </w:tr>
      <w:tr w14:paraId="4CB72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E3D7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5149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同型半胱氨酸（Hcy）</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A0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各种心血管疾病</w:t>
            </w:r>
          </w:p>
        </w:tc>
      </w:tr>
      <w:tr w14:paraId="4DBC4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EAC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DFDE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癌胚抗原（CEA）</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A04E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消化系统肿瘤筛查</w:t>
            </w:r>
          </w:p>
        </w:tc>
      </w:tr>
      <w:tr w14:paraId="466FF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35F3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944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甲胎蛋白（AFP）</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3A6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原发性肝癌的重要指标</w:t>
            </w:r>
          </w:p>
        </w:tc>
      </w:tr>
      <w:tr w14:paraId="7DC75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C7D2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7B4C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糖类抗原CA199</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F710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胰腺癌</w:t>
            </w:r>
          </w:p>
        </w:tc>
      </w:tr>
      <w:tr w14:paraId="77C48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C13A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C001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糖类抗原CA724</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C00F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胃癌</w:t>
            </w:r>
          </w:p>
        </w:tc>
      </w:tr>
      <w:tr w14:paraId="07A6D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A9B0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894A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糖类抗原CA-153</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D9B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乳腺、肺癌</w:t>
            </w:r>
          </w:p>
        </w:tc>
      </w:tr>
      <w:tr w14:paraId="6480A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C4F7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9D14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TPSA（男）</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7A43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总前列腺特异性抗原</w:t>
            </w:r>
          </w:p>
        </w:tc>
      </w:tr>
      <w:tr w14:paraId="0A4A6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CD41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BC9C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细胞角蛋白19片段（CY-211）</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7BE4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肺癌</w:t>
            </w:r>
          </w:p>
        </w:tc>
      </w:tr>
      <w:tr w14:paraId="7FCDC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E237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50BF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鼻咽癌早筛EB病毒六项</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46E4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鼻咽癌</w:t>
            </w:r>
          </w:p>
        </w:tc>
      </w:tr>
      <w:tr w14:paraId="2DF0B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8217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7794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腹部（肝胆胰脾）彩超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795C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各脏器有无形态学改变及占位性病变（肿瘤、结石、囊肿等）</w:t>
            </w:r>
          </w:p>
        </w:tc>
      </w:tr>
      <w:tr w14:paraId="66C8A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0CF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EC2B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泌尿系（双肾+前列腺）彩超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F72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检查双肾有无结石、积水，前列腺是否有增生或肿瘤</w:t>
            </w:r>
          </w:p>
        </w:tc>
      </w:tr>
      <w:tr w14:paraId="1D88F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6D7E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8F1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双侧颈动脉+锁骨下动脉彩超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F050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可以显示颈动脉、锁骨下动脉内-中膜的厚度，斑块的大小、位置、性质以及血管狭窄的程度和有无闭塞。</w:t>
            </w:r>
          </w:p>
        </w:tc>
      </w:tr>
      <w:tr w14:paraId="0BD1B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54A8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D62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颈椎侧位片</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23EF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颈椎病变、颈椎骨质增生（一个部位）</w:t>
            </w:r>
          </w:p>
        </w:tc>
      </w:tr>
      <w:tr w14:paraId="04CEA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1D19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4348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十二导心电图</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F5BE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了解心脏有无缺血、心率失常、传导阻滞等</w:t>
            </w:r>
          </w:p>
        </w:tc>
      </w:tr>
      <w:tr w14:paraId="66134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326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A99B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尿液分析</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21D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筛查肾炎、尿路感染、血尿等</w:t>
            </w:r>
          </w:p>
        </w:tc>
      </w:tr>
      <w:tr w14:paraId="020BE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12C4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188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内科，血压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78D6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有无血压脉搏异常，主任医生总检</w:t>
            </w:r>
          </w:p>
        </w:tc>
      </w:tr>
      <w:tr w14:paraId="6F2C2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2A0A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6FA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C14幽门螺杆菌检测（未婚、备孕者禁做）</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0257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判断胃内有无幽门螺杆菌感染，此感染与胃炎、消化性溃疡、胃癌等发病关系密切</w:t>
            </w:r>
          </w:p>
        </w:tc>
      </w:tr>
      <w:tr w14:paraId="5C514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AAC6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8009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Style w:val="9"/>
                <w:snapToGrid w:val="0"/>
                <w:color w:val="auto"/>
                <w:highlight w:val="none"/>
                <w:lang w:val="en-US" w:eastAsia="zh-CN" w:bidi="ar"/>
              </w:rPr>
              <w:t>肺窗</w:t>
            </w:r>
            <w:r>
              <w:rPr>
                <w:rFonts w:hint="default" w:ascii="Times New Roman" w:hAnsi="Times New Roman" w:eastAsia="宋体" w:cs="Times New Roman"/>
                <w:i w:val="0"/>
                <w:iCs w:val="0"/>
                <w:snapToGrid w:val="0"/>
                <w:color w:val="auto"/>
                <w:kern w:val="0"/>
                <w:sz w:val="24"/>
                <w:szCs w:val="24"/>
                <w:highlight w:val="none"/>
                <w:u w:val="none"/>
                <w:lang w:val="en-US" w:eastAsia="zh-CN" w:bidi="ar"/>
              </w:rPr>
              <w:t>(</w:t>
            </w:r>
            <w:r>
              <w:rPr>
                <w:rStyle w:val="9"/>
                <w:snapToGrid w:val="0"/>
                <w:color w:val="auto"/>
                <w:highlight w:val="none"/>
                <w:lang w:val="en-US" w:eastAsia="zh-CN" w:bidi="ar"/>
              </w:rPr>
              <w:t>无片）</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AF9F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检查肺部有无结节、炎症</w:t>
            </w:r>
          </w:p>
        </w:tc>
      </w:tr>
      <w:tr w14:paraId="691E5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A40F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4E44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大便隐血检测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39DC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大肠癌早期筛查</w:t>
            </w:r>
          </w:p>
        </w:tc>
      </w:tr>
    </w:tbl>
    <w:p w14:paraId="288B8091">
      <w:pPr>
        <w:pageBreakBefore w:val="0"/>
        <w:widowControl w:val="0"/>
        <w:wordWrap/>
        <w:overflowPunct/>
        <w:topLinePunct w:val="0"/>
        <w:bidi w:val="0"/>
        <w:spacing w:line="242" w:lineRule="auto"/>
        <w:rPr>
          <w:color w:val="auto"/>
          <w:highlight w:val="none"/>
        </w:rPr>
      </w:pPr>
    </w:p>
    <w:p w14:paraId="46C5B174">
      <w:pPr>
        <w:pageBreakBefore w:val="0"/>
        <w:widowControl w:val="0"/>
        <w:wordWrap/>
        <w:overflowPunct/>
        <w:topLinePunct w:val="0"/>
        <w:bidi w:val="0"/>
        <w:spacing w:line="242" w:lineRule="auto"/>
        <w:rPr>
          <w:color w:val="auto"/>
          <w:highlight w:val="none"/>
        </w:rPr>
      </w:pPr>
    </w:p>
    <w:tbl>
      <w:tblPr>
        <w:tblStyle w:val="7"/>
        <w:tblW w:w="876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04"/>
        <w:gridCol w:w="3773"/>
        <w:gridCol w:w="4083"/>
      </w:tblGrid>
      <w:tr w14:paraId="6A45C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7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7A6671">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8"/>
                <w:szCs w:val="28"/>
                <w:highlight w:val="none"/>
                <w:u w:val="none"/>
                <w:lang w:val="en-US" w:eastAsia="zh-CN" w:bidi="ar"/>
              </w:rPr>
            </w:pPr>
            <w:r>
              <w:rPr>
                <w:rFonts w:hint="eastAsia" w:ascii="宋体" w:hAnsi="宋体" w:eastAsia="宋体" w:cs="宋体"/>
                <w:b/>
                <w:bCs/>
                <w:i w:val="0"/>
                <w:iCs w:val="0"/>
                <w:snapToGrid w:val="0"/>
                <w:color w:val="auto"/>
                <w:kern w:val="0"/>
                <w:sz w:val="28"/>
                <w:szCs w:val="28"/>
                <w:highlight w:val="none"/>
                <w:u w:val="none"/>
                <w:lang w:val="en-US" w:eastAsia="zh-CN" w:bidi="ar"/>
              </w:rPr>
              <w:t>2025年市公安局体检项目（女A）</w:t>
            </w:r>
          </w:p>
        </w:tc>
      </w:tr>
      <w:tr w14:paraId="19F3E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D0AEF">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序号</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4932A">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项目</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E0EC2">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临床意义</w:t>
            </w:r>
          </w:p>
        </w:tc>
      </w:tr>
      <w:tr w14:paraId="6A835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5C43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E745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血球全套</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DDD7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血液系统疾病：炎症、白血病、贫血等</w:t>
            </w:r>
          </w:p>
        </w:tc>
      </w:tr>
      <w:tr w14:paraId="3B95D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04E4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7862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生化全套</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53B5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了解肝、肾、血脂血糖、心肌酶等</w:t>
            </w:r>
          </w:p>
        </w:tc>
      </w:tr>
      <w:tr w14:paraId="48847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FD87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9B4E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同型半胱氨酸（Hcy）</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60D4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各种心血管疾病</w:t>
            </w:r>
          </w:p>
        </w:tc>
      </w:tr>
      <w:tr w14:paraId="05368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DCA5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F421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癌胚抗原（CEA）</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FE25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消化系统肿瘤筛查</w:t>
            </w:r>
          </w:p>
        </w:tc>
      </w:tr>
      <w:tr w14:paraId="7D64C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33F8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FF19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甲胎蛋白（AFP）</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720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原发性肝癌的重要指标</w:t>
            </w:r>
          </w:p>
        </w:tc>
      </w:tr>
      <w:tr w14:paraId="6475B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D398B">
            <w:pPr>
              <w:jc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0766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血清铁蛋白</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5DA3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可诊断缺铁性贫血、溶血性贫血指标</w:t>
            </w:r>
          </w:p>
        </w:tc>
      </w:tr>
      <w:tr w14:paraId="0C793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82B1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4FC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糖类抗原CA-153</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313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乳腺、肺癌</w:t>
            </w:r>
          </w:p>
        </w:tc>
      </w:tr>
      <w:tr w14:paraId="78959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95BE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64B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糖类抗原CA125</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C8E0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卵巢癌</w:t>
            </w:r>
          </w:p>
        </w:tc>
      </w:tr>
      <w:tr w14:paraId="7F0E4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252F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C147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细胞角蛋白19片段（CY-211）</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4667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肺癌</w:t>
            </w:r>
          </w:p>
        </w:tc>
      </w:tr>
      <w:tr w14:paraId="1AE18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95BA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AC6E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腹部（肝胆胰脾）+泌尿系（双肾）彩超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32E4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各脏器有无形态学改变及占位性病变（肿瘤、结石、囊肿等）</w:t>
            </w:r>
          </w:p>
        </w:tc>
      </w:tr>
      <w:tr w14:paraId="0CDBE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36EA8">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5BF4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子宫、附件彩超（憋尿做）</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6990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检查子宫及附件是否有肿瘤或卵巢囊肿</w:t>
            </w:r>
          </w:p>
        </w:tc>
      </w:tr>
      <w:tr w14:paraId="1F123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6788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87C7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乳腺彩超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B1E4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检查乳腺是否有肿块或乳腺癌</w:t>
            </w:r>
          </w:p>
        </w:tc>
      </w:tr>
      <w:tr w14:paraId="0913C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F0B3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B822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甲状腺彩超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9F47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检查甲状腺有无结节、囊肿等</w:t>
            </w:r>
          </w:p>
        </w:tc>
      </w:tr>
      <w:tr w14:paraId="1750E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BAE3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2937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HPV（人乳头瘤病毒基因分型检测）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CBD4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人乳头瘤病毒感染是宫颈癌的病因</w:t>
            </w:r>
          </w:p>
        </w:tc>
      </w:tr>
      <w:tr w14:paraId="40156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6"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CD1D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C979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细菌性阴道病检测（</w:t>
            </w:r>
            <w:r>
              <w:rPr>
                <w:rFonts w:hint="default" w:ascii="Times New Roman" w:hAnsi="Times New Roman" w:eastAsia="宋体" w:cs="Times New Roman"/>
                <w:i w:val="0"/>
                <w:iCs w:val="0"/>
                <w:snapToGrid w:val="0"/>
                <w:color w:val="auto"/>
                <w:kern w:val="0"/>
                <w:sz w:val="24"/>
                <w:szCs w:val="24"/>
                <w:highlight w:val="none"/>
                <w:u w:val="none"/>
                <w:lang w:val="en-US" w:eastAsia="zh-CN" w:bidi="ar"/>
              </w:rPr>
              <w:t>BV</w:t>
            </w:r>
            <w:r>
              <w:rPr>
                <w:rFonts w:hint="eastAsia" w:ascii="宋体" w:hAnsi="宋体" w:eastAsia="宋体" w:cs="宋体"/>
                <w:i w:val="0"/>
                <w:iCs w:val="0"/>
                <w:snapToGrid w:val="0"/>
                <w:color w:val="auto"/>
                <w:kern w:val="0"/>
                <w:sz w:val="24"/>
                <w:szCs w:val="24"/>
                <w:highlight w:val="none"/>
                <w:u w:val="none"/>
                <w:lang w:val="en-US" w:eastAsia="zh-CN" w:bidi="ar"/>
              </w:rPr>
              <w:t>）</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DA96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细菌性阴道病(BV)是妇产科常见病、多发病之一,感染率较高,且易复发,对妇女及其妊娠具有很大的危害性</w:t>
            </w:r>
          </w:p>
        </w:tc>
      </w:tr>
      <w:tr w14:paraId="49F2D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20AE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EC4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胸部正位片</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79D6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了解肺部、纵膈、情况（一个部位）</w:t>
            </w:r>
          </w:p>
        </w:tc>
      </w:tr>
      <w:tr w14:paraId="549B4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BEBE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37C4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十二导心电图</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E3E9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了解心脏有无缺血、心率失常、传导阻滞等</w:t>
            </w:r>
          </w:p>
        </w:tc>
      </w:tr>
      <w:tr w14:paraId="119B6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5A73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F93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尿液分析</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0BB1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筛查肾炎、尿路感染、血尿等</w:t>
            </w:r>
          </w:p>
        </w:tc>
      </w:tr>
      <w:tr w14:paraId="13DCC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4DCB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E5FF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内科，血压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120D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有无血压脉搏异常，主任医生总检</w:t>
            </w:r>
          </w:p>
        </w:tc>
      </w:tr>
      <w:tr w14:paraId="6584B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EB7B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9C1F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C14幽门螺杆菌检测（未婚、备孕者禁做）</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4410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判断胃内有无幽门螺杆菌感染，此感染与胃炎、消化性溃疡、胃癌等发病关系密切</w:t>
            </w:r>
          </w:p>
        </w:tc>
      </w:tr>
      <w:tr w14:paraId="3D8EB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2A2EA">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5DDD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大便隐血检测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4D84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大肠癌早期筛查</w:t>
            </w:r>
          </w:p>
        </w:tc>
      </w:tr>
    </w:tbl>
    <w:p w14:paraId="4747D5B4">
      <w:pPr>
        <w:pageBreakBefore w:val="0"/>
        <w:widowControl w:val="0"/>
        <w:wordWrap/>
        <w:overflowPunct/>
        <w:topLinePunct w:val="0"/>
        <w:bidi w:val="0"/>
        <w:spacing w:line="242" w:lineRule="auto"/>
        <w:rPr>
          <w:color w:val="auto"/>
          <w:highlight w:val="none"/>
        </w:rPr>
      </w:pPr>
    </w:p>
    <w:p w14:paraId="5EB6AA7D">
      <w:pPr>
        <w:pageBreakBefore w:val="0"/>
        <w:widowControl w:val="0"/>
        <w:wordWrap/>
        <w:overflowPunct/>
        <w:topLinePunct w:val="0"/>
        <w:bidi w:val="0"/>
        <w:spacing w:line="242" w:lineRule="auto"/>
        <w:rPr>
          <w:color w:val="auto"/>
          <w:highlight w:val="none"/>
        </w:rPr>
      </w:pPr>
    </w:p>
    <w:tbl>
      <w:tblPr>
        <w:tblStyle w:val="7"/>
        <w:tblW w:w="876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04"/>
        <w:gridCol w:w="3773"/>
        <w:gridCol w:w="4083"/>
      </w:tblGrid>
      <w:tr w14:paraId="400BC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7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4AED4E">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8"/>
                <w:szCs w:val="28"/>
                <w:highlight w:val="none"/>
                <w:u w:val="none"/>
                <w:lang w:val="en-US" w:eastAsia="zh-CN" w:bidi="ar"/>
              </w:rPr>
            </w:pPr>
            <w:r>
              <w:rPr>
                <w:rFonts w:hint="eastAsia" w:ascii="宋体" w:hAnsi="宋体" w:eastAsia="宋体" w:cs="宋体"/>
                <w:b/>
                <w:bCs/>
                <w:i w:val="0"/>
                <w:iCs w:val="0"/>
                <w:snapToGrid w:val="0"/>
                <w:color w:val="auto"/>
                <w:kern w:val="0"/>
                <w:sz w:val="28"/>
                <w:szCs w:val="28"/>
                <w:highlight w:val="none"/>
                <w:u w:val="none"/>
                <w:lang w:val="en-US" w:eastAsia="zh-CN" w:bidi="ar"/>
              </w:rPr>
              <w:t>2025年市公安局体检项目（女B）</w:t>
            </w:r>
          </w:p>
        </w:tc>
      </w:tr>
      <w:tr w14:paraId="17C33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498AC">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序号</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41762">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项目</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97BE4">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临床意义</w:t>
            </w:r>
          </w:p>
        </w:tc>
      </w:tr>
      <w:tr w14:paraId="66584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90DE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5DC1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小肝功能</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6D3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肝功能有无损害</w:t>
            </w:r>
          </w:p>
        </w:tc>
      </w:tr>
      <w:tr w14:paraId="7AAF1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5370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A79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血脂血糖</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A66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发现动脉粥样硬化、冠心病、糖尿病</w:t>
            </w:r>
          </w:p>
        </w:tc>
      </w:tr>
      <w:tr w14:paraId="07337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927C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F6B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血球全套</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A75E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血液系统疾病：炎症、白血病、贫血等</w:t>
            </w:r>
          </w:p>
        </w:tc>
      </w:tr>
      <w:tr w14:paraId="1C89B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8BD9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54AA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肾功能</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FEDF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肾功能有无损害、尿毒症、痛风等</w:t>
            </w:r>
          </w:p>
        </w:tc>
      </w:tr>
      <w:tr w14:paraId="55953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BD8C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FD57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同型半胱氨酸（Hcy）</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973C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各种心血管疾病</w:t>
            </w:r>
          </w:p>
        </w:tc>
      </w:tr>
      <w:tr w14:paraId="6289C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C4A1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FBA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癌胚抗原（CEA）</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7ABC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消化系统肿瘤筛查</w:t>
            </w:r>
          </w:p>
        </w:tc>
      </w:tr>
      <w:tr w14:paraId="6047B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BD42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934B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甲胎蛋白（AFP）</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CD02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原发性肝癌的重要指标</w:t>
            </w:r>
          </w:p>
        </w:tc>
      </w:tr>
      <w:tr w14:paraId="38F37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2883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26B4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糖类抗原CA-153</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34B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乳腺、肺癌</w:t>
            </w:r>
          </w:p>
        </w:tc>
      </w:tr>
      <w:tr w14:paraId="1FCA4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95F8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44A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糖类抗原CA125</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C669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卵巢癌</w:t>
            </w:r>
          </w:p>
        </w:tc>
      </w:tr>
      <w:tr w14:paraId="0E7A6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04C4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92A8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腹部（肝胆胰脾）+泌尿系（双肾）彩超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CD4C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各脏器有无形态学改变及占位性病变（肿瘤、结石、囊肿等）</w:t>
            </w:r>
          </w:p>
        </w:tc>
      </w:tr>
      <w:tr w14:paraId="7DCC9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F939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E490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子宫、附件彩超（憋尿做）</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19D4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检查子宫及附件是否有肿瘤或卵巢囊肿</w:t>
            </w:r>
          </w:p>
        </w:tc>
      </w:tr>
      <w:tr w14:paraId="73172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5AEB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DE6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乳腺彩超 </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E653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检查乳腺是否有肿块或乳腺癌</w:t>
            </w:r>
          </w:p>
        </w:tc>
      </w:tr>
      <w:tr w14:paraId="1359E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45DF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2CF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HPV（人乳头瘤病毒基因分型检测）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110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人乳头瘤病毒感染是宫颈癌的病因</w:t>
            </w:r>
          </w:p>
        </w:tc>
      </w:tr>
      <w:tr w14:paraId="7C420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6D4A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7CE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细菌性阴道病检测（</w:t>
            </w:r>
            <w:r>
              <w:rPr>
                <w:rFonts w:hint="default" w:ascii="Times New Roman" w:hAnsi="Times New Roman" w:eastAsia="宋体" w:cs="Times New Roman"/>
                <w:i w:val="0"/>
                <w:iCs w:val="0"/>
                <w:snapToGrid w:val="0"/>
                <w:color w:val="auto"/>
                <w:kern w:val="0"/>
                <w:sz w:val="24"/>
                <w:szCs w:val="24"/>
                <w:highlight w:val="none"/>
                <w:u w:val="none"/>
                <w:lang w:val="en-US" w:eastAsia="zh-CN" w:bidi="ar"/>
              </w:rPr>
              <w:t>BV</w:t>
            </w:r>
            <w:r>
              <w:rPr>
                <w:rFonts w:hint="eastAsia" w:ascii="宋体" w:hAnsi="宋体" w:eastAsia="宋体" w:cs="宋体"/>
                <w:i w:val="0"/>
                <w:iCs w:val="0"/>
                <w:snapToGrid w:val="0"/>
                <w:color w:val="auto"/>
                <w:kern w:val="0"/>
                <w:sz w:val="24"/>
                <w:szCs w:val="24"/>
                <w:highlight w:val="none"/>
                <w:u w:val="none"/>
                <w:lang w:val="en-US" w:eastAsia="zh-CN" w:bidi="ar"/>
              </w:rPr>
              <w:t>）</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3B64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细菌性阴道病(BV)是妇产科常见病、多发病之一,感染率较高,且易复发,对妇女及其妊娠具有很大的危害性</w:t>
            </w:r>
          </w:p>
        </w:tc>
      </w:tr>
      <w:tr w14:paraId="7BC04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960B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1A2D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十二导心电图</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985A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了解心脏有无缺血、心率失常、传导阻滞等</w:t>
            </w:r>
          </w:p>
        </w:tc>
      </w:tr>
      <w:tr w14:paraId="116D9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545A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F010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尿液分析</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C6D7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筛查肾炎、尿路感染、血尿等</w:t>
            </w:r>
          </w:p>
        </w:tc>
      </w:tr>
      <w:tr w14:paraId="0C06E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307C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3D0E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内科，血压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73C9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有无血压脉搏异常，主任医生总检</w:t>
            </w:r>
          </w:p>
        </w:tc>
      </w:tr>
      <w:tr w14:paraId="55E34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D24C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3FF7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肺窗</w:t>
            </w:r>
            <w:r>
              <w:rPr>
                <w:rFonts w:hint="default" w:ascii="Times New Roman" w:hAnsi="Times New Roman" w:eastAsia="宋体" w:cs="Times New Roman"/>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无片）</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5A07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检查肺部有无结节、炎症</w:t>
            </w:r>
          </w:p>
        </w:tc>
      </w:tr>
      <w:tr w14:paraId="6D83E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91EE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FB55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大便隐血检测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726A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大肠癌早期筛查</w:t>
            </w:r>
          </w:p>
        </w:tc>
      </w:tr>
    </w:tbl>
    <w:p w14:paraId="55056F22">
      <w:pPr>
        <w:pageBreakBefore w:val="0"/>
        <w:widowControl w:val="0"/>
        <w:wordWrap/>
        <w:overflowPunct/>
        <w:topLinePunct w:val="0"/>
        <w:bidi w:val="0"/>
        <w:spacing w:line="242" w:lineRule="auto"/>
        <w:rPr>
          <w:color w:val="auto"/>
          <w:highlight w:val="none"/>
        </w:rPr>
      </w:pPr>
    </w:p>
    <w:p w14:paraId="72735DEF">
      <w:pPr>
        <w:pageBreakBefore w:val="0"/>
        <w:widowControl w:val="0"/>
        <w:wordWrap/>
        <w:overflowPunct/>
        <w:topLinePunct w:val="0"/>
        <w:bidi w:val="0"/>
        <w:spacing w:line="243" w:lineRule="auto"/>
        <w:rPr>
          <w:color w:val="auto"/>
          <w:highlight w:val="none"/>
        </w:rPr>
      </w:pPr>
    </w:p>
    <w:tbl>
      <w:tblPr>
        <w:tblStyle w:val="7"/>
        <w:tblW w:w="876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04"/>
        <w:gridCol w:w="3773"/>
        <w:gridCol w:w="4083"/>
      </w:tblGrid>
      <w:tr w14:paraId="73F53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87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4CD3DD">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8"/>
                <w:szCs w:val="28"/>
                <w:highlight w:val="none"/>
                <w:u w:val="none"/>
                <w:lang w:val="en-US" w:eastAsia="zh-CN" w:bidi="ar"/>
              </w:rPr>
            </w:pPr>
            <w:r>
              <w:rPr>
                <w:rFonts w:hint="eastAsia" w:ascii="宋体" w:hAnsi="宋体" w:eastAsia="宋体" w:cs="宋体"/>
                <w:b/>
                <w:bCs/>
                <w:i w:val="0"/>
                <w:iCs w:val="0"/>
                <w:snapToGrid w:val="0"/>
                <w:color w:val="auto"/>
                <w:kern w:val="0"/>
                <w:sz w:val="28"/>
                <w:szCs w:val="28"/>
                <w:highlight w:val="none"/>
                <w:u w:val="none"/>
                <w:lang w:val="en-US" w:eastAsia="zh-CN" w:bidi="ar"/>
              </w:rPr>
              <w:t>2025年市公安局辅警体检项目表（男）</w:t>
            </w:r>
          </w:p>
        </w:tc>
      </w:tr>
      <w:tr w14:paraId="2EB45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6D1F4">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序号</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DA250">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项目</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CDB41">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临床意义</w:t>
            </w:r>
          </w:p>
        </w:tc>
      </w:tr>
      <w:tr w14:paraId="0FAF5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AB9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F0CDE">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血液检查：  小肝功能</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CC3B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肝功能有无损害</w:t>
            </w:r>
          </w:p>
        </w:tc>
      </w:tr>
      <w:tr w14:paraId="7BF41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B2CC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A3A3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血脂血糖</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8540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发现动脉粥样硬化、冠心病、糖尿病</w:t>
            </w:r>
          </w:p>
        </w:tc>
      </w:tr>
      <w:tr w14:paraId="62ADB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99F8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D14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肾功能</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BCA0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肾功能有无损害、尿毒症、痛风等</w:t>
            </w:r>
          </w:p>
        </w:tc>
      </w:tr>
      <w:tr w14:paraId="14BDE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196E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50E6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心肌酶谱</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E379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判断心肌损害及严重程度</w:t>
            </w:r>
          </w:p>
        </w:tc>
      </w:tr>
      <w:tr w14:paraId="71B27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1589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D848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血球全套</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A1F7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血液系统疾病：炎症、白血病、贫血等</w:t>
            </w:r>
          </w:p>
        </w:tc>
      </w:tr>
      <w:tr w14:paraId="73B33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E77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958F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癌胚抗原（CEA）</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DD12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消化系统肿瘤筛查</w:t>
            </w:r>
          </w:p>
        </w:tc>
      </w:tr>
      <w:tr w14:paraId="0D8A9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075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6AF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甲胎蛋白（AFP）</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1A17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原发性肝癌的重要指标</w:t>
            </w:r>
          </w:p>
        </w:tc>
      </w:tr>
      <w:tr w14:paraId="5F205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0E0F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77F3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糖类抗原CA199</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6A1F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胰腺癌</w:t>
            </w:r>
          </w:p>
        </w:tc>
      </w:tr>
      <w:tr w14:paraId="707CC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7D2B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3C1A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糖类抗原CA724</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A7B7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胃癌</w:t>
            </w:r>
          </w:p>
        </w:tc>
      </w:tr>
      <w:tr w14:paraId="4D710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B056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714F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TPSA（男）</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6D39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总前列腺特异性抗原</w:t>
            </w:r>
          </w:p>
        </w:tc>
      </w:tr>
      <w:tr w14:paraId="50114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E35C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DA042">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超声检查:腹部（肝胆胰脾）彩超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FAD8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各脏器有无形态学改变及占位性病变（肿瘤、结石、囊肿等）</w:t>
            </w:r>
          </w:p>
        </w:tc>
      </w:tr>
      <w:tr w14:paraId="6D98F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7943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2B62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泌尿系（双肾、前列腺）彩超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E3DC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检查双肾有无结石、积水，前列腺是否有增生或肿瘤</w:t>
            </w:r>
          </w:p>
        </w:tc>
      </w:tr>
      <w:tr w14:paraId="07BEF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12B8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6AA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甲状腺彩超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A734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检查甲状腺是否有结节、囊肿或肿瘤等</w:t>
            </w:r>
          </w:p>
        </w:tc>
      </w:tr>
      <w:tr w14:paraId="5E622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4"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A114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EED9A">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放射：      胸正位片</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2A2D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了解肺部、纵膈、情况（一个部位）</w:t>
            </w:r>
          </w:p>
        </w:tc>
      </w:tr>
      <w:tr w14:paraId="615CC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662C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C1931">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辅助检查：十二导心电图</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D61A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了解心脏有无缺血、心率失常、传导阻滞等</w:t>
            </w:r>
          </w:p>
        </w:tc>
      </w:tr>
      <w:tr w14:paraId="428CA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521A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305D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尿液分析</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B837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筛查肾炎、尿路感染、血尿等</w:t>
            </w:r>
          </w:p>
        </w:tc>
      </w:tr>
      <w:tr w14:paraId="14966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4BB5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E00F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内科，血压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2D8A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有无血压脉搏异常，主任医生总检</w:t>
            </w:r>
          </w:p>
        </w:tc>
      </w:tr>
      <w:tr w14:paraId="0EE43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6303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0C34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C14幽门螺杆菌检测（未婚、备孕者禁做）</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CC445">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判断胃内有无幽门螺杆菌感染，此感染与胃炎、消化性溃疡、胃癌等发病关系密切</w:t>
            </w:r>
          </w:p>
        </w:tc>
      </w:tr>
    </w:tbl>
    <w:p w14:paraId="08E448F4">
      <w:pPr>
        <w:pageBreakBefore w:val="0"/>
        <w:widowControl w:val="0"/>
        <w:wordWrap/>
        <w:overflowPunct/>
        <w:topLinePunct w:val="0"/>
        <w:bidi w:val="0"/>
        <w:spacing w:line="243" w:lineRule="auto"/>
        <w:rPr>
          <w:color w:val="auto"/>
          <w:highlight w:val="none"/>
        </w:rPr>
      </w:pPr>
    </w:p>
    <w:p w14:paraId="7F4CC4E7">
      <w:pPr>
        <w:pageBreakBefore w:val="0"/>
        <w:widowControl w:val="0"/>
        <w:wordWrap/>
        <w:overflowPunct/>
        <w:topLinePunct w:val="0"/>
        <w:bidi w:val="0"/>
        <w:spacing w:line="245" w:lineRule="auto"/>
        <w:rPr>
          <w:color w:val="auto"/>
          <w:highlight w:val="none"/>
          <w:lang w:eastAsia="zh-CN"/>
        </w:rPr>
      </w:pPr>
    </w:p>
    <w:tbl>
      <w:tblPr>
        <w:tblStyle w:val="7"/>
        <w:tblW w:w="876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04"/>
        <w:gridCol w:w="3773"/>
        <w:gridCol w:w="4083"/>
      </w:tblGrid>
      <w:tr w14:paraId="608B2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7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B2C0A0">
            <w:pPr>
              <w:keepNext w:val="0"/>
              <w:keepLines w:val="0"/>
              <w:widowControl/>
              <w:suppressLineNumbers w:val="0"/>
              <w:tabs>
                <w:tab w:val="left" w:pos="3759"/>
              </w:tabs>
              <w:jc w:val="center"/>
              <w:textAlignment w:val="center"/>
              <w:rPr>
                <w:rFonts w:hint="eastAsia" w:ascii="宋体" w:hAnsi="宋体" w:eastAsia="宋体" w:cs="宋体"/>
                <w:b/>
                <w:bCs/>
                <w:i w:val="0"/>
                <w:iCs w:val="0"/>
                <w:snapToGrid w:val="0"/>
                <w:color w:val="auto"/>
                <w:kern w:val="0"/>
                <w:sz w:val="28"/>
                <w:szCs w:val="28"/>
                <w:highlight w:val="none"/>
                <w:u w:val="none"/>
                <w:lang w:val="en-US" w:eastAsia="zh-CN" w:bidi="ar"/>
              </w:rPr>
            </w:pPr>
            <w:r>
              <w:rPr>
                <w:rFonts w:hint="eastAsia" w:ascii="宋体" w:hAnsi="宋体" w:eastAsia="宋体" w:cs="宋体"/>
                <w:b/>
                <w:bCs/>
                <w:i w:val="0"/>
                <w:iCs w:val="0"/>
                <w:snapToGrid w:val="0"/>
                <w:color w:val="auto"/>
                <w:kern w:val="0"/>
                <w:sz w:val="28"/>
                <w:szCs w:val="28"/>
                <w:highlight w:val="none"/>
                <w:u w:val="none"/>
                <w:lang w:val="en-US" w:eastAsia="zh-CN" w:bidi="ar"/>
              </w:rPr>
              <w:t>2025年市公安局辅警体检项目表（女）</w:t>
            </w:r>
          </w:p>
        </w:tc>
      </w:tr>
      <w:tr w14:paraId="10A6B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2074F">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序号</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85FFF">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项目</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A7161">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临床意义</w:t>
            </w:r>
          </w:p>
        </w:tc>
      </w:tr>
      <w:tr w14:paraId="480EE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571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E50A3">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血液检查：  小肝功能</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E4A8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肝功能有无损害</w:t>
            </w:r>
          </w:p>
        </w:tc>
      </w:tr>
      <w:tr w14:paraId="62405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4068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EF8B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血脂血糖</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BE23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发现动脉粥样硬化、冠心病、糖尿病</w:t>
            </w:r>
          </w:p>
        </w:tc>
      </w:tr>
      <w:tr w14:paraId="4A4F1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42F8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D1CE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肾功能</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489D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肾功能有无损害、尿毒症、痛风等</w:t>
            </w:r>
          </w:p>
        </w:tc>
      </w:tr>
      <w:tr w14:paraId="1195C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4C37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F83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心肌酶谱</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76CF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判断心肌损害及严重程度</w:t>
            </w:r>
          </w:p>
        </w:tc>
      </w:tr>
      <w:tr w14:paraId="090CB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016E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100B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血球全套</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0913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血液系统疾病：炎症、白血病、贫血等</w:t>
            </w:r>
          </w:p>
        </w:tc>
      </w:tr>
      <w:tr w14:paraId="00974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8F6F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0A5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癌胚抗原（CEA）</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7A84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消化系统肿瘤筛查</w:t>
            </w:r>
          </w:p>
        </w:tc>
      </w:tr>
      <w:tr w14:paraId="13FAE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3738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945B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甲胎蛋白（AFP）</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B698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原发性肝癌的重要指标</w:t>
            </w:r>
          </w:p>
        </w:tc>
      </w:tr>
      <w:tr w14:paraId="3B8C6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DFDF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BD22B">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超声检查:腹部（肝胆胰脾）+泌尿系（双肾）彩超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106E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各脏器有无形态学改变及占位性病变（肿瘤、结石、囊肿等）</w:t>
            </w:r>
          </w:p>
        </w:tc>
      </w:tr>
      <w:tr w14:paraId="665C6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0BB5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9573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甲状腺彩超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CF56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检查甲状腺是否有结节、囊肿或肿瘤等</w:t>
            </w:r>
          </w:p>
        </w:tc>
      </w:tr>
      <w:tr w14:paraId="1835C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E980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4F4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子宫、附件彩超（憋尿做）</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B581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检查子宫及附件是否有肿瘤或卵巢囊肿</w:t>
            </w:r>
          </w:p>
        </w:tc>
      </w:tr>
      <w:tr w14:paraId="425D3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6428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0FE1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乳腺彩超</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4C74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检查乳腺是否有肿块或乳腺癌</w:t>
            </w:r>
          </w:p>
        </w:tc>
      </w:tr>
      <w:tr w14:paraId="175FD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4"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D8E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B2D81">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放射：      胸正位片</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7CBA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了解肺部、纵膈、情况（一个部位）</w:t>
            </w:r>
          </w:p>
        </w:tc>
      </w:tr>
      <w:tr w14:paraId="48C82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EAAA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6607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颈椎侧位片</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325E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颈椎病变、颈椎骨质增生（一个部位）</w:t>
            </w:r>
          </w:p>
        </w:tc>
      </w:tr>
      <w:tr w14:paraId="55EEB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E66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8B551">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辅助检查：十二导心电图</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B3AC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了解心脏有无缺血、心率失常、传导阻滞等</w:t>
            </w:r>
          </w:p>
        </w:tc>
      </w:tr>
      <w:tr w14:paraId="15F0F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0A72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FC40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尿液分析</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697A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筛查肾炎、尿路感染、血尿等</w:t>
            </w:r>
          </w:p>
        </w:tc>
      </w:tr>
      <w:tr w14:paraId="33530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E07C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0C1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内科，血压</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6DA0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有无血压脉搏异常，主任医生总检</w:t>
            </w:r>
          </w:p>
        </w:tc>
      </w:tr>
      <w:tr w14:paraId="692AC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F12D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3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FAD7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C14幽门螺杆菌检测（未婚、备孕者禁做）</w:t>
            </w:r>
          </w:p>
        </w:tc>
        <w:tc>
          <w:tcPr>
            <w:tcW w:w="4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7CB0D">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判断胃内有无幽门螺杆菌感染，此感染与胃炎、消化性溃疡、胃癌等发病关系密切</w:t>
            </w:r>
          </w:p>
        </w:tc>
      </w:tr>
    </w:tbl>
    <w:p w14:paraId="7185118A">
      <w:pPr>
        <w:pStyle w:val="3"/>
        <w:keepNext w:val="0"/>
        <w:keepLines w:val="0"/>
        <w:pageBreakBefore w:val="0"/>
        <w:widowControl/>
        <w:kinsoku w:val="0"/>
        <w:wordWrap/>
        <w:overflowPunct/>
        <w:topLinePunct w:val="0"/>
        <w:autoSpaceDE w:val="0"/>
        <w:autoSpaceDN w:val="0"/>
        <w:bidi w:val="0"/>
        <w:adjustRightInd w:val="0"/>
        <w:snapToGrid w:val="0"/>
        <w:spacing w:line="460" w:lineRule="exact"/>
        <w:ind w:left="0" w:leftChars="0" w:firstLine="482" w:firstLineChars="200"/>
        <w:jc w:val="both"/>
        <w:textAlignment w:val="baseline"/>
        <w:rPr>
          <w:rFonts w:hint="eastAsia" w:ascii="宋体" w:hAnsi="宋体" w:eastAsia="宋体" w:cs="宋体"/>
          <w:b/>
          <w:bCs/>
          <w:color w:val="auto"/>
          <w:sz w:val="24"/>
          <w:szCs w:val="24"/>
          <w:highlight w:val="none"/>
          <w:lang w:eastAsia="zh-CN"/>
        </w:rPr>
        <w:sectPr>
          <w:headerReference r:id="rId3" w:type="default"/>
          <w:pgSz w:w="11906" w:h="16838"/>
          <w:pgMar w:top="1417" w:right="1134" w:bottom="1417" w:left="1134" w:header="851" w:footer="992" w:gutter="0"/>
          <w:pgNumType w:fmt="decimal"/>
          <w:cols w:space="425" w:num="1"/>
          <w:docGrid w:type="lines" w:linePitch="312" w:charSpace="0"/>
        </w:sectPr>
      </w:pPr>
      <w:r>
        <w:rPr>
          <w:rFonts w:hint="eastAsia" w:ascii="宋体" w:hAnsi="宋体" w:eastAsia="宋体" w:cs="宋体"/>
          <w:b/>
          <w:bCs/>
          <w:color w:val="auto"/>
          <w:sz w:val="24"/>
          <w:szCs w:val="24"/>
          <w:highlight w:val="none"/>
          <w:lang w:val="en-US" w:eastAsia="zh-CN"/>
        </w:rPr>
        <w:t>注：为方便后续结算，投标人须针对以上所有体检项目表中各项目作单价报价，否则作无效投标处理。</w:t>
      </w:r>
    </w:p>
    <w:p w14:paraId="02540D5C">
      <w:pPr>
        <w:jc w:val="center"/>
        <w:rPr>
          <w:rFonts w:hint="eastAsia"/>
          <w:b/>
          <w:color w:val="auto"/>
          <w:sz w:val="44"/>
          <w:szCs w:val="44"/>
          <w:highlight w:val="none"/>
          <w:lang w:eastAsia="zh-CN"/>
        </w:rPr>
      </w:pPr>
      <w:r>
        <w:rPr>
          <w:rFonts w:hint="eastAsia"/>
          <w:b/>
          <w:color w:val="auto"/>
          <w:sz w:val="44"/>
          <w:szCs w:val="44"/>
          <w:highlight w:val="none"/>
          <w:lang w:eastAsia="zh-CN"/>
        </w:rPr>
        <w:t>体检</w:t>
      </w:r>
      <w:r>
        <w:rPr>
          <w:rFonts w:hint="eastAsia"/>
          <w:b/>
          <w:color w:val="auto"/>
          <w:sz w:val="44"/>
          <w:szCs w:val="44"/>
          <w:highlight w:val="none"/>
          <w:lang w:val="en-US" w:eastAsia="zh-CN"/>
        </w:rPr>
        <w:t>自选项目</w:t>
      </w:r>
      <w:r>
        <w:rPr>
          <w:rFonts w:hint="eastAsia"/>
          <w:b/>
          <w:color w:val="auto"/>
          <w:sz w:val="44"/>
          <w:szCs w:val="44"/>
          <w:highlight w:val="none"/>
          <w:lang w:eastAsia="zh-CN"/>
        </w:rPr>
        <w:t>表</w:t>
      </w:r>
    </w:p>
    <w:tbl>
      <w:tblPr>
        <w:tblStyle w:val="7"/>
        <w:tblW w:w="13464"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2"/>
        <w:gridCol w:w="5208"/>
        <w:gridCol w:w="972"/>
        <w:gridCol w:w="6312"/>
      </w:tblGrid>
      <w:tr w14:paraId="02305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F6ADF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序号</w:t>
            </w:r>
          </w:p>
        </w:tc>
        <w:tc>
          <w:tcPr>
            <w:tcW w:w="52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0E064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体检项目名称</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02C94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序号</w:t>
            </w:r>
          </w:p>
        </w:tc>
        <w:tc>
          <w:tcPr>
            <w:tcW w:w="631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31C4C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体检项目名称</w:t>
            </w:r>
          </w:p>
        </w:tc>
      </w:tr>
      <w:tr w14:paraId="0BA67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733616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52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378AE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血液检查： </w:t>
            </w:r>
            <w:r>
              <w:rPr>
                <w:rStyle w:val="10"/>
                <w:snapToGrid w:val="0"/>
                <w:color w:val="auto"/>
                <w:highlight w:val="none"/>
                <w:lang w:val="en-US" w:eastAsia="zh-CN" w:bidi="ar"/>
              </w:rPr>
              <w:t xml:space="preserve">      小肝功能</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5D8F8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46</w:t>
            </w:r>
          </w:p>
        </w:tc>
        <w:tc>
          <w:tcPr>
            <w:tcW w:w="631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71D1D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抗“O”、类风湿因子、C反应蛋白</w:t>
            </w:r>
          </w:p>
        </w:tc>
      </w:tr>
      <w:tr w14:paraId="55D37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2231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3A39B9A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血脂血糖</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6E7F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47</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0F07198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红细胞沉降率测定</w:t>
            </w:r>
          </w:p>
        </w:tc>
      </w:tr>
      <w:tr w14:paraId="01BDD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EC6ED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2EAF0F2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肾功能</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B6E68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48</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4328749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HIV+梅毒螺旋体特异性抗体</w:t>
            </w:r>
          </w:p>
        </w:tc>
      </w:tr>
      <w:tr w14:paraId="1034C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EA5D4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9286BF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大肝功能</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EC925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49</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47E0B80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（HBV-DNA）乙型肝炎DNA测定</w:t>
            </w:r>
          </w:p>
        </w:tc>
      </w:tr>
      <w:tr w14:paraId="5A4A1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DC1B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7ADF1E1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电解质（钾钠氯钙）</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AF968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50</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CB1B09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乙肝五项（定量）</w:t>
            </w:r>
          </w:p>
        </w:tc>
      </w:tr>
      <w:tr w14:paraId="61AB5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64BBC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29127DD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心肌酶谱</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CD6B8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51</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609F65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FT3、FT4、TSH</w:t>
            </w:r>
          </w:p>
        </w:tc>
      </w:tr>
      <w:tr w14:paraId="13D22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95513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163A675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生化全套</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FE2ADF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52</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9EBD43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甲功五项</w:t>
            </w:r>
          </w:p>
        </w:tc>
      </w:tr>
      <w:tr w14:paraId="6FF48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0142E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440243D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血常规</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2D153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53</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7276A6B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TRAB（促甲状腺受体抗体）</w:t>
            </w:r>
          </w:p>
        </w:tc>
      </w:tr>
      <w:tr w14:paraId="70430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599EF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263883A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血同型半胱氨酸（心血管疾病）（Hcy）</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82348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54</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4BEC0C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糖化血红蛋白</w:t>
            </w:r>
          </w:p>
        </w:tc>
      </w:tr>
      <w:tr w14:paraId="5FA05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223AA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97A2FC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癌胚抗原（消化系统肿瘤筛查）（CEA）</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A1CFF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55</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01AE477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性激素6项</w:t>
            </w:r>
          </w:p>
        </w:tc>
      </w:tr>
      <w:tr w14:paraId="56818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C23E5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0D81981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甲胎蛋白（原发性肝癌）（AFP）</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1F89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56</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735FD24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凝血七项</w:t>
            </w:r>
          </w:p>
        </w:tc>
      </w:tr>
      <w:tr w14:paraId="6E1EB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C037C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4D2B623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血清铁蛋白</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38E60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57</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89066C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贫血三项</w:t>
            </w:r>
          </w:p>
        </w:tc>
      </w:tr>
      <w:tr w14:paraId="0D8A1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01E49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871CAD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细胞角蛋白19片段（CY-211）（肺癌）</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80136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58</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08FDC5FE">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超声检查：腹部彩超（肝、胆、胰、脾）</w:t>
            </w:r>
          </w:p>
        </w:tc>
      </w:tr>
      <w:tr w14:paraId="6B7D6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CD4EF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04875DD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糖类抗原CA199（胰腺癌）</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83C9E2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59</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6FEFBA1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腹部+泌尿系彩超</w:t>
            </w:r>
          </w:p>
        </w:tc>
      </w:tr>
      <w:tr w14:paraId="60711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E6D4A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1D8D9B7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糖类抗原CA-153（乳腺癌）</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96362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60</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7050F96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甲状腺彩超</w:t>
            </w:r>
          </w:p>
        </w:tc>
      </w:tr>
      <w:tr w14:paraId="5BBD7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06FCA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782FD00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糖类抗原CA125（卵巢癌）</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A6B51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61</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67A4DFD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颈动脉血管+锁骨下动脉彩超</w:t>
            </w:r>
          </w:p>
        </w:tc>
      </w:tr>
      <w:tr w14:paraId="251EC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4041F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5D7C097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糖类抗原CA724（胃癌）</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788D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62</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140632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颈动脉血管彩超</w:t>
            </w:r>
          </w:p>
        </w:tc>
      </w:tr>
      <w:tr w14:paraId="0631D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95C7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1C4ACF8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TPSA（总前列腺特异性抗原）（男）</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74518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63</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26A4AA4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心脏彩超（需预约）加图文报告</w:t>
            </w:r>
          </w:p>
        </w:tc>
      </w:tr>
      <w:tr w14:paraId="2F4E1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B1C00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49D10EC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SCC（鳞状细胞癌特异性抗原）</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56CAD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64</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1EF77EFE">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放射： </w:t>
            </w:r>
            <w:r>
              <w:rPr>
                <w:rStyle w:val="10"/>
                <w:snapToGrid w:val="0"/>
                <w:color w:val="auto"/>
                <w:highlight w:val="none"/>
                <w:lang w:val="en-US" w:eastAsia="zh-CN" w:bidi="ar"/>
              </w:rPr>
              <w:t xml:space="preserve">       胸正位片（DR)</w:t>
            </w:r>
          </w:p>
        </w:tc>
      </w:tr>
      <w:tr w14:paraId="0028F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45F2A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4A09230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鼻咽癌早筛EB病毒六项</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B38A69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65</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664ACB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胸部正侧位片(DR)</w:t>
            </w:r>
          </w:p>
        </w:tc>
      </w:tr>
      <w:tr w14:paraId="76E09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CCC1B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21</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2BB34D8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血型（ABO、RH两项）</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F6945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66</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0BA3DDA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颈椎侧位片(DR)</w:t>
            </w:r>
          </w:p>
        </w:tc>
      </w:tr>
      <w:tr w14:paraId="7DE6F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84576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22</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4437E7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颈椎正侧位片(DR)</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D0E6B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67</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05AC2BE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脑电图</w:t>
            </w:r>
          </w:p>
        </w:tc>
      </w:tr>
      <w:tr w14:paraId="6DD73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9038C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23</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5204A4B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骨密度检测（手腕）</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1B793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68</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BE9254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增强CT：含扫描；注射器及附件；留置针；固定贴膜；冲洗器；含药（碘海醇、碘帕醇）</w:t>
            </w:r>
          </w:p>
        </w:tc>
      </w:tr>
      <w:tr w14:paraId="3ED00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C72C6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F43C83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骨密度检测（腰部）</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E77C30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69</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668FAE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增强磁共振：含扫描；注射器及附件；留置针；固定贴膜；冲洗器；含药（喷酸葡胺注射液）</w:t>
            </w:r>
          </w:p>
        </w:tc>
      </w:tr>
      <w:tr w14:paraId="37BF6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3AE40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25</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47BF46AD">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妇检：</w:t>
            </w:r>
            <w:r>
              <w:rPr>
                <w:rStyle w:val="10"/>
                <w:snapToGrid w:val="0"/>
                <w:color w:val="auto"/>
                <w:highlight w:val="none"/>
                <w:lang w:val="en-US" w:eastAsia="zh-CN" w:bidi="ar"/>
              </w:rPr>
              <w:t xml:space="preserve">   肿瘤细胞脱氧核糖核酸定量分析</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61FE9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70</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22FE3FC5">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CT： </w:t>
            </w:r>
            <w:r>
              <w:rPr>
                <w:rStyle w:val="10"/>
                <w:snapToGrid w:val="0"/>
                <w:color w:val="auto"/>
                <w:highlight w:val="none"/>
                <w:lang w:val="en-US" w:eastAsia="zh-CN" w:bidi="ar"/>
              </w:rPr>
              <w:t xml:space="preserve">            颅脑CT</w:t>
            </w:r>
          </w:p>
        </w:tc>
      </w:tr>
      <w:tr w14:paraId="15743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94BEA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26</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5D7FA38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液基薄层细胞制片术（TCT）</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791CA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71</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14106C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颈椎CT</w:t>
            </w:r>
          </w:p>
        </w:tc>
      </w:tr>
      <w:tr w14:paraId="66A2F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3CF3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27</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3603906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子宫、附件彩超（憋尿做）</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B04BA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72</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3FDEEB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腰椎CT</w:t>
            </w:r>
          </w:p>
        </w:tc>
      </w:tr>
      <w:tr w14:paraId="02F6E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028B4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28</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5CDDFB7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乳腺彩超</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AF615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73</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1D82A7C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上下腹部CT</w:t>
            </w:r>
          </w:p>
        </w:tc>
      </w:tr>
      <w:tr w14:paraId="3F432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8DF72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29</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2E33340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乳房钼靶（不含胶片）</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C7358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74</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CCB5B1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肺窗(无片）</w:t>
            </w:r>
          </w:p>
        </w:tc>
      </w:tr>
      <w:tr w14:paraId="2B1D1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3A8AA3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FCB63D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HPV（人乳头瘤病毒基因分型检测）</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2478C2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75</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1D179A6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医用激光胶片一张</w:t>
            </w:r>
          </w:p>
        </w:tc>
      </w:tr>
      <w:tr w14:paraId="18A42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62ED3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31</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0F21982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细菌性阴道病检测（BV）</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C90E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76</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1E4C47A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医用激光胶片两张</w:t>
            </w:r>
          </w:p>
        </w:tc>
      </w:tr>
      <w:tr w14:paraId="7C5E3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9C79E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32</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1874116">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辅助检查： </w:t>
            </w:r>
            <w:r>
              <w:rPr>
                <w:rStyle w:val="10"/>
                <w:snapToGrid w:val="0"/>
                <w:color w:val="auto"/>
                <w:highlight w:val="none"/>
                <w:lang w:val="en-US" w:eastAsia="zh-CN" w:bidi="ar"/>
              </w:rPr>
              <w:t xml:space="preserve">    十二导心电图</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05A3D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77</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7936207E">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内窥镜：</w:t>
            </w:r>
            <w:r>
              <w:rPr>
                <w:rStyle w:val="10"/>
                <w:snapToGrid w:val="0"/>
                <w:color w:val="auto"/>
                <w:highlight w:val="none"/>
                <w:lang w:val="en-US" w:eastAsia="zh-CN" w:bidi="ar"/>
              </w:rPr>
              <w:t xml:space="preserve">       无痛胃镜（需预约）不含药</w:t>
            </w:r>
          </w:p>
        </w:tc>
      </w:tr>
      <w:tr w14:paraId="58591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4F64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33</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771E722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24小时动态心电图</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ECF51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78</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0877390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无痛肠镜（需预约）不含药</w:t>
            </w:r>
          </w:p>
        </w:tc>
      </w:tr>
      <w:tr w14:paraId="14EB1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7A675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34</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533E53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24小时动态血压仪</w:t>
            </w:r>
          </w:p>
        </w:tc>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CC1F3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79</w:t>
            </w: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33743FB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 </w:t>
            </w:r>
            <w:r>
              <w:rPr>
                <w:rStyle w:val="10"/>
                <w:snapToGrid w:val="0"/>
                <w:color w:val="auto"/>
                <w:highlight w:val="none"/>
                <w:lang w:val="en-US" w:eastAsia="zh-CN" w:bidi="ar"/>
              </w:rPr>
              <w:t>无痛胃肠镜（需预约）不含药</w:t>
            </w:r>
          </w:p>
        </w:tc>
      </w:tr>
      <w:tr w14:paraId="47E07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BD90B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35</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E2711A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尿液分析</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4824EAF2">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DC7D939">
            <w:pPr>
              <w:jc w:val="center"/>
              <w:rPr>
                <w:rFonts w:hint="eastAsia" w:ascii="宋体" w:hAnsi="宋体" w:eastAsia="宋体" w:cs="宋体"/>
                <w:i w:val="0"/>
                <w:iCs w:val="0"/>
                <w:color w:val="auto"/>
                <w:sz w:val="24"/>
                <w:szCs w:val="24"/>
                <w:highlight w:val="none"/>
                <w:u w:val="none"/>
              </w:rPr>
            </w:pPr>
          </w:p>
        </w:tc>
      </w:tr>
      <w:tr w14:paraId="6F533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8A729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36</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096DE13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尿微量白蛋白</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293ED621">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60555FCA">
            <w:pPr>
              <w:jc w:val="both"/>
              <w:rPr>
                <w:rFonts w:hint="eastAsia" w:ascii="宋体" w:hAnsi="宋体" w:eastAsia="宋体" w:cs="宋体"/>
                <w:i w:val="0"/>
                <w:iCs w:val="0"/>
                <w:color w:val="auto"/>
                <w:sz w:val="24"/>
                <w:szCs w:val="24"/>
                <w:highlight w:val="none"/>
                <w:u w:val="none"/>
              </w:rPr>
            </w:pPr>
          </w:p>
        </w:tc>
      </w:tr>
      <w:tr w14:paraId="1EA2B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7975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37</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1E73DA01">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 xml:space="preserve">                 </w:t>
            </w:r>
            <w:r>
              <w:rPr>
                <w:rStyle w:val="10"/>
                <w:snapToGrid w:val="0"/>
                <w:color w:val="auto"/>
                <w:highlight w:val="none"/>
                <w:lang w:val="en-US" w:eastAsia="zh-CN" w:bidi="ar"/>
              </w:rPr>
              <w:t>内科血压</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2BB78AD0">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4C8518E9">
            <w:pPr>
              <w:jc w:val="center"/>
              <w:rPr>
                <w:rFonts w:hint="eastAsia" w:ascii="宋体" w:hAnsi="宋体" w:eastAsia="宋体" w:cs="宋体"/>
                <w:i w:val="0"/>
                <w:iCs w:val="0"/>
                <w:color w:val="auto"/>
                <w:sz w:val="24"/>
                <w:szCs w:val="24"/>
                <w:highlight w:val="none"/>
                <w:u w:val="none"/>
              </w:rPr>
            </w:pPr>
          </w:p>
        </w:tc>
      </w:tr>
      <w:tr w14:paraId="680A7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533AB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38</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73B92F6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13碳尿素呼气试验（怀孕、备孕者禁做）</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181D6090">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260C0956">
            <w:pPr>
              <w:jc w:val="center"/>
              <w:rPr>
                <w:rFonts w:hint="eastAsia" w:ascii="宋体" w:hAnsi="宋体" w:eastAsia="宋体" w:cs="宋体"/>
                <w:i w:val="0"/>
                <w:iCs w:val="0"/>
                <w:color w:val="auto"/>
                <w:sz w:val="24"/>
                <w:szCs w:val="24"/>
                <w:highlight w:val="none"/>
                <w:u w:val="none"/>
              </w:rPr>
            </w:pPr>
          </w:p>
        </w:tc>
      </w:tr>
      <w:tr w14:paraId="44DB9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B6BD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39</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02BE72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14碳尿素呼气试验（怀孕、备孕者禁做）</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677F1DA8">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248AEE7F">
            <w:pPr>
              <w:jc w:val="center"/>
              <w:rPr>
                <w:rFonts w:hint="eastAsia" w:ascii="宋体" w:hAnsi="宋体" w:eastAsia="宋体" w:cs="宋体"/>
                <w:i w:val="0"/>
                <w:iCs w:val="0"/>
                <w:color w:val="auto"/>
                <w:sz w:val="24"/>
                <w:szCs w:val="24"/>
                <w:highlight w:val="none"/>
                <w:u w:val="none"/>
              </w:rPr>
            </w:pPr>
          </w:p>
        </w:tc>
      </w:tr>
      <w:tr w14:paraId="08097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41743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40</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68857C5B">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磁共振：</w:t>
            </w:r>
            <w:r>
              <w:rPr>
                <w:rStyle w:val="10"/>
                <w:snapToGrid w:val="0"/>
                <w:color w:val="auto"/>
                <w:highlight w:val="none"/>
                <w:lang w:val="en-US" w:eastAsia="zh-CN" w:bidi="ar"/>
              </w:rPr>
              <w:t xml:space="preserve">   颅脑磁共振（需预约）</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61A598CF">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5258847">
            <w:pPr>
              <w:jc w:val="center"/>
              <w:rPr>
                <w:rFonts w:hint="eastAsia" w:ascii="宋体" w:hAnsi="宋体" w:eastAsia="宋体" w:cs="宋体"/>
                <w:i w:val="0"/>
                <w:iCs w:val="0"/>
                <w:color w:val="auto"/>
                <w:sz w:val="24"/>
                <w:szCs w:val="24"/>
                <w:highlight w:val="none"/>
                <w:u w:val="none"/>
              </w:rPr>
            </w:pPr>
          </w:p>
        </w:tc>
      </w:tr>
      <w:tr w14:paraId="01149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A8208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41</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3E783AC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上腹部磁共振（需预约）</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1E1C195A">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0714E58D">
            <w:pPr>
              <w:jc w:val="center"/>
              <w:rPr>
                <w:rFonts w:hint="eastAsia" w:ascii="宋体" w:hAnsi="宋体" w:eastAsia="宋体" w:cs="宋体"/>
                <w:i w:val="0"/>
                <w:iCs w:val="0"/>
                <w:color w:val="auto"/>
                <w:sz w:val="24"/>
                <w:szCs w:val="24"/>
                <w:highlight w:val="none"/>
                <w:u w:val="none"/>
              </w:rPr>
            </w:pPr>
          </w:p>
        </w:tc>
      </w:tr>
      <w:tr w14:paraId="050CD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1E398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42</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1AEC513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颈椎磁共振（需预约）</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0D045C4C">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01D2E881">
            <w:pPr>
              <w:jc w:val="center"/>
              <w:rPr>
                <w:rFonts w:hint="eastAsia" w:ascii="宋体" w:hAnsi="宋体" w:eastAsia="宋体" w:cs="宋体"/>
                <w:i w:val="0"/>
                <w:iCs w:val="0"/>
                <w:color w:val="auto"/>
                <w:sz w:val="24"/>
                <w:szCs w:val="24"/>
                <w:highlight w:val="none"/>
                <w:u w:val="none"/>
              </w:rPr>
            </w:pPr>
          </w:p>
        </w:tc>
      </w:tr>
      <w:tr w14:paraId="338A4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7EDBA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43</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090A5D9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腰椎磁共振（需预约）</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64F86B46">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55FBFD21">
            <w:pPr>
              <w:jc w:val="center"/>
              <w:rPr>
                <w:rFonts w:hint="eastAsia" w:ascii="宋体" w:hAnsi="宋体" w:eastAsia="宋体" w:cs="宋体"/>
                <w:i w:val="0"/>
                <w:iCs w:val="0"/>
                <w:color w:val="auto"/>
                <w:sz w:val="24"/>
                <w:szCs w:val="24"/>
                <w:highlight w:val="none"/>
                <w:u w:val="none"/>
              </w:rPr>
            </w:pPr>
          </w:p>
        </w:tc>
      </w:tr>
      <w:tr w14:paraId="4C859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FC750B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44</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0F2BF86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血管成像（动脉）</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793FA8DA">
            <w:pPr>
              <w:jc w:val="center"/>
              <w:rPr>
                <w:rFonts w:hint="eastAsia" w:ascii="宋体" w:hAnsi="宋体" w:eastAsia="宋体" w:cs="宋体"/>
                <w:i w:val="0"/>
                <w:iCs w:val="0"/>
                <w:color w:val="auto"/>
                <w:sz w:val="24"/>
                <w:szCs w:val="24"/>
                <w:highlight w:val="none"/>
                <w:u w:val="single"/>
              </w:rPr>
            </w:pPr>
          </w:p>
        </w:tc>
        <w:tc>
          <w:tcPr>
            <w:tcW w:w="6312" w:type="dxa"/>
            <w:tcBorders>
              <w:top w:val="nil"/>
              <w:left w:val="single" w:color="000000" w:sz="8" w:space="0"/>
              <w:bottom w:val="single" w:color="000000" w:sz="8" w:space="0"/>
              <w:right w:val="single" w:color="000000" w:sz="8" w:space="0"/>
            </w:tcBorders>
            <w:shd w:val="clear" w:color="auto" w:fill="auto"/>
            <w:vAlign w:val="center"/>
          </w:tcPr>
          <w:p w14:paraId="6C92206F">
            <w:pPr>
              <w:jc w:val="center"/>
              <w:rPr>
                <w:rFonts w:hint="eastAsia" w:ascii="宋体" w:hAnsi="宋体" w:eastAsia="宋体" w:cs="宋体"/>
                <w:i w:val="0"/>
                <w:iCs w:val="0"/>
                <w:color w:val="auto"/>
                <w:sz w:val="24"/>
                <w:szCs w:val="24"/>
                <w:highlight w:val="none"/>
                <w:u w:val="none"/>
              </w:rPr>
            </w:pPr>
          </w:p>
        </w:tc>
      </w:tr>
      <w:tr w14:paraId="315D8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9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8934D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45</w:t>
            </w:r>
          </w:p>
        </w:tc>
        <w:tc>
          <w:tcPr>
            <w:tcW w:w="5208" w:type="dxa"/>
            <w:tcBorders>
              <w:top w:val="nil"/>
              <w:left w:val="single" w:color="000000" w:sz="8" w:space="0"/>
              <w:bottom w:val="single" w:color="000000" w:sz="8" w:space="0"/>
              <w:right w:val="single" w:color="000000" w:sz="8" w:space="0"/>
            </w:tcBorders>
            <w:shd w:val="clear" w:color="auto" w:fill="auto"/>
            <w:vAlign w:val="center"/>
          </w:tcPr>
          <w:p w14:paraId="12EEBDC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血管成像（静脉）</w:t>
            </w:r>
          </w:p>
        </w:tc>
        <w:tc>
          <w:tcPr>
            <w:tcW w:w="972" w:type="dxa"/>
            <w:tcBorders>
              <w:top w:val="nil"/>
              <w:left w:val="single" w:color="000000" w:sz="8" w:space="0"/>
              <w:bottom w:val="single" w:color="000000" w:sz="8" w:space="0"/>
              <w:right w:val="single" w:color="000000" w:sz="8" w:space="0"/>
            </w:tcBorders>
            <w:shd w:val="clear" w:color="auto" w:fill="auto"/>
            <w:vAlign w:val="center"/>
          </w:tcPr>
          <w:p w14:paraId="08D5D799">
            <w:pPr>
              <w:jc w:val="center"/>
              <w:rPr>
                <w:rFonts w:hint="eastAsia" w:ascii="宋体" w:hAnsi="宋体" w:eastAsia="宋体" w:cs="宋体"/>
                <w:i w:val="0"/>
                <w:iCs w:val="0"/>
                <w:color w:val="auto"/>
                <w:sz w:val="24"/>
                <w:szCs w:val="24"/>
                <w:highlight w:val="none"/>
                <w:u w:val="single"/>
              </w:rPr>
            </w:pPr>
          </w:p>
        </w:tc>
        <w:tc>
          <w:tcPr>
            <w:tcW w:w="0" w:type="auto"/>
            <w:tcBorders>
              <w:top w:val="nil"/>
              <w:left w:val="single" w:color="000000" w:sz="8" w:space="0"/>
              <w:bottom w:val="single" w:color="000000" w:sz="8" w:space="0"/>
              <w:right w:val="single" w:color="000000" w:sz="8" w:space="0"/>
            </w:tcBorders>
            <w:shd w:val="clear" w:color="auto" w:fill="auto"/>
            <w:noWrap/>
            <w:vAlign w:val="center"/>
          </w:tcPr>
          <w:p w14:paraId="3612AF46">
            <w:pPr>
              <w:rPr>
                <w:rFonts w:hint="eastAsia" w:ascii="宋体" w:hAnsi="宋体" w:eastAsia="宋体" w:cs="宋体"/>
                <w:i w:val="0"/>
                <w:iCs w:val="0"/>
                <w:color w:val="auto"/>
                <w:sz w:val="22"/>
                <w:szCs w:val="22"/>
                <w:highlight w:val="none"/>
                <w:u w:val="none"/>
              </w:rPr>
            </w:pPr>
          </w:p>
        </w:tc>
      </w:tr>
    </w:tbl>
    <w:p w14:paraId="3A1BF3EC">
      <w:pPr>
        <w:pStyle w:val="3"/>
        <w:keepNext w:val="0"/>
        <w:keepLines w:val="0"/>
        <w:pageBreakBefore w:val="0"/>
        <w:widowControl/>
        <w:kinsoku w:val="0"/>
        <w:wordWrap/>
        <w:overflowPunct/>
        <w:topLinePunct w:val="0"/>
        <w:autoSpaceDE w:val="0"/>
        <w:autoSpaceDN w:val="0"/>
        <w:bidi w:val="0"/>
        <w:adjustRightInd w:val="0"/>
        <w:snapToGrid w:val="0"/>
        <w:spacing w:line="460" w:lineRule="exact"/>
        <w:ind w:left="0" w:leftChars="0" w:firstLine="482" w:firstLineChars="200"/>
        <w:jc w:val="both"/>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注1:如须更换体检项目表中的体检项目，民警、文员可在《体检自选项目表》中自行选择其它需要体检的项目，但体检费用不得超出民警、文员的限额标准。为方便后续结算，投标人须针对以上《体检自选项目表》中各项目作单价报价，否则作无效投标处理。  </w:t>
      </w:r>
    </w:p>
    <w:p w14:paraId="31B6673A">
      <w:pPr>
        <w:pStyle w:val="3"/>
        <w:keepNext w:val="0"/>
        <w:keepLines w:val="0"/>
        <w:pageBreakBefore w:val="0"/>
        <w:widowControl/>
        <w:kinsoku w:val="0"/>
        <w:wordWrap/>
        <w:overflowPunct/>
        <w:topLinePunct w:val="0"/>
        <w:autoSpaceDE w:val="0"/>
        <w:autoSpaceDN w:val="0"/>
        <w:bidi w:val="0"/>
        <w:adjustRightInd w:val="0"/>
        <w:snapToGrid w:val="0"/>
        <w:spacing w:line="460" w:lineRule="exact"/>
        <w:ind w:left="0" w:leftChars="0" w:firstLine="482" w:firstLineChars="200"/>
        <w:jc w:val="both"/>
        <w:textAlignment w:val="baseline"/>
        <w:rPr>
          <w:rFonts w:hint="default" w:ascii="宋体" w:hAnsi="宋体" w:eastAsia="宋体" w:cs="宋体"/>
          <w:b/>
          <w:bCs/>
          <w:color w:val="auto"/>
          <w:sz w:val="24"/>
          <w:szCs w:val="24"/>
          <w:highlight w:val="none"/>
          <w:lang w:val="en-US" w:eastAsia="zh-CN"/>
        </w:rPr>
        <w:sectPr>
          <w:pgSz w:w="16838" w:h="11906" w:orient="landscape"/>
          <w:pgMar w:top="1134" w:right="1417" w:bottom="1134" w:left="1417" w:header="851" w:footer="992" w:gutter="0"/>
          <w:pgNumType w:fmt="decimal"/>
          <w:cols w:space="425" w:num="1"/>
          <w:docGrid w:type="lines" w:linePitch="312" w:charSpace="0"/>
        </w:sectPr>
      </w:pPr>
      <w:r>
        <w:rPr>
          <w:rFonts w:hint="eastAsia" w:ascii="宋体" w:hAnsi="宋体" w:eastAsia="宋体" w:cs="宋体"/>
          <w:b/>
          <w:bCs/>
          <w:color w:val="auto"/>
          <w:sz w:val="24"/>
          <w:szCs w:val="24"/>
          <w:highlight w:val="none"/>
          <w:lang w:val="en-US" w:eastAsia="zh-CN"/>
        </w:rPr>
        <w:t>注2:体检人员自愿选择无痛胃肠镜检查项目的，检查过程中若发现息肉、溃疡等病变灶，体检机构须即时提供病变灶活检取样、内镜下摘除的配套诊疗服务，配备具备相应执业资质的医护人员及合规内镜操作相关设备、耗材，严格遵循临床诊疗规范及内镜技术操作指南完成全部处置操作。</w:t>
      </w:r>
    </w:p>
    <w:p w14:paraId="6E69DD45">
      <w:pPr>
        <w:pStyle w:val="3"/>
        <w:keepNext w:val="0"/>
        <w:keepLines w:val="0"/>
        <w:pageBreakBefore w:val="0"/>
        <w:widowControl/>
        <w:kinsoku w:val="0"/>
        <w:wordWrap/>
        <w:overflowPunct/>
        <w:topLinePunct w:val="0"/>
        <w:autoSpaceDE w:val="0"/>
        <w:autoSpaceDN w:val="0"/>
        <w:bidi w:val="0"/>
        <w:adjustRightInd w:val="0"/>
        <w:snapToGrid w:val="0"/>
        <w:spacing w:line="460" w:lineRule="exact"/>
        <w:ind w:left="0" w:leftChars="0" w:firstLine="482" w:firstLineChars="200"/>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说明：</w:t>
      </w:r>
    </w:p>
    <w:p w14:paraId="42AA4440">
      <w:pPr>
        <w:pStyle w:val="3"/>
        <w:keepNext w:val="0"/>
        <w:keepLines w:val="0"/>
        <w:pageBreakBefore w:val="0"/>
        <w:widowControl/>
        <w:kinsoku w:val="0"/>
        <w:wordWrap/>
        <w:overflowPunct/>
        <w:topLinePunct w:val="0"/>
        <w:autoSpaceDE w:val="0"/>
        <w:autoSpaceDN w:val="0"/>
        <w:bidi w:val="0"/>
        <w:adjustRightInd w:val="0"/>
        <w:snapToGrid w:val="0"/>
        <w:spacing w:line="460" w:lineRule="exact"/>
        <w:ind w:left="0" w:leftChars="0" w:firstLine="482" w:firstLineChars="200"/>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1、参加2025年度体检民警、文员数预计638人，其中在职民警411人(含年内调动10人)，在职文员32人，退休民警195人，按照1600元/人（包含本次体检项目所发生的一切费用，含一次性消耗用品费、检查仪器费、人工费、专车接送费等）的标准参加体检，共计638人，体检费102.08万元</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lang w:eastAsia="zh-CN"/>
        </w:rPr>
        <w:t>参加2025年度体检辅警数共计141人，按照400元/人的标准（包含本次体检项目所发生的一切费用，含一次性消耗用品费、检查仪器费、人工费、专车接送费等）参加体检，共计5.64万元。</w:t>
      </w:r>
    </w:p>
    <w:p w14:paraId="68FD0004">
      <w:pPr>
        <w:pStyle w:val="3"/>
        <w:keepNext w:val="0"/>
        <w:keepLines w:val="0"/>
        <w:pageBreakBefore w:val="0"/>
        <w:widowControl/>
        <w:kinsoku w:val="0"/>
        <w:wordWrap/>
        <w:overflowPunct/>
        <w:topLinePunct w:val="0"/>
        <w:autoSpaceDE w:val="0"/>
        <w:autoSpaceDN w:val="0"/>
        <w:bidi w:val="0"/>
        <w:adjustRightInd w:val="0"/>
        <w:snapToGrid w:val="0"/>
        <w:spacing w:line="460" w:lineRule="exact"/>
        <w:ind w:left="0" w:leftChars="0" w:firstLine="482" w:firstLineChars="200"/>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val="en-US" w:eastAsia="zh-CN"/>
        </w:rPr>
        <w:t>2、</w:t>
      </w:r>
      <w:r>
        <w:rPr>
          <w:rFonts w:hint="eastAsia" w:ascii="宋体" w:hAnsi="宋体" w:eastAsia="宋体" w:cs="宋体"/>
          <w:b/>
          <w:bCs/>
          <w:color w:val="auto"/>
          <w:sz w:val="24"/>
          <w:szCs w:val="24"/>
          <w:highlight w:val="none"/>
          <w:lang w:eastAsia="zh-CN"/>
        </w:rPr>
        <w:t>体检人可按照体检需求在体检费范围内自由选择项目参加体检。</w:t>
      </w:r>
    </w:p>
    <w:p w14:paraId="64E8D323">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both"/>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3、</w:t>
      </w:r>
      <w:r>
        <w:rPr>
          <w:rFonts w:hint="eastAsia" w:ascii="宋体" w:hAnsi="宋体" w:eastAsia="宋体" w:cs="宋体"/>
          <w:b/>
          <w:bCs/>
          <w:color w:val="auto"/>
          <w:sz w:val="24"/>
          <w:szCs w:val="24"/>
          <w:highlight w:val="none"/>
        </w:rPr>
        <w:t>本次体检包含相关检查项目，要求承接体检服务的医院/专业体检机构，为体检人员提供一对一专属问诊服务：问诊需由具备执业资质的医护人员完成，结合体检人员既往病史、身体症状、生活习惯等信息，针对性解答健康疑问，同时对增补项目的检查目的、适用范围、注意事项进行专业说明，问诊记录需完整留存并入档，确保问诊服务与体检项目衔接，为体检人员提供专业、全面的健康指导。</w:t>
      </w:r>
    </w:p>
    <w:p w14:paraId="1093FCF7">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3.1</w:t>
      </w:r>
      <w:r>
        <w:rPr>
          <w:rFonts w:hint="eastAsia" w:ascii="宋体" w:hAnsi="宋体" w:eastAsia="宋体" w:cs="宋体"/>
          <w:b w:val="0"/>
          <w:bCs w:val="0"/>
          <w:color w:val="auto"/>
          <w:sz w:val="24"/>
          <w:szCs w:val="24"/>
          <w:highlight w:val="none"/>
        </w:rPr>
        <w:t>问诊服务执业人员基本资质要求</w:t>
      </w:r>
    </w:p>
    <w:p w14:paraId="617F4D6F">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开展问诊服务的医疗人员，须持有《医师执业证书》，</w:t>
      </w:r>
      <w:r>
        <w:rPr>
          <w:rFonts w:hint="eastAsia" w:ascii="宋体" w:hAnsi="宋体" w:eastAsia="宋体" w:cs="宋体"/>
          <w:b/>
          <w:bCs/>
          <w:color w:val="auto"/>
          <w:sz w:val="24"/>
          <w:szCs w:val="24"/>
          <w:highlight w:val="none"/>
        </w:rPr>
        <w:t>执业地点、执业类别、执业范围与承接体检服务的医疗机构</w:t>
      </w:r>
      <w:r>
        <w:rPr>
          <w:rFonts w:hint="eastAsia" w:ascii="宋体" w:hAnsi="宋体" w:cs="宋体"/>
          <w:b/>
          <w:bCs/>
          <w:color w:val="auto"/>
          <w:sz w:val="24"/>
          <w:szCs w:val="24"/>
          <w:highlight w:val="none"/>
          <w:lang w:val="en-US" w:eastAsia="zh-CN"/>
        </w:rPr>
        <w:t>须</w:t>
      </w:r>
      <w:r>
        <w:rPr>
          <w:rFonts w:hint="eastAsia" w:ascii="宋体" w:hAnsi="宋体" w:eastAsia="宋体" w:cs="宋体"/>
          <w:b/>
          <w:bCs/>
          <w:color w:val="auto"/>
          <w:sz w:val="24"/>
          <w:szCs w:val="24"/>
          <w:highlight w:val="none"/>
        </w:rPr>
        <w:t>一致，且证书在有效期内，无吊销、暂扣等不良执业记录。</w:t>
      </w:r>
      <w:r>
        <w:rPr>
          <w:rFonts w:hint="eastAsia" w:ascii="宋体" w:hAnsi="宋体" w:cs="宋体"/>
          <w:b/>
          <w:bCs/>
          <w:color w:val="auto"/>
          <w:sz w:val="24"/>
          <w:szCs w:val="24"/>
          <w:highlight w:val="none"/>
          <w:lang w:eastAsia="zh-CN"/>
        </w:rPr>
        <w:t>（</w:t>
      </w:r>
      <w:r>
        <w:rPr>
          <w:rFonts w:hint="eastAsia" w:ascii="宋体" w:hAnsi="宋体" w:cs="宋体"/>
          <w:b/>
          <w:bCs/>
          <w:color w:val="auto"/>
          <w:sz w:val="24"/>
          <w:szCs w:val="24"/>
          <w:highlight w:val="none"/>
          <w:lang w:val="en-US" w:eastAsia="zh-CN"/>
        </w:rPr>
        <w:t>须提供问诊服务医疗人员清单及《医师执业证书》扫描件加盖投标人公章，否则作无效投标处理。</w:t>
      </w:r>
      <w:r>
        <w:rPr>
          <w:rFonts w:hint="eastAsia" w:ascii="宋体" w:hAnsi="宋体" w:cs="宋体"/>
          <w:b/>
          <w:bCs/>
          <w:color w:val="auto"/>
          <w:sz w:val="24"/>
          <w:szCs w:val="24"/>
          <w:highlight w:val="none"/>
          <w:lang w:eastAsia="zh-CN"/>
        </w:rPr>
        <w:t>）</w:t>
      </w:r>
    </w:p>
    <w:p w14:paraId="747B2392">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严禁执业助理医师独立开展体检问诊服务，护士仅可协助完成问诊引导、基础信息记录等工作，不得进行医学判断、解答健康疑问及解读体检项目相关专业内容。</w:t>
      </w:r>
    </w:p>
    <w:p w14:paraId="415E6073">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3.2</w:t>
      </w:r>
      <w:r>
        <w:rPr>
          <w:rFonts w:hint="eastAsia" w:ascii="宋体" w:hAnsi="宋体" w:eastAsia="宋体" w:cs="宋体"/>
          <w:b w:val="0"/>
          <w:bCs w:val="0"/>
          <w:color w:val="auto"/>
          <w:sz w:val="24"/>
          <w:szCs w:val="24"/>
          <w:highlight w:val="none"/>
        </w:rPr>
        <w:t>问诊服务人员职称及配置要求</w:t>
      </w:r>
    </w:p>
    <w:p w14:paraId="4605B06A">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体检问诊服务至少配备1名中级及以上专业技术职务任职资格的执业医师</w:t>
      </w:r>
      <w:r>
        <w:rPr>
          <w:rFonts w:hint="eastAsia" w:ascii="宋体" w:hAnsi="宋体" w:cs="宋体"/>
          <w:b/>
          <w:bCs/>
          <w:color w:val="auto"/>
          <w:sz w:val="24"/>
          <w:szCs w:val="24"/>
          <w:highlight w:val="none"/>
          <w:lang w:eastAsia="zh-CN"/>
        </w:rPr>
        <w:t>（</w:t>
      </w:r>
      <w:r>
        <w:rPr>
          <w:rFonts w:hint="eastAsia" w:ascii="宋体" w:hAnsi="宋体" w:cs="宋体"/>
          <w:b/>
          <w:bCs/>
          <w:color w:val="auto"/>
          <w:sz w:val="24"/>
          <w:szCs w:val="24"/>
          <w:highlight w:val="none"/>
          <w:lang w:val="en-US" w:eastAsia="zh-CN"/>
        </w:rPr>
        <w:t>须提供证书扫描件加盖投标人公章，并提供开标前6个月内任意一个月投标人为其缴纳的社保证明材料，否则作无效投标处理。</w:t>
      </w:r>
      <w:r>
        <w:rPr>
          <w:rFonts w:hint="eastAsia" w:ascii="宋体" w:hAnsi="宋体" w:cs="宋体"/>
          <w:b/>
          <w:bCs/>
          <w:color w:val="auto"/>
          <w:sz w:val="24"/>
          <w:szCs w:val="24"/>
          <w:highlight w:val="none"/>
          <w:lang w:eastAsia="zh-CN"/>
        </w:rPr>
        <w:t>）</w:t>
      </w:r>
      <w:r>
        <w:rPr>
          <w:rFonts w:hint="eastAsia" w:ascii="宋体" w:hAnsi="宋体" w:eastAsia="宋体" w:cs="宋体"/>
          <w:b w:val="0"/>
          <w:bCs w:val="0"/>
          <w:color w:val="auto"/>
          <w:sz w:val="24"/>
          <w:szCs w:val="24"/>
          <w:highlight w:val="none"/>
        </w:rPr>
        <w:t>在岗值守，负责日常问诊服务、健康咨询解答及增补体检项目专业说明工作；各相关科室参与问诊的医师，须满足本专业中级及以上专业技术职务任职资格要求。</w:t>
      </w:r>
    </w:p>
    <w:p w14:paraId="77F7C44A">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承接机构整体须配备不少于2名内科或外科副高级及以上专业技术职务任职资格的执业医师，统筹负责体检问诊质量把控、复杂健康问题解答及问诊结果复核工作。</w:t>
      </w:r>
      <w:r>
        <w:rPr>
          <w:rFonts w:hint="eastAsia" w:ascii="宋体" w:hAnsi="宋体" w:cs="宋体"/>
          <w:b/>
          <w:bCs/>
          <w:color w:val="auto"/>
          <w:sz w:val="24"/>
          <w:szCs w:val="24"/>
          <w:highlight w:val="none"/>
          <w:lang w:eastAsia="zh-CN"/>
        </w:rPr>
        <w:t>（</w:t>
      </w:r>
      <w:r>
        <w:rPr>
          <w:rFonts w:hint="eastAsia" w:ascii="宋体" w:hAnsi="宋体" w:cs="宋体"/>
          <w:b/>
          <w:bCs/>
          <w:color w:val="auto"/>
          <w:sz w:val="24"/>
          <w:szCs w:val="24"/>
          <w:highlight w:val="none"/>
          <w:lang w:val="en-US" w:eastAsia="zh-CN"/>
        </w:rPr>
        <w:t>须提供以上人员证书扫描件加盖投标人公章，并提供开标前6个月内任意一个月投标人为其缴纳的社保证明材料，否则作无效投标处理。</w:t>
      </w:r>
      <w:r>
        <w:rPr>
          <w:rFonts w:hint="eastAsia" w:ascii="宋体" w:hAnsi="宋体" w:cs="宋体"/>
          <w:b/>
          <w:bCs/>
          <w:color w:val="auto"/>
          <w:sz w:val="24"/>
          <w:szCs w:val="24"/>
          <w:highlight w:val="none"/>
          <w:lang w:eastAsia="zh-CN"/>
        </w:rPr>
        <w:t>）</w:t>
      </w:r>
    </w:p>
    <w:p w14:paraId="51192FFE">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3.3</w:t>
      </w:r>
      <w:r>
        <w:rPr>
          <w:rFonts w:hint="eastAsia" w:ascii="宋体" w:hAnsi="宋体" w:eastAsia="宋体" w:cs="宋体"/>
          <w:b w:val="0"/>
          <w:bCs w:val="0"/>
          <w:color w:val="auto"/>
          <w:sz w:val="24"/>
          <w:szCs w:val="24"/>
          <w:highlight w:val="none"/>
        </w:rPr>
        <w:t>主检医师专项资质要求</w:t>
      </w:r>
    </w:p>
    <w:p w14:paraId="7AE0889C">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本项目须拟派1位主检医师，</w:t>
      </w:r>
      <w:r>
        <w:rPr>
          <w:rFonts w:hint="eastAsia" w:ascii="宋体" w:hAnsi="宋体" w:eastAsia="宋体" w:cs="宋体"/>
          <w:b w:val="0"/>
          <w:bCs w:val="0"/>
          <w:color w:val="auto"/>
          <w:sz w:val="24"/>
          <w:szCs w:val="24"/>
          <w:highlight w:val="none"/>
        </w:rPr>
        <w:t>负责体检报告审核签署及问诊结果最终复核，除满足上述基本资质外，还须同时具备以下条件：具有内科或外科副主任医师及以上专业技术职务任职资格；</w:t>
      </w:r>
      <w:r>
        <w:rPr>
          <w:rFonts w:hint="eastAsia" w:ascii="宋体" w:hAnsi="宋体" w:cs="宋体"/>
          <w:b/>
          <w:bCs/>
          <w:color w:val="auto"/>
          <w:sz w:val="24"/>
          <w:szCs w:val="24"/>
          <w:highlight w:val="none"/>
          <w:lang w:eastAsia="zh-CN"/>
        </w:rPr>
        <w:t>（</w:t>
      </w:r>
      <w:r>
        <w:rPr>
          <w:rFonts w:hint="eastAsia" w:ascii="宋体" w:hAnsi="宋体" w:cs="宋体"/>
          <w:b/>
          <w:bCs/>
          <w:color w:val="auto"/>
          <w:sz w:val="24"/>
          <w:szCs w:val="24"/>
          <w:highlight w:val="none"/>
          <w:lang w:val="en-US" w:eastAsia="zh-CN"/>
        </w:rPr>
        <w:t>须提供主检医师执业医师证书及专业技术职务资格证书扫描件加盖投标人公章，并提供开标前6个月内任意一个月投标人为其缴纳的社保证明材料，否则作无效投标处理。</w:t>
      </w:r>
      <w:r>
        <w:rPr>
          <w:rFonts w:hint="eastAsia" w:ascii="宋体" w:hAnsi="宋体" w:cs="宋体"/>
          <w:b/>
          <w:bCs/>
          <w:color w:val="auto"/>
          <w:sz w:val="24"/>
          <w:szCs w:val="24"/>
          <w:highlight w:val="none"/>
          <w:lang w:eastAsia="zh-CN"/>
        </w:rPr>
        <w:t>）</w:t>
      </w:r>
    </w:p>
    <w:p w14:paraId="09B26CC2">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cs="宋体"/>
          <w:b w:val="0"/>
          <w:bCs w:val="0"/>
          <w:color w:val="auto"/>
          <w:sz w:val="24"/>
          <w:szCs w:val="24"/>
          <w:highlight w:val="none"/>
          <w:lang w:val="en-US" w:eastAsia="zh-CN"/>
        </w:rPr>
        <w:t>3.4</w:t>
      </w:r>
      <w:r>
        <w:rPr>
          <w:rFonts w:hint="eastAsia" w:ascii="宋体" w:hAnsi="宋体" w:eastAsia="宋体" w:cs="宋体"/>
          <w:b w:val="0"/>
          <w:bCs w:val="0"/>
          <w:color w:val="auto"/>
          <w:sz w:val="24"/>
          <w:szCs w:val="24"/>
          <w:highlight w:val="none"/>
        </w:rPr>
        <w:t>中标后拟派人员发生变更的，须提前向采购方提交书面申请，变更后人员资质不得低于本条款约定要求，经采购方审核同意后方可上岗，否则视为违约。</w:t>
      </w:r>
    </w:p>
    <w:p w14:paraId="22E10697">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3.5</w:t>
      </w:r>
      <w:r>
        <w:rPr>
          <w:rFonts w:hint="eastAsia" w:ascii="宋体" w:hAnsi="宋体" w:eastAsia="宋体" w:cs="宋体"/>
          <w:b w:val="0"/>
          <w:bCs w:val="0"/>
          <w:color w:val="auto"/>
          <w:sz w:val="24"/>
          <w:szCs w:val="24"/>
          <w:highlight w:val="none"/>
        </w:rPr>
        <w:t>执业规范要求</w:t>
      </w:r>
    </w:p>
    <w:p w14:paraId="797F56A3">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问诊服务人员须严格遵守《中华人民共和国医师法》《健康体检管理暂行规定》《医疗机构管理条例》等法律法规，按照临床诊疗规范开展问诊工作，如实记录问诊内容，确保问诊信息真实、完整、可追溯，问诊记录随体检档案统一留存归档。</w:t>
      </w:r>
    </w:p>
    <w:p w14:paraId="1EBFF4C6">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both"/>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注：以上服务</w:t>
      </w:r>
      <w:r>
        <w:rPr>
          <w:rFonts w:hint="eastAsia" w:ascii="宋体" w:hAnsi="宋体" w:eastAsia="宋体" w:cs="宋体"/>
          <w:b/>
          <w:bCs/>
          <w:color w:val="auto"/>
          <w:sz w:val="24"/>
          <w:szCs w:val="24"/>
          <w:highlight w:val="none"/>
          <w:lang w:val="en-US"/>
        </w:rPr>
        <w:t>需求</w:t>
      </w:r>
      <w:r>
        <w:rPr>
          <w:rFonts w:hint="eastAsia" w:ascii="宋体" w:hAnsi="宋体" w:eastAsia="宋体" w:cs="宋体"/>
          <w:b/>
          <w:bCs/>
          <w:color w:val="auto"/>
          <w:sz w:val="24"/>
          <w:szCs w:val="24"/>
          <w:highlight w:val="none"/>
        </w:rPr>
        <w:t>必须完全</w:t>
      </w:r>
      <w:r>
        <w:rPr>
          <w:rFonts w:hint="eastAsia" w:ascii="宋体" w:hAnsi="宋体" w:eastAsia="宋体" w:cs="宋体"/>
          <w:b/>
          <w:bCs/>
          <w:color w:val="auto"/>
          <w:sz w:val="24"/>
          <w:szCs w:val="24"/>
          <w:highlight w:val="none"/>
          <w:lang w:val="en-US"/>
        </w:rPr>
        <w:t>满足或优于</w:t>
      </w:r>
      <w:r>
        <w:rPr>
          <w:rFonts w:hint="eastAsia" w:ascii="宋体" w:hAnsi="宋体" w:eastAsia="宋体" w:cs="宋体"/>
          <w:b/>
          <w:bCs/>
          <w:color w:val="auto"/>
          <w:sz w:val="24"/>
          <w:szCs w:val="24"/>
          <w:highlight w:val="none"/>
        </w:rPr>
        <w:t>，否则视为无效</w:t>
      </w:r>
      <w:r>
        <w:rPr>
          <w:rFonts w:hint="eastAsia" w:ascii="宋体" w:hAnsi="宋体" w:eastAsia="宋体" w:cs="宋体"/>
          <w:b/>
          <w:bCs/>
          <w:color w:val="auto"/>
          <w:sz w:val="24"/>
          <w:szCs w:val="24"/>
          <w:highlight w:val="none"/>
          <w:lang w:val="en-US" w:eastAsia="zh-CN"/>
        </w:rPr>
        <w:t>响应</w:t>
      </w:r>
      <w:r>
        <w:rPr>
          <w:rFonts w:hint="eastAsia" w:ascii="宋体" w:hAnsi="宋体" w:eastAsia="宋体" w:cs="宋体"/>
          <w:b/>
          <w:bCs/>
          <w:color w:val="auto"/>
          <w:sz w:val="24"/>
          <w:szCs w:val="24"/>
          <w:highlight w:val="none"/>
        </w:rPr>
        <w:t>。</w:t>
      </w:r>
    </w:p>
    <w:p w14:paraId="20D0F9E4">
      <w:pPr>
        <w:pageBreakBefore w:val="0"/>
        <w:widowControl w:val="0"/>
        <w:wordWrap/>
        <w:overflowPunct/>
        <w:topLinePunct w:val="0"/>
        <w:bidi w:val="0"/>
        <w:spacing w:line="245" w:lineRule="auto"/>
        <w:rPr>
          <w:color w:val="auto"/>
          <w:highlight w:val="none"/>
          <w:lang w:eastAsia="zh-CN"/>
        </w:rPr>
      </w:pPr>
    </w:p>
    <w:p w14:paraId="4B87E577">
      <w:pPr>
        <w:keepNext w:val="0"/>
        <w:keepLines w:val="0"/>
        <w:pageBreakBefore w:val="0"/>
        <w:widowControl w:val="0"/>
        <w:kinsoku w:val="0"/>
        <w:wordWrap/>
        <w:overflowPunct/>
        <w:topLinePunct w:val="0"/>
        <w:autoSpaceDE w:val="0"/>
        <w:autoSpaceDN w:val="0"/>
        <w:bidi w:val="0"/>
        <w:adjustRightInd w:val="0"/>
        <w:snapToGrid w:val="0"/>
        <w:spacing w:before="78" w:line="219" w:lineRule="auto"/>
        <w:textAlignment w:val="baseline"/>
        <w:outlineLvl w:val="2"/>
        <w:rPr>
          <w:rFonts w:hint="eastAsia" w:ascii="宋体" w:hAnsi="宋体" w:eastAsia="宋体" w:cs="宋体"/>
          <w:b/>
          <w:bCs/>
          <w:color w:val="auto"/>
          <w:spacing w:val="0"/>
          <w:position w:val="0"/>
          <w:sz w:val="24"/>
          <w:szCs w:val="24"/>
          <w:highlight w:val="none"/>
          <w:lang w:eastAsia="zh-CN"/>
        </w:rPr>
      </w:pPr>
      <w:bookmarkStart w:id="1" w:name="_Toc28158"/>
      <w:r>
        <w:rPr>
          <w:rFonts w:hint="eastAsia" w:ascii="宋体" w:hAnsi="宋体" w:eastAsia="宋体" w:cs="宋体"/>
          <w:b/>
          <w:bCs/>
          <w:color w:val="auto"/>
          <w:spacing w:val="0"/>
          <w:position w:val="0"/>
          <w:sz w:val="24"/>
          <w:szCs w:val="24"/>
          <w:highlight w:val="none"/>
          <w:lang w:eastAsia="zh-CN"/>
        </w:rPr>
        <w:t>（二）商务条件</w:t>
      </w:r>
      <w:bookmarkEnd w:id="1"/>
    </w:p>
    <w:p w14:paraId="70FC3786">
      <w:pPr>
        <w:pageBreakBefore w:val="0"/>
        <w:widowControl w:val="0"/>
        <w:wordWrap/>
        <w:overflowPunct/>
        <w:topLinePunct w:val="0"/>
        <w:bidi w:val="0"/>
        <w:spacing w:line="249" w:lineRule="auto"/>
        <w:rPr>
          <w:color w:val="auto"/>
          <w:highlight w:val="none"/>
          <w:lang w:eastAsia="zh-CN"/>
        </w:rPr>
      </w:pPr>
    </w:p>
    <w:p w14:paraId="2F827502">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2" w:firstLineChars="200"/>
        <w:jc w:val="both"/>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b/>
          <w:bCs/>
          <w:snapToGrid w:val="0"/>
          <w:color w:val="auto"/>
          <w:kern w:val="0"/>
          <w:sz w:val="24"/>
          <w:szCs w:val="24"/>
          <w:highlight w:val="none"/>
          <w:lang w:val="en-US" w:eastAsia="zh-CN" w:bidi="ar-SA"/>
        </w:rPr>
        <w:t>1、服务期限：</w:t>
      </w:r>
      <w:r>
        <w:rPr>
          <w:rFonts w:hint="eastAsia" w:ascii="宋体" w:hAnsi="宋体" w:eastAsia="宋体" w:cs="宋体"/>
          <w:snapToGrid w:val="0"/>
          <w:color w:val="auto"/>
          <w:kern w:val="0"/>
          <w:sz w:val="24"/>
          <w:szCs w:val="24"/>
          <w:highlight w:val="none"/>
          <w:lang w:val="en-US" w:eastAsia="zh-CN" w:bidi="ar-SA"/>
        </w:rPr>
        <w:t>2026年内接待采购单位人员参加体检；</w:t>
      </w:r>
    </w:p>
    <w:p w14:paraId="5DAB1E61">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2" w:firstLineChars="200"/>
        <w:jc w:val="both"/>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b/>
          <w:bCs/>
          <w:snapToGrid w:val="0"/>
          <w:color w:val="auto"/>
          <w:kern w:val="0"/>
          <w:sz w:val="24"/>
          <w:szCs w:val="24"/>
          <w:highlight w:val="none"/>
          <w:lang w:val="en-US" w:eastAsia="zh-CN" w:bidi="ar-SA"/>
        </w:rPr>
        <w:t>2、服务地点：</w:t>
      </w:r>
      <w:r>
        <w:rPr>
          <w:rFonts w:hint="eastAsia" w:ascii="宋体" w:hAnsi="宋体" w:eastAsia="宋体" w:cs="宋体"/>
          <w:snapToGrid w:val="0"/>
          <w:color w:val="auto"/>
          <w:kern w:val="0"/>
          <w:sz w:val="24"/>
          <w:szCs w:val="24"/>
          <w:highlight w:val="none"/>
          <w:lang w:val="en-US" w:eastAsia="zh-CN" w:bidi="ar-SA"/>
        </w:rPr>
        <w:t>采购人指定地点。</w:t>
      </w:r>
    </w:p>
    <w:p w14:paraId="58024E5A">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2" w:firstLineChars="200"/>
        <w:jc w:val="both"/>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b/>
          <w:bCs/>
          <w:snapToGrid w:val="0"/>
          <w:color w:val="auto"/>
          <w:kern w:val="0"/>
          <w:sz w:val="24"/>
          <w:szCs w:val="24"/>
          <w:highlight w:val="none"/>
          <w:lang w:val="en-US" w:eastAsia="zh-CN" w:bidi="ar-SA"/>
        </w:rPr>
        <w:t>3、付款方式：</w:t>
      </w:r>
      <w:r>
        <w:rPr>
          <w:rFonts w:hint="eastAsia" w:ascii="宋体" w:hAnsi="宋体" w:eastAsia="宋体" w:cs="宋体"/>
          <w:snapToGrid w:val="0"/>
          <w:color w:val="auto"/>
          <w:kern w:val="0"/>
          <w:sz w:val="24"/>
          <w:szCs w:val="24"/>
          <w:highlight w:val="none"/>
          <w:lang w:val="en-US" w:eastAsia="zh-CN" w:bidi="ar-SA"/>
        </w:rPr>
        <w:t>合同签订后7个工作日内支付合同总价50%，剩余合同款项在合同期限届满三个月内根据实际参加体检人数据实进行结算。</w:t>
      </w:r>
    </w:p>
    <w:p w14:paraId="72E4833F">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2" w:firstLineChars="200"/>
        <w:jc w:val="both"/>
        <w:textAlignment w:val="baseline"/>
        <w:rPr>
          <w:rFonts w:hint="default" w:ascii="宋体" w:hAnsi="宋体" w:eastAsia="宋体" w:cs="宋体"/>
          <w:b/>
          <w:bCs/>
          <w:snapToGrid w:val="0"/>
          <w:color w:val="auto"/>
          <w:kern w:val="0"/>
          <w:sz w:val="24"/>
          <w:szCs w:val="24"/>
          <w:highlight w:val="none"/>
          <w:lang w:val="en-US" w:eastAsia="zh-CN" w:bidi="ar-SA"/>
        </w:rPr>
      </w:pPr>
      <w:r>
        <w:rPr>
          <w:rFonts w:hint="eastAsia" w:ascii="宋体" w:hAnsi="宋体" w:eastAsia="宋体" w:cs="宋体"/>
          <w:b/>
          <w:bCs/>
          <w:snapToGrid w:val="0"/>
          <w:color w:val="auto"/>
          <w:kern w:val="0"/>
          <w:sz w:val="24"/>
          <w:szCs w:val="24"/>
          <w:highlight w:val="none"/>
          <w:lang w:val="en-US" w:eastAsia="zh-CN" w:bidi="ar-SA"/>
        </w:rPr>
        <w:t>4、保密要求</w:t>
      </w:r>
    </w:p>
    <w:p w14:paraId="00956EF6">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4.1中标人应对本项目服务过程中获取的全部信息承担保密义务，保密信息包括但不限于：</w:t>
      </w:r>
    </w:p>
    <w:p w14:paraId="250FCC37">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（1）受检人员的个人身份信息：姓名、身份证号、联系方式、工作单位、职务、家庭住址等；</w:t>
      </w:r>
    </w:p>
    <w:p w14:paraId="3E78C83B">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（2）体检原始数据、检验检查结果、影像资料、生理指标、既往病史、疾病诊断、健康风险评估结论等全部体检结果信息；</w:t>
      </w:r>
    </w:p>
    <w:p w14:paraId="5D66C4BC">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（3）体检汇总报告、团体健康分析报告、异常指标统计数据等批量信息；</w:t>
      </w:r>
    </w:p>
    <w:p w14:paraId="29B645C5">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（4）采购人提供的人员名单、体检安排、预算、服务方案等未公开内部信息；</w:t>
      </w:r>
    </w:p>
    <w:p w14:paraId="2FC3F2F6">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（5）以纸质、电子、影像、口述等任何形式承载的上述信息。</w:t>
      </w:r>
    </w:p>
    <w:p w14:paraId="3D3F31F3">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4.2保密期限</w:t>
      </w:r>
    </w:p>
    <w:p w14:paraId="4B8931F0">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保密义务不因合同终止、解除或期满而终止，中标人及相关人员应对涉密信息永久承担保密责任，直至该信息依法公开或不再具有保密必要。</w:t>
      </w:r>
    </w:p>
    <w:p w14:paraId="490AC1EB">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4.3禁止性行为</w:t>
      </w:r>
    </w:p>
    <w:p w14:paraId="6A8EC419">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中标人不得有下列行为，否则视为严重违约：</w:t>
      </w:r>
    </w:p>
    <w:p w14:paraId="7ED38EA5">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（1）向任何单位、个人泄露、传播、出售体检结果及相关信息；</w:t>
      </w:r>
    </w:p>
    <w:p w14:paraId="10DD0751">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（2）复制、拷贝、留存、转移体检数据用于合同约定以外目的；</w:t>
      </w:r>
    </w:p>
    <w:p w14:paraId="5CB8C17D">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（3）允许无关人员查阅、摘抄、拍摄体检报告及信息系统数据；</w:t>
      </w:r>
    </w:p>
    <w:p w14:paraId="781F9C95">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（4）发生信息泄露后隐瞒不报、未及时采取补救措施；</w:t>
      </w:r>
    </w:p>
    <w:p w14:paraId="49F30BD3">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（5）违反《个人信息保护法》《基本医疗卫生与健康促进法》等法律法规的其他行为。</w:t>
      </w:r>
    </w:p>
    <w:p w14:paraId="298CD6E5">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4.4泄密责任与追责</w:t>
      </w:r>
    </w:p>
    <w:p w14:paraId="4FCACD49">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（1）一经查实存在泄密行为，采购人有权暂停付款、终止合同，并上报财政部门记入不良行为记录；</w:t>
      </w:r>
    </w:p>
    <w:p w14:paraId="3A5A7E7F">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（2）因泄密给采购人、受检人员造成损失的，中标人须承担全部赔偿责任；</w:t>
      </w:r>
    </w:p>
    <w:p w14:paraId="23BFF731">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0" w:firstLineChars="200"/>
        <w:jc w:val="both"/>
        <w:textAlignment w:val="baseline"/>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（3）涉嫌违法犯罪的，采购人将移交公安、监察、卫健等部门依法追究法律责任；</w:t>
      </w:r>
    </w:p>
    <w:p w14:paraId="35C2E542">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0" w:firstLine="482" w:firstLineChars="200"/>
        <w:jc w:val="both"/>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b/>
          <w:bCs/>
          <w:snapToGrid w:val="0"/>
          <w:color w:val="auto"/>
          <w:kern w:val="0"/>
          <w:sz w:val="24"/>
          <w:szCs w:val="24"/>
          <w:highlight w:val="none"/>
          <w:lang w:val="en-US" w:eastAsia="zh-CN" w:bidi="ar-SA"/>
        </w:rPr>
        <w:t>5、其它要求：</w:t>
      </w:r>
    </w:p>
    <w:p w14:paraId="34C2A8DE">
      <w:pPr>
        <w:keepNext w:val="0"/>
        <w:keepLines w:val="0"/>
        <w:pageBreakBefore w:val="0"/>
        <w:widowControl/>
        <w:kinsoku/>
        <w:wordWrap/>
        <w:overflowPunct/>
        <w:topLinePunct w:val="0"/>
        <w:autoSpaceDE/>
        <w:autoSpaceDN/>
        <w:bidi w:val="0"/>
        <w:adjustRightInd/>
        <w:snapToGrid/>
        <w:spacing w:line="440" w:lineRule="exact"/>
        <w:ind w:firstLine="480" w:firstLineChars="200"/>
        <w:jc w:val="both"/>
        <w:textAlignment w:val="baseline"/>
        <w:outlineLvl w:val="9"/>
        <w:rPr>
          <w:rFonts w:hint="eastAsia" w:ascii="宋体" w:hAnsi="宋体" w:eastAsia="宋体" w:cs="宋体"/>
          <w:b w:val="0"/>
          <w:bCs w:val="0"/>
          <w:color w:val="auto"/>
          <w:kern w:val="0"/>
          <w:sz w:val="24"/>
          <w:szCs w:val="24"/>
          <w:highlight w:val="none"/>
          <w:lang w:bidi="zh-CN"/>
        </w:rPr>
      </w:pPr>
      <w:r>
        <w:rPr>
          <w:rFonts w:hint="eastAsia" w:ascii="宋体" w:hAnsi="宋体" w:eastAsia="宋体" w:cs="宋体"/>
          <w:b w:val="0"/>
          <w:bCs w:val="0"/>
          <w:color w:val="auto"/>
          <w:kern w:val="0"/>
          <w:sz w:val="24"/>
          <w:szCs w:val="24"/>
          <w:highlight w:val="none"/>
          <w:lang w:bidi="zh-CN"/>
        </w:rPr>
        <w:t>投标</w:t>
      </w:r>
      <w:r>
        <w:rPr>
          <w:rFonts w:hint="eastAsia" w:ascii="宋体" w:hAnsi="宋体" w:eastAsia="宋体" w:cs="宋体"/>
          <w:b w:val="0"/>
          <w:bCs w:val="0"/>
          <w:color w:val="auto"/>
          <w:kern w:val="0"/>
          <w:sz w:val="24"/>
          <w:szCs w:val="24"/>
          <w:highlight w:val="none"/>
          <w:lang w:val="en-US" w:bidi="zh-CN"/>
        </w:rPr>
        <w:t>人</w:t>
      </w:r>
      <w:r>
        <w:rPr>
          <w:rFonts w:hint="eastAsia" w:ascii="宋体" w:hAnsi="宋体" w:eastAsia="宋体" w:cs="宋体"/>
          <w:b w:val="0"/>
          <w:bCs w:val="0"/>
          <w:color w:val="auto"/>
          <w:kern w:val="0"/>
          <w:sz w:val="24"/>
          <w:szCs w:val="24"/>
          <w:highlight w:val="none"/>
          <w:lang w:bidi="zh-CN"/>
        </w:rPr>
        <w:t>须在采购人所在地拥有自有产权或合法租赁、可独立开展体检服务的固定体检场所，本项目所有体检项目必须在本地场所内全程完成。投标</w:t>
      </w:r>
      <w:r>
        <w:rPr>
          <w:rFonts w:hint="eastAsia" w:ascii="宋体" w:hAnsi="宋体" w:eastAsia="宋体" w:cs="宋体"/>
          <w:b w:val="0"/>
          <w:bCs w:val="0"/>
          <w:color w:val="auto"/>
          <w:kern w:val="0"/>
          <w:sz w:val="24"/>
          <w:szCs w:val="24"/>
          <w:highlight w:val="none"/>
          <w:lang w:val="en-US" w:bidi="zh-CN"/>
        </w:rPr>
        <w:t>人</w:t>
      </w:r>
      <w:r>
        <w:rPr>
          <w:rFonts w:hint="eastAsia" w:ascii="宋体" w:hAnsi="宋体" w:eastAsia="宋体" w:cs="宋体"/>
          <w:b w:val="0"/>
          <w:bCs w:val="0"/>
          <w:color w:val="auto"/>
          <w:kern w:val="0"/>
          <w:sz w:val="24"/>
          <w:szCs w:val="24"/>
          <w:highlight w:val="none"/>
          <w:lang w:bidi="zh-CN"/>
        </w:rPr>
        <w:t>须具备本项目采购文件所列全部体检项目（</w:t>
      </w:r>
      <w:r>
        <w:rPr>
          <w:rFonts w:hint="eastAsia" w:ascii="宋体" w:hAnsi="宋体" w:eastAsia="宋体" w:cs="宋体"/>
          <w:b w:val="0"/>
          <w:bCs w:val="0"/>
          <w:color w:val="auto"/>
          <w:kern w:val="0"/>
          <w:sz w:val="24"/>
          <w:szCs w:val="24"/>
          <w:highlight w:val="none"/>
          <w:lang w:val="en-US" w:bidi="zh-CN"/>
        </w:rPr>
        <w:t>含《体检自选项目表》中的项目</w:t>
      </w:r>
      <w:r>
        <w:rPr>
          <w:rFonts w:hint="eastAsia" w:ascii="宋体" w:hAnsi="宋体" w:eastAsia="宋体" w:cs="宋体"/>
          <w:b w:val="0"/>
          <w:bCs w:val="0"/>
          <w:color w:val="auto"/>
          <w:kern w:val="0"/>
          <w:sz w:val="24"/>
          <w:szCs w:val="24"/>
          <w:highlight w:val="none"/>
          <w:lang w:bidi="zh-CN"/>
        </w:rPr>
        <w:t>）的服务能力，不得虚假响应、不得分包/转包体检服务。</w:t>
      </w:r>
    </w:p>
    <w:p w14:paraId="3FFA98B8">
      <w:pPr>
        <w:keepNext w:val="0"/>
        <w:keepLines w:val="0"/>
        <w:pageBreakBefore w:val="0"/>
        <w:widowControl/>
        <w:kinsoku/>
        <w:wordWrap/>
        <w:overflowPunct/>
        <w:topLinePunct w:val="0"/>
        <w:autoSpaceDE/>
        <w:autoSpaceDN/>
        <w:bidi w:val="0"/>
        <w:adjustRightInd/>
        <w:snapToGrid/>
        <w:spacing w:line="440" w:lineRule="exact"/>
        <w:ind w:firstLine="480" w:firstLineChars="200"/>
        <w:jc w:val="both"/>
        <w:textAlignment w:val="baseline"/>
        <w:outlineLvl w:val="9"/>
        <w:rPr>
          <w:rFonts w:hint="eastAsia" w:ascii="宋体" w:hAnsi="宋体" w:eastAsia="宋体" w:cs="宋体"/>
          <w:b w:val="0"/>
          <w:bCs w:val="0"/>
          <w:color w:val="auto"/>
          <w:kern w:val="0"/>
          <w:sz w:val="24"/>
          <w:szCs w:val="24"/>
          <w:highlight w:val="none"/>
          <w:lang w:bidi="zh-CN"/>
        </w:rPr>
      </w:pPr>
      <w:r>
        <w:rPr>
          <w:rFonts w:hint="eastAsia" w:ascii="宋体" w:hAnsi="宋体" w:eastAsia="宋体" w:cs="宋体"/>
          <w:b w:val="0"/>
          <w:bCs w:val="0"/>
          <w:color w:val="auto"/>
          <w:kern w:val="0"/>
          <w:sz w:val="24"/>
          <w:szCs w:val="24"/>
          <w:highlight w:val="none"/>
          <w:lang w:bidi="zh-CN"/>
        </w:rPr>
        <w:t>凡存在虚假响应、虚假承诺、外包体检、异地体检、擅自减少检查项目等不符合采购需求情形的，一律认定为提供虚假材料谋取中标、成交，采购人有权取消其中标/成交资格、单方面解除合同并追究违约责任，同时严格依据《中华人民共和国政府采购法》第七十七条第一款第（一）项上报政府采购监管部门严肃处理：处以采购金额千分之五以上千分之十以下的罚款，列入不良行为记录名单，一至三年内禁止参加政府采购活动；有违法所得的，并处没收违法所得；情节严重的，由市场监督管理部门吊销营业执照；构成犯罪的，依法追究刑事责任。</w:t>
      </w:r>
    </w:p>
    <w:p w14:paraId="1F07A40B">
      <w:pPr>
        <w:keepNext w:val="0"/>
        <w:keepLines w:val="0"/>
        <w:pageBreakBefore w:val="0"/>
        <w:widowControl/>
        <w:kinsoku/>
        <w:wordWrap/>
        <w:overflowPunct/>
        <w:topLinePunct w:val="0"/>
        <w:autoSpaceDE/>
        <w:autoSpaceDN/>
        <w:bidi w:val="0"/>
        <w:adjustRightInd/>
        <w:snapToGrid/>
        <w:spacing w:line="440" w:lineRule="exact"/>
        <w:ind w:firstLine="482" w:firstLineChars="200"/>
        <w:textAlignment w:val="baseline"/>
        <w:outlineLvl w:val="9"/>
        <w:rPr>
          <w:rFonts w:hint="eastAsia" w:ascii="宋体" w:hAnsi="宋体" w:eastAsia="宋体" w:cs="宋体"/>
          <w:b/>
          <w:color w:val="auto"/>
          <w:sz w:val="24"/>
          <w:szCs w:val="24"/>
          <w:highlight w:val="none"/>
        </w:rPr>
      </w:pPr>
      <w:r>
        <w:rPr>
          <w:rFonts w:hint="eastAsia" w:ascii="宋体" w:hAnsi="宋体" w:eastAsia="宋体" w:cs="宋体"/>
          <w:b/>
          <w:bCs/>
          <w:color w:val="auto"/>
          <w:kern w:val="0"/>
          <w:sz w:val="24"/>
          <w:szCs w:val="24"/>
          <w:highlight w:val="none"/>
          <w:lang w:bidi="zh-CN"/>
        </w:rPr>
        <w:t>注：以上商务条</w:t>
      </w:r>
      <w:r>
        <w:rPr>
          <w:rFonts w:hint="eastAsia" w:ascii="宋体" w:hAnsi="宋体" w:eastAsia="宋体" w:cs="宋体"/>
          <w:b/>
          <w:bCs/>
          <w:color w:val="auto"/>
          <w:kern w:val="0"/>
          <w:sz w:val="24"/>
          <w:szCs w:val="24"/>
          <w:highlight w:val="none"/>
          <w:lang w:val="en-US" w:bidi="zh-CN"/>
        </w:rPr>
        <w:t>款</w:t>
      </w:r>
      <w:r>
        <w:rPr>
          <w:rFonts w:hint="eastAsia" w:ascii="宋体" w:hAnsi="宋体" w:eastAsia="宋体" w:cs="宋体"/>
          <w:b/>
          <w:bCs/>
          <w:color w:val="auto"/>
          <w:kern w:val="0"/>
          <w:sz w:val="24"/>
          <w:szCs w:val="24"/>
          <w:highlight w:val="none"/>
          <w:lang w:bidi="zh-CN"/>
        </w:rPr>
        <w:t>必须完全</w:t>
      </w:r>
      <w:r>
        <w:rPr>
          <w:rFonts w:hint="eastAsia" w:ascii="宋体" w:hAnsi="宋体" w:eastAsia="宋体" w:cs="宋体"/>
          <w:b/>
          <w:bCs/>
          <w:color w:val="auto"/>
          <w:kern w:val="0"/>
          <w:sz w:val="24"/>
          <w:szCs w:val="24"/>
          <w:highlight w:val="none"/>
          <w:lang w:val="en-US" w:bidi="zh-CN"/>
        </w:rPr>
        <w:t>满足或优于</w:t>
      </w:r>
      <w:r>
        <w:rPr>
          <w:rFonts w:hint="eastAsia" w:ascii="宋体" w:hAnsi="宋体" w:eastAsia="宋体" w:cs="宋体"/>
          <w:b/>
          <w:bCs/>
          <w:color w:val="auto"/>
          <w:kern w:val="0"/>
          <w:sz w:val="24"/>
          <w:szCs w:val="24"/>
          <w:highlight w:val="none"/>
          <w:lang w:bidi="zh-CN"/>
        </w:rPr>
        <w:t>，</w:t>
      </w:r>
      <w:r>
        <w:rPr>
          <w:rFonts w:hint="eastAsia" w:ascii="宋体" w:hAnsi="宋体" w:eastAsia="宋体" w:cs="宋体"/>
          <w:b/>
          <w:bCs/>
          <w:color w:val="auto"/>
          <w:sz w:val="24"/>
          <w:szCs w:val="24"/>
          <w:highlight w:val="none"/>
        </w:rPr>
        <w:t>否则</w:t>
      </w:r>
      <w:r>
        <w:rPr>
          <w:rFonts w:hint="eastAsia" w:ascii="宋体" w:hAnsi="宋体" w:eastAsia="宋体" w:cs="宋体"/>
          <w:b/>
          <w:color w:val="auto"/>
          <w:sz w:val="24"/>
          <w:szCs w:val="24"/>
          <w:highlight w:val="none"/>
        </w:rPr>
        <w:t>视为无效</w:t>
      </w:r>
      <w:r>
        <w:rPr>
          <w:rFonts w:hint="eastAsia" w:ascii="宋体" w:hAnsi="宋体" w:eastAsia="宋体" w:cs="宋体"/>
          <w:b/>
          <w:color w:val="auto"/>
          <w:sz w:val="24"/>
          <w:szCs w:val="24"/>
          <w:highlight w:val="none"/>
          <w:lang w:val="en-US" w:eastAsia="zh-CN"/>
        </w:rPr>
        <w:t>响应</w:t>
      </w:r>
      <w:r>
        <w:rPr>
          <w:rFonts w:hint="eastAsia" w:ascii="宋体" w:hAnsi="宋体" w:eastAsia="宋体" w:cs="宋体"/>
          <w:b/>
          <w:color w:val="auto"/>
          <w:sz w:val="24"/>
          <w:szCs w:val="24"/>
          <w:highlight w:val="none"/>
        </w:rPr>
        <w:t>。</w:t>
      </w:r>
    </w:p>
    <w:p w14:paraId="52180A9D">
      <w:pPr>
        <w:jc w:val="center"/>
        <w:rPr>
          <w:rFonts w:hint="eastAsia"/>
          <w:b/>
          <w:bCs/>
          <w:color w:val="auto"/>
          <w:sz w:val="30"/>
          <w:szCs w:val="30"/>
          <w:highlight w:val="none"/>
          <w:lang w:val="en-US" w:eastAsia="zh-CN"/>
        </w:rPr>
      </w:pPr>
    </w:p>
    <w:p w14:paraId="54AD3823">
      <w:bookmarkStart w:id="2" w:name="_GoBack"/>
      <w:bookmarkEnd w:id="2"/>
    </w:p>
    <w:sectPr>
      <w:head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4445A">
    <w:pPr>
      <w:pStyle w:val="6"/>
      <w:pBdr>
        <w:bottom w:val="thinThickLargeGap" w:color="auto" w:sz="4" w:space="1"/>
      </w:pBdr>
      <w:tabs>
        <w:tab w:val="left" w:pos="5927"/>
        <w:tab w:val="right" w:pos="9736"/>
      </w:tabs>
      <w:jc w:val="right"/>
      <w:rPr>
        <w:rFonts w:ascii="仿宋" w:hAnsi="仿宋" w:eastAsia="仿宋" w:cs="仿宋"/>
        <w:sz w:val="28"/>
        <w:szCs w:val="28"/>
      </w:rPr>
    </w:pPr>
    <w:r>
      <w:drawing>
        <wp:inline distT="0" distB="0" distL="114300" distR="114300">
          <wp:extent cx="1494155" cy="260350"/>
          <wp:effectExtent l="0" t="0" r="0" b="1397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biLevel thresh="50000"/>
                  </a:blip>
                  <a:stretch>
                    <a:fillRect/>
                  </a:stretch>
                </pic:blipFill>
                <pic:spPr>
                  <a:xfrm>
                    <a:off x="0" y="0"/>
                    <a:ext cx="1494155" cy="260350"/>
                  </a:xfrm>
                  <a:prstGeom prst="rect">
                    <a:avLst/>
                  </a:prstGeom>
                  <a:noFill/>
                  <a:ln>
                    <a:noFill/>
                  </a:ln>
                </pic:spPr>
              </pic:pic>
            </a:graphicData>
          </a:graphic>
        </wp:inline>
      </w:drawing>
    </w:r>
  </w:p>
  <w:p w14:paraId="1D3AA1D2">
    <w:pPr>
      <w:pageBreakBefore w:val="0"/>
      <w:widowControl w:val="0"/>
      <w:pBdr>
        <w:bottom w:val="none" w:color="auto" w:sz="0" w:space="0"/>
      </w:pBdr>
      <w:wordWrap/>
      <w:overflowPunct/>
      <w:topLinePunct w:val="0"/>
      <w:bidi w:val="0"/>
      <w:spacing w:before="47" w:line="219" w:lineRule="auto"/>
      <w:jc w:val="center"/>
      <w:outlineLvl w:val="1"/>
      <w:rPr>
        <w:rFonts w:hint="eastAsia" w:ascii="宋体" w:hAnsi="宋体" w:eastAsia="宋体" w:cs="宋体"/>
        <w:b w:val="0"/>
        <w:bCs w:val="0"/>
        <w:color w:val="auto"/>
        <w:spacing w:val="-2"/>
        <w:sz w:val="24"/>
        <w:szCs w:val="24"/>
        <w:highlight w:val="none"/>
        <w:lang w:val="en-US" w:eastAsia="zh-CN"/>
        <w14:textOutline w14:w="4356" w14:cap="sq" w14:cmpd="sng" w14:algn="ctr">
          <w14:solidFill>
            <w14:srgbClr w14:val="000000"/>
          </w14:solidFill>
          <w14:prstDash w14:val="solid"/>
          <w14:bevel/>
        </w14:textOutli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AA92E7">
    <w:pPr>
      <w:pStyle w:val="6"/>
      <w:pBdr>
        <w:bottom w:val="thinThickLargeGap" w:color="auto" w:sz="4" w:space="1"/>
      </w:pBdr>
      <w:tabs>
        <w:tab w:val="left" w:pos="5927"/>
        <w:tab w:val="right" w:pos="9736"/>
      </w:tabs>
      <w:jc w:val="right"/>
      <w:rPr>
        <w:rFonts w:ascii="仿宋" w:hAnsi="仿宋" w:eastAsia="仿宋" w:cs="仿宋"/>
        <w:sz w:val="28"/>
        <w:szCs w:val="28"/>
      </w:rPr>
    </w:pPr>
    <w:r>
      <w:drawing>
        <wp:inline distT="0" distB="0" distL="114300" distR="114300">
          <wp:extent cx="1494155" cy="260350"/>
          <wp:effectExtent l="0" t="0" r="0" b="1397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
                    <a:biLevel thresh="50000"/>
                  </a:blip>
                  <a:stretch>
                    <a:fillRect/>
                  </a:stretch>
                </pic:blipFill>
                <pic:spPr>
                  <a:xfrm>
                    <a:off x="0" y="0"/>
                    <a:ext cx="1494155" cy="260350"/>
                  </a:xfrm>
                  <a:prstGeom prst="rect">
                    <a:avLst/>
                  </a:prstGeom>
                  <a:noFill/>
                  <a:ln>
                    <a:noFill/>
                  </a:ln>
                </pic:spPr>
              </pic:pic>
            </a:graphicData>
          </a:graphic>
        </wp:inline>
      </w:drawing>
    </w:r>
  </w:p>
  <w:p w14:paraId="425697C8">
    <w:pPr>
      <w:pageBreakBefore w:val="0"/>
      <w:widowControl w:val="0"/>
      <w:pBdr>
        <w:bottom w:val="none" w:color="auto" w:sz="0" w:space="0"/>
      </w:pBdr>
      <w:wordWrap/>
      <w:overflowPunct/>
      <w:topLinePunct w:val="0"/>
      <w:bidi w:val="0"/>
      <w:spacing w:before="47" w:line="219" w:lineRule="auto"/>
      <w:jc w:val="center"/>
      <w:outlineLvl w:val="1"/>
      <w:rPr>
        <w:rFonts w:hint="eastAsia" w:ascii="宋体" w:hAnsi="宋体" w:eastAsia="宋体" w:cs="宋体"/>
        <w:b w:val="0"/>
        <w:bCs w:val="0"/>
        <w:color w:val="auto"/>
        <w:spacing w:val="-2"/>
        <w:sz w:val="24"/>
        <w:szCs w:val="24"/>
        <w:highlight w:val="none"/>
        <w:lang w:val="en-US" w:eastAsia="zh-CN"/>
        <w14:textOutline w14:w="4356" w14:cap="sq" w14:cmpd="sng" w14:algn="ctr">
          <w14:solidFill>
            <w14:srgbClr w14:val="000000"/>
          </w14:solidFill>
          <w14:prstDash w14:val="solid"/>
          <w14:bevel/>
        </w14:textOutli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EC6471B"/>
    <w:rsid w:val="6ADC7D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8">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next w:val="3"/>
    <w:semiHidden/>
    <w:qFormat/>
    <w:uiPriority w:val="0"/>
    <w:rPr>
      <w:rFonts w:ascii="仿宋" w:hAnsi="仿宋" w:eastAsia="仿宋" w:cs="仿宋"/>
      <w:sz w:val="30"/>
      <w:szCs w:val="30"/>
    </w:rPr>
  </w:style>
  <w:style w:type="paragraph" w:styleId="3">
    <w:name w:val="Body Text First Indent"/>
    <w:basedOn w:val="2"/>
    <w:next w:val="4"/>
    <w:qFormat/>
    <w:uiPriority w:val="0"/>
    <w:pPr>
      <w:ind w:firstLine="420" w:firstLineChars="100"/>
    </w:pPr>
  </w:style>
  <w:style w:type="paragraph" w:styleId="4">
    <w:name w:val="Body Text First Indent 2"/>
    <w:basedOn w:val="5"/>
    <w:qFormat/>
    <w:uiPriority w:val="0"/>
    <w:pPr>
      <w:ind w:firstLine="420"/>
    </w:pPr>
  </w:style>
  <w:style w:type="paragraph" w:styleId="5">
    <w:name w:val="Body Text Indent"/>
    <w:basedOn w:val="1"/>
    <w:next w:val="4"/>
    <w:unhideWhenUsed/>
    <w:qFormat/>
    <w:uiPriority w:val="99"/>
    <w:pPr>
      <w:spacing w:after="120"/>
      <w:ind w:left="420" w:leftChars="200"/>
    </w:pPr>
    <w:rPr>
      <w:rFonts w:eastAsia="微软雅黑"/>
      <w:kern w:val="0"/>
      <w:sz w:val="24"/>
      <w:szCs w:val="20"/>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character" w:customStyle="1" w:styleId="9">
    <w:name w:val="font41"/>
    <w:basedOn w:val="8"/>
    <w:qFormat/>
    <w:uiPriority w:val="0"/>
    <w:rPr>
      <w:rFonts w:hint="eastAsia" w:ascii="宋体" w:hAnsi="宋体" w:eastAsia="宋体" w:cs="宋体"/>
      <w:color w:val="000000"/>
      <w:sz w:val="24"/>
      <w:szCs w:val="24"/>
      <w:u w:val="none"/>
    </w:rPr>
  </w:style>
  <w:style w:type="character" w:customStyle="1" w:styleId="10">
    <w:name w:val="font11"/>
    <w:basedOn w:val="8"/>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647</Words>
  <Characters>698</Characters>
  <Lines>0</Lines>
  <Paragraphs>0</Paragraphs>
  <TotalTime>0</TotalTime>
  <ScaleCrop>false</ScaleCrop>
  <LinksUpToDate>false</LinksUpToDate>
  <CharactersWithSpaces>698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2026-03-30T05:17:00Z</dcterms:created>
  <dc:creator>Administrator</dc:creator>
  <cp:lastModifiedBy>江招公司</cp:lastModifiedBy>
  <dcterms:modified xsi:type="dcterms:W3CDTF">2026-05-11T05:03:59Z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eyJoZGlkIjoiMzU5Y2E0MmE3NjMyYTdlMzcxMmY4YjkzNjMwNDQ4NjciLCJ1c2VySWQiOiI0NDI3OTgwNjUifQ==</vt:lpwstr>
  </property>
  <property fmtid="{D5CDD505-2E9C-101B-9397-08002B2CF9AE}" pid="4" name="ICV">
    <vt:lpwstr>9543019EC9F546BDAC1D5815D6FCA5BA_12</vt:lpwstr>
  </property>
</Properties>
</file>