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12DB2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outlineLvl w:val="3"/>
        <w:rPr>
          <w:rFonts w:hint="eastAsia" w:ascii="宋体" w:hAnsi="宋体" w:eastAsia="宋体" w:cs="宋体"/>
          <w:b/>
          <w:bCs/>
          <w:color w:val="auto"/>
          <w:spacing w:val="-6"/>
          <w:sz w:val="36"/>
          <w:szCs w:val="36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6"/>
          <w:sz w:val="36"/>
          <w:szCs w:val="36"/>
          <w:highlight w:val="none"/>
          <w:lang w:val="en-US" w:eastAsia="zh-CN"/>
        </w:rPr>
        <w:t>采购要求</w:t>
      </w:r>
    </w:p>
    <w:p w14:paraId="26F07F1E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jc w:val="center"/>
        <w:rPr>
          <w:rFonts w:ascii="宋体" w:hAnsi="宋体" w:eastAsia="宋体" w:cs="宋体"/>
          <w:b/>
          <w:bCs/>
          <w:color w:val="auto"/>
          <w:spacing w:val="-6"/>
          <w:sz w:val="36"/>
          <w:szCs w:val="36"/>
          <w:highlight w:val="none"/>
          <w:lang w:eastAsia="zh-CN"/>
        </w:rPr>
      </w:pPr>
    </w:p>
    <w:p w14:paraId="0E6E0F34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00" w:lineRule="exact"/>
        <w:jc w:val="left"/>
        <w:rPr>
          <w:rFonts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  <w:t>（一）</w:t>
      </w:r>
      <w:r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val="en-US" w:eastAsia="zh-CN"/>
        </w:rPr>
        <w:t>服务</w:t>
      </w:r>
      <w:r>
        <w:rPr>
          <w:rFonts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  <w:t>需求</w:t>
      </w:r>
    </w:p>
    <w:p w14:paraId="6D78FCBE">
      <w:pPr>
        <w:keepNext w:val="0"/>
        <w:keepLines w:val="0"/>
        <w:pageBreakBefore w:val="0"/>
        <w:wordWrap/>
        <w:overflowPunct/>
        <w:topLinePunct w:val="0"/>
        <w:bidi w:val="0"/>
        <w:spacing w:line="500" w:lineRule="exact"/>
        <w:rPr>
          <w:rFonts w:hint="eastAsia" w:ascii="宋体" w:hAnsi="宋体" w:eastAsia="宋体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b/>
          <w:bCs/>
          <w:color w:val="auto"/>
          <w:sz w:val="24"/>
          <w:szCs w:val="24"/>
          <w:highlight w:val="none"/>
        </w:rPr>
        <w:t>设计成果要求</w:t>
      </w:r>
      <w:r>
        <w:rPr>
          <w:rFonts w:hint="eastAsia" w:ascii="宋体" w:hAnsi="宋体" w:eastAsia="宋体"/>
          <w:b/>
          <w:bCs/>
          <w:color w:val="auto"/>
          <w:sz w:val="24"/>
          <w:szCs w:val="24"/>
          <w:highlight w:val="none"/>
          <w:lang w:eastAsia="zh-CN"/>
        </w:rPr>
        <w:t>：</w:t>
      </w:r>
      <w:bookmarkStart w:id="0" w:name="_GoBack"/>
      <w:bookmarkEnd w:id="0"/>
    </w:p>
    <w:p w14:paraId="13B648B8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①设计成果符合国家技术规范、标准及规程要求，方案设计应满足《建筑工程设计文件编制深度规定》，深度要求应达到《建筑工程设计文件编制深度规定》相关要求。</w:t>
      </w:r>
    </w:p>
    <w:p w14:paraId="2B9C3E98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②与周边环境相协调，并体现出和谐、环保、创新等新设计理念。</w:t>
      </w:r>
    </w:p>
    <w:p w14:paraId="4AC493DA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③可采用新技术、新工艺、新材料，但必须具备结构安全性、材料耐久性、施工可实施性等。</w:t>
      </w:r>
    </w:p>
    <w:p w14:paraId="405D29E2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④设计方案应均为原创，此前未以任何形式发表或实施，不属于公开作品。</w:t>
      </w:r>
    </w:p>
    <w:p w14:paraId="29E59272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 xml:space="preserve">⑤图纸：提供方案成果及施工图；其中方案成果主要包括但不限于区位与现状分析图、航拍图、道路交通规划图、节点效果图等；施工图成果应包括但不限于业主认可后的方案成果中的所有内容。 </w:t>
      </w:r>
    </w:p>
    <w:p w14:paraId="47DEC5BE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⑥提交的成果应包括电子文件，其中文本为word格式，图纸为DWG格式或JPG格式，效果图为JPG格式。</w:t>
      </w:r>
    </w:p>
    <w:p w14:paraId="1B2A81EE">
      <w:pPr>
        <w:keepNext w:val="0"/>
        <w:keepLines w:val="0"/>
        <w:pageBreakBefore w:val="0"/>
        <w:wordWrap/>
        <w:overflowPunct/>
        <w:topLinePunct w:val="0"/>
        <w:bidi w:val="0"/>
        <w:spacing w:line="500" w:lineRule="exact"/>
        <w:ind w:firstLine="480" w:firstLineChars="200"/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3、技术要求</w:t>
      </w:r>
    </w:p>
    <w:p w14:paraId="1490CF20">
      <w:pPr>
        <w:keepNext w:val="0"/>
        <w:keepLines w:val="0"/>
        <w:pageBreakBefore w:val="0"/>
        <w:wordWrap/>
        <w:overflowPunct/>
        <w:topLinePunct w:val="0"/>
        <w:bidi w:val="0"/>
        <w:spacing w:line="500" w:lineRule="exact"/>
        <w:ind w:firstLine="480" w:firstLineChars="200"/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 xml:space="preserve">（1）编制项目初步设计时，应认真调查和研究，取得可靠的基本资料。设计应安全可靠，技术先进，密切结合实际，节约投资，注重经济效益。 </w:t>
      </w:r>
    </w:p>
    <w:p w14:paraId="6DD5724D">
      <w:pPr>
        <w:keepNext w:val="0"/>
        <w:keepLines w:val="0"/>
        <w:pageBreakBefore w:val="0"/>
        <w:wordWrap/>
        <w:overflowPunct/>
        <w:topLinePunct w:val="0"/>
        <w:bidi w:val="0"/>
        <w:spacing w:line="500" w:lineRule="exact"/>
        <w:ind w:firstLine="480" w:firstLineChars="200"/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 xml:space="preserve">（2）梳理项目需求及建设目标，满足功能与性能需求。  </w:t>
      </w:r>
    </w:p>
    <w:p w14:paraId="4E25FF04">
      <w:pPr>
        <w:keepNext w:val="0"/>
        <w:keepLines w:val="0"/>
        <w:pageBreakBefore w:val="0"/>
        <w:wordWrap/>
        <w:overflowPunct/>
        <w:topLinePunct w:val="0"/>
        <w:bidi w:val="0"/>
        <w:spacing w:line="500" w:lineRule="exact"/>
        <w:ind w:firstLine="480" w:firstLineChars="200"/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（3）提出合理的、可操作的设计策略，在满足功能和使用要求的基础上讲究舒适、美观。</w:t>
      </w:r>
    </w:p>
    <w:p w14:paraId="58F72EA6">
      <w:pPr>
        <w:keepNext w:val="0"/>
        <w:keepLines w:val="0"/>
        <w:pageBreakBefore w:val="0"/>
        <w:wordWrap/>
        <w:overflowPunct/>
        <w:topLinePunct w:val="0"/>
        <w:bidi w:val="0"/>
        <w:spacing w:line="500" w:lineRule="exact"/>
        <w:ind w:firstLine="480" w:firstLineChars="200"/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（4）成交供应商承诺，在本工程设计及施工过程中，为了设计优化的需要，成交供应商应采购人要求，随时提供本工程计算数据及图形文件的电子文档</w:t>
      </w:r>
    </w:p>
    <w:p w14:paraId="32C3406F">
      <w:pPr>
        <w:keepNext w:val="0"/>
        <w:keepLines w:val="0"/>
        <w:pageBreakBefore w:val="0"/>
        <w:wordWrap/>
        <w:overflowPunct/>
        <w:topLinePunct w:val="0"/>
        <w:bidi w:val="0"/>
        <w:spacing w:line="500" w:lineRule="exact"/>
        <w:ind w:firstLine="480" w:firstLineChars="200"/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（5）成交供应商应跟踪解决工程中因设计图纸不详而遇到的一切问题，时间从工程开工到工程竣工验收（无偿提供电子版图纸给甲方）。</w:t>
      </w:r>
    </w:p>
    <w:p w14:paraId="1B3246AD">
      <w:pPr>
        <w:keepNext w:val="0"/>
        <w:keepLines w:val="0"/>
        <w:pageBreakBefore w:val="0"/>
        <w:wordWrap/>
        <w:overflowPunct/>
        <w:topLinePunct w:val="0"/>
        <w:bidi w:val="0"/>
        <w:spacing w:line="500" w:lineRule="exact"/>
        <w:ind w:firstLine="480" w:firstLineChars="200"/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宋体" w:hAnsi="宋体" w:eastAsia="宋体" w:cs="宋体"/>
          <w:i w:val="0"/>
          <w:iCs w:val="0"/>
          <w:caps w:val="0"/>
          <w:snapToGrid w:val="0"/>
          <w:color w:val="auto"/>
          <w:spacing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（6）成交供应商应根据建设单位工程项目需要，及时无偿提供局部(工作量不超过合同的10%)设计变更，以满足工程施工顺利进行。</w:t>
      </w:r>
    </w:p>
    <w:p w14:paraId="37657620">
      <w:pPr>
        <w:rPr>
          <w:rFonts w:hint="eastAsia" w:ascii="宋体" w:hAnsi="宋体" w:eastAsia="宋体" w:cs="Times New Roman"/>
          <w:color w:val="auto"/>
          <w:sz w:val="27"/>
          <w:szCs w:val="27"/>
          <w:highlight w:val="none"/>
          <w:lang w:val="en-US" w:eastAsia="zh-CN"/>
        </w:rPr>
      </w:pPr>
      <w:r>
        <w:rPr>
          <w:rFonts w:hint="eastAsia" w:ascii="宋体" w:hAnsi="宋体" w:eastAsia="宋体" w:cs="Times New Roman"/>
          <w:color w:val="auto"/>
          <w:sz w:val="27"/>
          <w:szCs w:val="27"/>
          <w:highlight w:val="none"/>
          <w:lang w:val="en-US" w:eastAsia="zh-CN"/>
        </w:rPr>
        <w:br w:type="page"/>
      </w:r>
    </w:p>
    <w:p w14:paraId="361D1E4B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color w:val="auto"/>
          <w:highlight w:val="none"/>
        </w:rPr>
      </w:pPr>
      <w:r>
        <w:rPr>
          <w:rFonts w:hint="eastAsia" w:ascii="宋体" w:hAnsi="宋体" w:eastAsia="宋体" w:cs="Times New Roman"/>
          <w:color w:val="auto"/>
          <w:sz w:val="27"/>
          <w:szCs w:val="27"/>
          <w:highlight w:val="none"/>
          <w:lang w:val="en-US" w:eastAsia="zh-CN"/>
        </w:rPr>
        <w:t>4、附件（设计范围）</w:t>
      </w:r>
    </w:p>
    <w:p w14:paraId="7A9AB99A">
      <w:pPr>
        <w:pageBreakBefore w:val="0"/>
        <w:widowControl w:val="0"/>
        <w:wordWrap/>
        <w:overflowPunct/>
        <w:topLinePunct w:val="0"/>
        <w:bidi w:val="0"/>
        <w:spacing w:line="242" w:lineRule="auto"/>
        <w:jc w:val="center"/>
        <w:rPr>
          <w:rFonts w:hint="eastAsia" w:eastAsia="宋体"/>
          <w:color w:val="auto"/>
          <w:highlight w:val="none"/>
          <w:lang w:eastAsia="zh-CN"/>
        </w:rPr>
      </w:pPr>
    </w:p>
    <w:p w14:paraId="124378B8">
      <w:pPr>
        <w:rPr>
          <w:color w:val="auto"/>
          <w:highlight w:val="none"/>
        </w:rPr>
        <w:sectPr>
          <w:footerReference r:id="rId3" w:type="default"/>
          <w:pgSz w:w="11906" w:h="16839"/>
          <w:pgMar w:top="1134" w:right="1134" w:bottom="1134" w:left="1134" w:header="0" w:footer="994" w:gutter="0"/>
          <w:pgNumType w:fmt="decimal"/>
          <w:cols w:space="720" w:num="1"/>
          <w:rtlGutter w:val="0"/>
          <w:docGrid w:linePitch="0" w:charSpace="0"/>
        </w:sectPr>
      </w:pPr>
      <w:r>
        <w:rPr>
          <w:rFonts w:hint="eastAsia" w:eastAsia="宋体"/>
          <w:color w:val="auto"/>
          <w:highlight w:val="none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-293370</wp:posOffset>
            </wp:positionH>
            <wp:positionV relativeFrom="paragraph">
              <wp:posOffset>137795</wp:posOffset>
            </wp:positionV>
            <wp:extent cx="6889750" cy="8592185"/>
            <wp:effectExtent l="0" t="0" r="6350" b="18415"/>
            <wp:wrapNone/>
            <wp:docPr id="2" name="图片 2" descr="8fec27a7d7ab0bdc3967c06b60ccc8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fec27a7d7ab0bdc3967c06b60ccc823"/>
                    <pic:cNvPicPr/>
                  </pic:nvPicPr>
                  <pic:blipFill>
                    <a:blip r:embed="rId5"/>
                    <a:srcRect l="5327" t="6328" r="4039" b="2941"/>
                    <a:stretch>
                      <a:fillRect/>
                    </a:stretch>
                  </pic:blipFill>
                  <pic:spPr>
                    <a:xfrm>
                      <a:off x="0" y="0"/>
                      <a:ext cx="6889750" cy="8592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auto"/>
          <w:highlight w:val="none"/>
        </w:rPr>
        <w:br w:type="page"/>
      </w:r>
    </w:p>
    <w:p w14:paraId="442C681B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460" w:lineRule="exact"/>
        <w:ind w:right="0" w:rightChars="0"/>
        <w:jc w:val="left"/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  <w:t>（二）商务</w:t>
      </w:r>
      <w:r>
        <w:rPr>
          <w:rFonts w:hint="eastAsia"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  <w:t>条款</w:t>
      </w:r>
    </w:p>
    <w:p w14:paraId="1B84C2A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lang w:val="en-US" w:eastAsia="zh-CN" w:bidi="ar"/>
        </w:rPr>
        <w:t xml:space="preserve">（一）响应供应商所提供的服务内容必须符合国家、省市有关部门规范标准。 </w:t>
      </w:r>
    </w:p>
    <w:p w14:paraId="2607A5C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lang w:val="en-US" w:eastAsia="zh-CN" w:bidi="ar"/>
        </w:rPr>
        <w:t xml:space="preserve">（二）所有知识产权问题，由各响应供应商自行负责。 </w:t>
      </w:r>
    </w:p>
    <w:p w14:paraId="147F011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lang w:val="en-US" w:eastAsia="zh-CN"/>
        </w:rPr>
        <w:t>（三）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</w:rPr>
        <w:t>响应供应商须提供全新、并符合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lang w:val="en-US" w:eastAsia="zh-CN"/>
        </w:rPr>
        <w:t>服务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</w:rPr>
        <w:t>质量标准的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lang w:val="en-US" w:eastAsia="zh-CN"/>
        </w:rPr>
        <w:t>服务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</w:rPr>
        <w:t>；</w:t>
      </w:r>
    </w:p>
    <w:p w14:paraId="08C2BBF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lang w:eastAsia="zh-CN"/>
        </w:rPr>
        <w:t>（四）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</w:rPr>
        <w:t>本次招标所提要求是最低限度要求，响应供应商的方案应达到或优于本次招标所提要求，且符合国家有关标准和规范要求。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lang w:eastAsia="zh-CN"/>
        </w:rPr>
        <w:t>供应商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</w:rPr>
        <w:t>在实施合同过程中不能达到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lang w:eastAsia="zh-CN"/>
        </w:rPr>
        <w:t>采购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</w:rPr>
        <w:t>文件服务要求和在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lang w:eastAsia="zh-CN"/>
        </w:rPr>
        <w:t>响应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</w:rPr>
        <w:t>件中作出响应及承诺不能实施的，采购人将不予验收，责任及后果自负。并按提供虚假材料应标，报本级财政部门按《政府采购法》及相关法律、法规处理。</w:t>
      </w:r>
    </w:p>
    <w:p w14:paraId="2A55F64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</w:rPr>
        <w:t>（</w:t>
      </w: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>五</w:t>
      </w:r>
      <w:r>
        <w:rPr>
          <w:rFonts w:hint="eastAsia" w:ascii="宋体" w:hAnsi="宋体"/>
          <w:color w:val="auto"/>
          <w:sz w:val="24"/>
          <w:szCs w:val="24"/>
          <w:highlight w:val="none"/>
        </w:rPr>
        <w:t>）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lang w:val="en-US" w:eastAsia="zh-CN"/>
        </w:rPr>
        <w:t>最高控制价。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</w:rPr>
        <w:t>本项目设定最高控制价为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lang w:val="en-US" w:eastAsia="zh-CN"/>
        </w:rPr>
        <w:t>564300.00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</w:rPr>
        <w:t xml:space="preserve"> 元，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lang w:val="en-US" w:eastAsia="zh-CN"/>
        </w:rPr>
        <w:t>投标价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</w:rPr>
        <w:t>高于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lang w:val="en-US" w:eastAsia="zh-CN"/>
        </w:rPr>
        <w:t>564300.00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</w:rPr>
        <w:t>元的不予评审。</w:t>
      </w:r>
    </w:p>
    <w:p w14:paraId="4935A59A">
      <w:pPr>
        <w:keepNext w:val="0"/>
        <w:keepLines w:val="0"/>
        <w:pageBreakBefore w:val="0"/>
        <w:wordWrap/>
        <w:overflowPunct/>
        <w:topLinePunct w:val="0"/>
        <w:bidi w:val="0"/>
        <w:spacing w:line="460" w:lineRule="exact"/>
        <w:ind w:right="0" w:rightChars="0"/>
        <w:outlineLvl w:val="9"/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（</w:t>
      </w: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>六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）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lang w:val="en-US" w:eastAsia="zh-CN"/>
        </w:rPr>
        <w:t>付款方法：</w:t>
      </w:r>
    </w:p>
    <w:p w14:paraId="719B4F06">
      <w:pPr>
        <w:keepNext w:val="0"/>
        <w:keepLines w:val="0"/>
        <w:pageBreakBefore w:val="0"/>
        <w:wordWrap/>
        <w:overflowPunct/>
        <w:topLinePunct w:val="0"/>
        <w:bidi w:val="0"/>
        <w:spacing w:line="460" w:lineRule="exact"/>
        <w:ind w:right="0" w:rightChars="0" w:firstLine="600" w:firstLineChars="250"/>
        <w:outlineLvl w:val="9"/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/>
        </w:rPr>
      </w:pPr>
      <w:r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/>
        </w:rPr>
        <w:t>第一次支付：签订合同后出具初步设计经专家评审合格后</w:t>
      </w:r>
      <w:r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 w:eastAsia="zh-CN"/>
        </w:rPr>
        <w:t>，获得县发改委批复后</w:t>
      </w:r>
      <w:r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/>
        </w:rPr>
        <w:t>15日内支付至合同价</w:t>
      </w:r>
      <w:r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 w:eastAsia="zh-CN"/>
        </w:rPr>
        <w:t>3</w:t>
      </w:r>
      <w:r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/>
        </w:rPr>
        <w:t>0%。</w:t>
      </w:r>
    </w:p>
    <w:p w14:paraId="59D95B92">
      <w:pPr>
        <w:keepNext w:val="0"/>
        <w:keepLines w:val="0"/>
        <w:pageBreakBefore w:val="0"/>
        <w:wordWrap/>
        <w:overflowPunct/>
        <w:topLinePunct w:val="0"/>
        <w:bidi w:val="0"/>
        <w:spacing w:line="460" w:lineRule="exact"/>
        <w:ind w:right="0" w:rightChars="0" w:firstLine="600" w:firstLineChars="250"/>
        <w:outlineLvl w:val="9"/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/>
        </w:rPr>
      </w:pPr>
      <w:r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/>
        </w:rPr>
        <w:t>第二次支付：施工图设计通过图审后15日内支付至合同价的</w:t>
      </w:r>
      <w:r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 w:eastAsia="zh-CN"/>
        </w:rPr>
        <w:t>5</w:t>
      </w:r>
      <w:r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/>
        </w:rPr>
        <w:t>0%。</w:t>
      </w:r>
    </w:p>
    <w:p w14:paraId="0046B326">
      <w:pPr>
        <w:keepNext w:val="0"/>
        <w:keepLines w:val="0"/>
        <w:pageBreakBefore w:val="0"/>
        <w:wordWrap/>
        <w:overflowPunct/>
        <w:topLinePunct w:val="0"/>
        <w:bidi w:val="0"/>
        <w:spacing w:line="460" w:lineRule="exact"/>
        <w:ind w:right="0" w:rightChars="0" w:firstLine="600" w:firstLineChars="250"/>
        <w:outlineLvl w:val="9"/>
        <w:rPr>
          <w:rStyle w:val="6"/>
          <w:rFonts w:hint="default" w:ascii="宋体" w:hAnsi="宋体" w:eastAsia="宋体" w:cs="Times New Roman"/>
          <w:color w:val="auto"/>
          <w:sz w:val="24"/>
          <w:szCs w:val="24"/>
          <w:highlight w:val="none"/>
          <w:lang w:val="en-US" w:eastAsia="zh-CN"/>
        </w:rPr>
      </w:pPr>
      <w:r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/>
        </w:rPr>
        <w:t>第三次支付：</w:t>
      </w:r>
      <w:r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 w:eastAsia="zh-CN"/>
        </w:rPr>
        <w:t>施工招投标完成后，召开施工图纸会审会议后并出具相关设计回复后付</w:t>
      </w:r>
      <w:r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/>
        </w:rPr>
        <w:t>至</w:t>
      </w:r>
      <w:r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 w:eastAsia="zh-CN"/>
        </w:rPr>
        <w:t>合同价的70%。</w:t>
      </w:r>
    </w:p>
    <w:p w14:paraId="1AD72CCC">
      <w:pPr>
        <w:keepNext w:val="0"/>
        <w:keepLines w:val="0"/>
        <w:pageBreakBefore w:val="0"/>
        <w:wordWrap/>
        <w:overflowPunct/>
        <w:topLinePunct w:val="0"/>
        <w:bidi w:val="0"/>
        <w:spacing w:line="460" w:lineRule="exact"/>
        <w:ind w:right="0" w:rightChars="0" w:firstLine="600" w:firstLineChars="250"/>
        <w:outlineLvl w:val="9"/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 w:eastAsia="zh-CN"/>
        </w:rPr>
      </w:pPr>
      <w:r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/>
        </w:rPr>
        <w:t>第</w:t>
      </w:r>
      <w:r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 w:eastAsia="zh-CN"/>
        </w:rPr>
        <w:t>四</w:t>
      </w:r>
      <w:r>
        <w:rPr>
          <w:rStyle w:val="6"/>
          <w:rFonts w:hint="eastAsia" w:ascii="宋体" w:hAnsi="宋体" w:eastAsia="宋体" w:cs="Times New Roman"/>
          <w:color w:val="auto"/>
          <w:sz w:val="24"/>
          <w:szCs w:val="24"/>
          <w:highlight w:val="none"/>
          <w:lang w:val="en-US"/>
        </w:rPr>
        <w:t>次支付：工程竣工结算完成后15日内支付剩余设计费。</w:t>
      </w:r>
    </w:p>
    <w:p w14:paraId="740305BC">
      <w:pPr>
        <w:keepNext w:val="0"/>
        <w:keepLines w:val="0"/>
        <w:pageBreakBefore w:val="0"/>
        <w:wordWrap/>
        <w:overflowPunct/>
        <w:topLinePunct w:val="0"/>
        <w:bidi w:val="0"/>
        <w:spacing w:line="460" w:lineRule="exact"/>
        <w:ind w:right="0" w:rightChars="0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（</w:t>
      </w: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>七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）</w:t>
      </w:r>
      <w:r>
        <w:rPr>
          <w:rFonts w:hint="eastAsia" w:ascii="宋体" w:hAnsi="宋体"/>
          <w:color w:val="auto"/>
          <w:sz w:val="24"/>
          <w:szCs w:val="24"/>
          <w:highlight w:val="none"/>
        </w:rPr>
        <w:t>其他要求</w:t>
      </w:r>
    </w:p>
    <w:p w14:paraId="3BC052A2">
      <w:pPr>
        <w:pStyle w:val="5"/>
        <w:keepNext w:val="0"/>
        <w:keepLines w:val="0"/>
        <w:pageBreakBefore w:val="0"/>
        <w:wordWrap/>
        <w:overflowPunct/>
        <w:topLinePunct w:val="0"/>
        <w:bidi w:val="0"/>
        <w:spacing w:line="460" w:lineRule="exact"/>
        <w:ind w:right="0" w:rightChars="0" w:firstLine="540"/>
        <w:rPr>
          <w:rStyle w:val="6"/>
          <w:rFonts w:hint="eastAsia" w:ascii="宋体" w:hAnsi="宋体" w:eastAsia="宋体" w:cs="Times New Roman"/>
          <w:snapToGrid w:val="0"/>
          <w:color w:val="auto"/>
          <w:sz w:val="24"/>
          <w:szCs w:val="24"/>
          <w:highlight w:val="none"/>
        </w:rPr>
      </w:pPr>
      <w:r>
        <w:rPr>
          <w:rStyle w:val="6"/>
          <w:rFonts w:hint="eastAsia" w:ascii="宋体" w:hAnsi="宋体" w:eastAsia="宋体" w:cs="Times New Roman"/>
          <w:snapToGrid w:val="0"/>
          <w:color w:val="auto"/>
          <w:sz w:val="24"/>
          <w:szCs w:val="24"/>
          <w:highlight w:val="none"/>
        </w:rPr>
        <w:t>（1）设计工期要求：方案优化在领取</w:t>
      </w:r>
      <w:r>
        <w:rPr>
          <w:rStyle w:val="6"/>
          <w:rFonts w:hint="eastAsia" w:ascii="宋体" w:hAnsi="宋体" w:eastAsia="宋体" w:cs="Times New Roman"/>
          <w:snapToGrid w:val="0"/>
          <w:color w:val="auto"/>
          <w:sz w:val="24"/>
          <w:szCs w:val="24"/>
          <w:highlight w:val="none"/>
          <w:lang w:val="en-US" w:eastAsia="zh-CN"/>
        </w:rPr>
        <w:t>成交</w:t>
      </w:r>
      <w:r>
        <w:rPr>
          <w:rStyle w:val="6"/>
          <w:rFonts w:hint="eastAsia" w:ascii="宋体" w:hAnsi="宋体" w:eastAsia="宋体" w:cs="Times New Roman"/>
          <w:snapToGrid w:val="0"/>
          <w:color w:val="auto"/>
          <w:sz w:val="24"/>
          <w:szCs w:val="24"/>
          <w:highlight w:val="none"/>
        </w:rPr>
        <w:t>通知书后</w:t>
      </w:r>
      <w:r>
        <w:rPr>
          <w:rStyle w:val="6"/>
          <w:rFonts w:hint="eastAsia" w:ascii="宋体" w:hAnsi="宋体" w:eastAsia="宋体" w:cs="Times New Roman"/>
          <w:snapToGrid w:val="0"/>
          <w:color w:val="auto"/>
          <w:sz w:val="24"/>
          <w:szCs w:val="24"/>
          <w:highlight w:val="none"/>
          <w:lang w:val="en-US" w:eastAsia="zh-CN"/>
        </w:rPr>
        <w:t>1</w:t>
      </w:r>
      <w:r>
        <w:rPr>
          <w:rStyle w:val="6"/>
          <w:rFonts w:hint="eastAsia" w:ascii="宋体" w:hAnsi="宋体" w:eastAsia="宋体" w:cs="Times New Roman"/>
          <w:snapToGrid w:val="0"/>
          <w:color w:val="auto"/>
          <w:sz w:val="24"/>
          <w:szCs w:val="24"/>
          <w:highlight w:val="none"/>
        </w:rPr>
        <w:t>0日历天内提交，方案优化提交后</w:t>
      </w:r>
      <w:r>
        <w:rPr>
          <w:rStyle w:val="6"/>
          <w:rFonts w:hint="eastAsia" w:ascii="宋体" w:hAnsi="宋体" w:eastAsia="宋体" w:cs="Times New Roman"/>
          <w:snapToGrid w:val="0"/>
          <w:color w:val="auto"/>
          <w:sz w:val="24"/>
          <w:szCs w:val="24"/>
          <w:highlight w:val="none"/>
          <w:lang w:val="en-US" w:eastAsia="zh-CN"/>
        </w:rPr>
        <w:t>15</w:t>
      </w:r>
      <w:r>
        <w:rPr>
          <w:rStyle w:val="6"/>
          <w:rFonts w:hint="eastAsia" w:ascii="宋体" w:hAnsi="宋体" w:eastAsia="宋体" w:cs="Times New Roman"/>
          <w:snapToGrid w:val="0"/>
          <w:color w:val="auto"/>
          <w:sz w:val="24"/>
          <w:szCs w:val="24"/>
          <w:highlight w:val="none"/>
        </w:rPr>
        <w:t>日历天内提交施工图；总服务周期直至工程验收通过。</w:t>
      </w:r>
    </w:p>
    <w:p w14:paraId="2AD25B78">
      <w:pPr>
        <w:pStyle w:val="5"/>
        <w:keepNext w:val="0"/>
        <w:keepLines w:val="0"/>
        <w:pageBreakBefore w:val="0"/>
        <w:wordWrap/>
        <w:overflowPunct/>
        <w:topLinePunct w:val="0"/>
        <w:bidi w:val="0"/>
        <w:spacing w:line="460" w:lineRule="exact"/>
        <w:ind w:right="0" w:rightChars="0" w:firstLine="540"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</w:rPr>
        <w:t>（2）成交供应商应按时提交设计工作成果，因采购人变更方案、设计变更、图纸会审及技术交底，并按甲方要求的相应时间完成（除重大变更外，24小时内必须提交书面成果）。</w:t>
      </w:r>
    </w:p>
    <w:p w14:paraId="02F37893">
      <w:pPr>
        <w:keepNext w:val="0"/>
        <w:keepLines w:val="0"/>
        <w:pageBreakBefore w:val="0"/>
        <w:wordWrap/>
        <w:overflowPunct/>
        <w:topLinePunct w:val="0"/>
        <w:bidi w:val="0"/>
        <w:adjustRightInd w:val="0"/>
        <w:snapToGrid w:val="0"/>
        <w:spacing w:line="460" w:lineRule="exact"/>
        <w:ind w:right="0" w:rightChars="0" w:firstLine="480" w:firstLineChars="200"/>
        <w:contextualSpacing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</w:rPr>
        <w:t>（3）成交供应商应积极配合现场施工的需要，遇到重要问题，成交供应商应在接到甲方通知后24小时内委派相关人员到指定地点处理解决施工中的技术问题，并当天即时办理洽商、纪要或临时设计变更文件，并在此后48小时之内补交正式文件。否则，成交供应商应承担相应损失，每发生一次，采购人有权从设计费中直接扣除1万元作为违约金。确有需要延长处理时间的疑难问题，成交供应商需与采购人商定后及时处理。</w:t>
      </w:r>
    </w:p>
    <w:p w14:paraId="5D9C46D0">
      <w:pPr>
        <w:keepNext w:val="0"/>
        <w:keepLines w:val="0"/>
        <w:pageBreakBefore w:val="0"/>
        <w:wordWrap/>
        <w:overflowPunct/>
        <w:topLinePunct w:val="0"/>
        <w:bidi w:val="0"/>
        <w:adjustRightInd w:val="0"/>
        <w:snapToGrid w:val="0"/>
        <w:spacing w:line="460" w:lineRule="exact"/>
        <w:ind w:right="0" w:rightChars="0" w:firstLine="480" w:firstLineChars="200"/>
        <w:contextualSpacing/>
        <w:rPr>
          <w:rFonts w:hint="eastAsia" w:ascii="宋体" w:hAnsi="宋体" w:eastAsia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（</w:t>
      </w: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）响应供应商</w:t>
      </w:r>
      <w:r>
        <w:rPr>
          <w:rFonts w:hint="eastAsia" w:ascii="宋体" w:hAnsi="宋体"/>
          <w:color w:val="auto"/>
          <w:sz w:val="24"/>
          <w:szCs w:val="24"/>
          <w:highlight w:val="none"/>
        </w:rPr>
        <w:t>参加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本次采购</w:t>
      </w:r>
      <w:r>
        <w:rPr>
          <w:rFonts w:hint="eastAsia" w:ascii="宋体" w:hAnsi="宋体"/>
          <w:color w:val="auto"/>
          <w:sz w:val="24"/>
          <w:szCs w:val="24"/>
          <w:highlight w:val="none"/>
        </w:rPr>
        <w:t>时应提供符合相关法律法规对项目设计人员执业资格要求的《拟投入设计人员名单》，名单中人员必须是实际参与该项目设计工作的人员，且是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响应供应商</w:t>
      </w:r>
      <w:r>
        <w:rPr>
          <w:rFonts w:hint="eastAsia" w:ascii="宋体" w:hAnsi="宋体"/>
          <w:color w:val="auto"/>
          <w:sz w:val="24"/>
          <w:szCs w:val="24"/>
          <w:highlight w:val="none"/>
        </w:rPr>
        <w:t>为其连续缴纳 3 个月以上社保的正式员工</w:t>
      </w:r>
      <w:r>
        <w:rPr>
          <w:rFonts w:hint="eastAsia" w:ascii="宋体" w:hAnsi="宋体" w:eastAsia="宋体"/>
          <w:color w:val="auto"/>
          <w:sz w:val="24"/>
          <w:szCs w:val="24"/>
          <w:highlight w:val="none"/>
          <w:lang w:eastAsia="zh-CN"/>
        </w:rPr>
        <w:t>。</w:t>
      </w:r>
    </w:p>
    <w:p w14:paraId="43453092">
      <w:pPr>
        <w:keepNext w:val="0"/>
        <w:keepLines w:val="0"/>
        <w:pageBreakBefore w:val="0"/>
        <w:wordWrap/>
        <w:overflowPunct/>
        <w:topLinePunct w:val="0"/>
        <w:bidi w:val="0"/>
        <w:adjustRightInd w:val="0"/>
        <w:snapToGrid w:val="0"/>
        <w:spacing w:line="460" w:lineRule="exact"/>
        <w:ind w:right="0" w:rightChars="0" w:firstLine="480" w:firstLineChars="200"/>
        <w:contextualSpacing/>
        <w:rPr>
          <w:rFonts w:hint="eastAsia" w:ascii="宋体" w:hAnsi="宋体"/>
          <w:color w:val="auto"/>
          <w:sz w:val="24"/>
          <w:szCs w:val="24"/>
          <w:highlight w:val="none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>（5）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成交供应商</w:t>
      </w:r>
      <w:r>
        <w:rPr>
          <w:rFonts w:hint="eastAsia" w:ascii="宋体" w:hAnsi="宋体"/>
          <w:color w:val="auto"/>
          <w:sz w:val="24"/>
          <w:szCs w:val="24"/>
          <w:highlight w:val="none"/>
        </w:rPr>
        <w:t>在设计服务过程中的有关设计、汇报工作，均应由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响应文件中</w:t>
      </w:r>
      <w:r>
        <w:rPr>
          <w:rFonts w:hint="eastAsia" w:ascii="宋体" w:hAnsi="宋体"/>
          <w:color w:val="auto"/>
          <w:sz w:val="24"/>
          <w:szCs w:val="24"/>
          <w:highlight w:val="none"/>
        </w:rPr>
        <w:t>《拟投入设计人员名单》中人员完成。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成交供应商</w:t>
      </w:r>
      <w:r>
        <w:rPr>
          <w:rFonts w:hint="eastAsia" w:ascii="宋体" w:hAnsi="宋体"/>
          <w:color w:val="auto"/>
          <w:sz w:val="24"/>
          <w:szCs w:val="24"/>
          <w:highlight w:val="none"/>
        </w:rPr>
        <w:t>不得擅自变更名单，因设计人员离职等原因导致的名单变更的，应提交新名单中所有人员自投标之日前 3 个月至变更名单之日期间由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成交供应商</w:t>
      </w:r>
      <w:r>
        <w:rPr>
          <w:rFonts w:hint="eastAsia" w:ascii="宋体" w:hAnsi="宋体"/>
          <w:color w:val="auto"/>
          <w:sz w:val="24"/>
          <w:szCs w:val="24"/>
          <w:highlight w:val="none"/>
        </w:rPr>
        <w:t>为其连续缴纳社保的证明，且在更换之前必须得到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采购人</w:t>
      </w:r>
      <w:r>
        <w:rPr>
          <w:rFonts w:hint="eastAsia" w:ascii="宋体" w:hAnsi="宋体"/>
          <w:color w:val="auto"/>
          <w:sz w:val="24"/>
          <w:szCs w:val="24"/>
          <w:highlight w:val="none"/>
        </w:rPr>
        <w:t>同意后方可办理更换手续，按每人每次 5000 元对设计单位进行处罚，否则不得变更名单。</w:t>
      </w:r>
    </w:p>
    <w:p w14:paraId="3B0E8D52">
      <w:pPr>
        <w:keepNext w:val="0"/>
        <w:keepLines w:val="0"/>
        <w:pageBreakBefore w:val="0"/>
        <w:wordWrap/>
        <w:overflowPunct/>
        <w:topLinePunct w:val="0"/>
        <w:bidi w:val="0"/>
        <w:adjustRightInd w:val="0"/>
        <w:snapToGrid w:val="0"/>
        <w:spacing w:line="460" w:lineRule="exact"/>
        <w:ind w:right="0" w:rightChars="0" w:firstLine="480" w:firstLineChars="200"/>
        <w:contextualSpacing/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>（6）为保障该项目设计服务连续性与现场技术支撑，自签订合同起，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成交供应商应派驻不少于</w:t>
      </w: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>3名本单位正式员工驻场（提供签订合同之日前</w:t>
      </w:r>
      <w:r>
        <w:rPr>
          <w:rFonts w:hint="eastAsia" w:ascii="宋体" w:hAnsi="宋体"/>
          <w:color w:val="auto"/>
          <w:sz w:val="24"/>
          <w:szCs w:val="24"/>
          <w:highlight w:val="none"/>
        </w:rPr>
        <w:t>连续缴纳 3 个月以上社保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证明</w:t>
      </w: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>）服务，直至项目竣工验收。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若采购人查实人员未到岗</w:t>
      </w:r>
      <w:r>
        <w:rPr>
          <w:rFonts w:hint="eastAsia" w:ascii="宋体" w:hAnsi="宋体"/>
          <w:color w:val="auto"/>
          <w:sz w:val="24"/>
          <w:szCs w:val="24"/>
          <w:highlight w:val="none"/>
        </w:rPr>
        <w:t>，每查实一人次扣除设计费用的 2%；达到三人次的，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采购人</w:t>
      </w:r>
      <w:r>
        <w:rPr>
          <w:rFonts w:hint="eastAsia" w:ascii="宋体" w:hAnsi="宋体"/>
          <w:color w:val="auto"/>
          <w:sz w:val="24"/>
          <w:szCs w:val="24"/>
          <w:highlight w:val="none"/>
        </w:rPr>
        <w:t>可终止合同，向</w:t>
      </w:r>
      <w:r>
        <w:rPr>
          <w:rFonts w:hint="eastAsia" w:ascii="宋体" w:hAnsi="宋体"/>
          <w:color w:val="auto"/>
          <w:sz w:val="24"/>
          <w:szCs w:val="24"/>
          <w:highlight w:val="none"/>
          <w:lang w:eastAsia="zh-CN"/>
        </w:rPr>
        <w:t>成交供应商</w:t>
      </w:r>
      <w:r>
        <w:rPr>
          <w:rFonts w:hint="eastAsia" w:ascii="宋体" w:hAnsi="宋体"/>
          <w:color w:val="auto"/>
          <w:sz w:val="24"/>
          <w:szCs w:val="24"/>
          <w:highlight w:val="none"/>
        </w:rPr>
        <w:t>追偿由此带来的损失，并上报行业主管部门作进一步处理。</w:t>
      </w:r>
    </w:p>
    <w:p w14:paraId="3F3897F2">
      <w:pPr>
        <w:adjustRightInd w:val="0"/>
        <w:snapToGrid w:val="0"/>
        <w:spacing w:line="348" w:lineRule="auto"/>
        <w:ind w:right="84" w:rightChars="40" w:firstLine="540" w:firstLineChars="200"/>
        <w:contextualSpacing/>
        <w:rPr>
          <w:rFonts w:hint="eastAsia" w:ascii="宋体" w:hAnsi="宋体"/>
          <w:color w:val="auto"/>
          <w:sz w:val="27"/>
          <w:szCs w:val="27"/>
          <w:highlight w:val="none"/>
        </w:rPr>
      </w:pPr>
    </w:p>
    <w:p w14:paraId="3E295D67">
      <w:pPr>
        <w:adjustRightInd w:val="0"/>
        <w:snapToGrid w:val="0"/>
        <w:spacing w:line="348" w:lineRule="auto"/>
        <w:ind w:right="84" w:rightChars="40" w:firstLine="540" w:firstLineChars="200"/>
        <w:contextualSpacing/>
        <w:rPr>
          <w:rFonts w:hint="eastAsia" w:ascii="宋体" w:hAnsi="宋体"/>
          <w:color w:val="auto"/>
          <w:sz w:val="27"/>
          <w:szCs w:val="27"/>
          <w:highlight w:val="none"/>
        </w:rPr>
      </w:pPr>
    </w:p>
    <w:p w14:paraId="08A6AFE6">
      <w:pPr>
        <w:adjustRightInd w:val="0"/>
        <w:snapToGrid w:val="0"/>
        <w:spacing w:line="348" w:lineRule="auto"/>
        <w:ind w:right="84" w:rightChars="40" w:firstLine="540" w:firstLineChars="200"/>
        <w:contextualSpacing/>
        <w:rPr>
          <w:rFonts w:hint="eastAsia" w:ascii="宋体" w:hAnsi="宋体"/>
          <w:color w:val="auto"/>
          <w:sz w:val="27"/>
          <w:szCs w:val="27"/>
          <w:highlight w:val="none"/>
        </w:rPr>
      </w:pPr>
    </w:p>
    <w:p w14:paraId="3E60F31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5B8164">
    <w:pPr>
      <w:pStyle w:val="2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5" name="文本框 5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D5EDD3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J74X8zAgAAYw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PJ74X8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2D5EDD3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1B7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customStyle="1" w:styleId="5">
    <w:name w:val="首行缩进"/>
    <w:basedOn w:val="1"/>
    <w:autoRedefine/>
    <w:qFormat/>
    <w:uiPriority w:val="0"/>
    <w:pPr>
      <w:spacing w:line="360" w:lineRule="auto"/>
      <w:ind w:firstLine="420" w:firstLineChars="200"/>
    </w:pPr>
    <w:rPr>
      <w:rFonts w:ascii="Times New Roman" w:hAnsi="Times New Roman" w:eastAsia="宋体" w:cs="Times New Roman"/>
      <w:szCs w:val="20"/>
    </w:rPr>
  </w:style>
  <w:style w:type="character" w:customStyle="1" w:styleId="6">
    <w:name w:val="NormalCharacter"/>
    <w:autoRedefine/>
    <w:qFormat/>
    <w:uiPriority w:val="0"/>
    <w:rPr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2026-05-11T10:58:06Z</dcterms:created>
  <dc:creator>Administrator</dc:creator>
  <cp:lastModifiedBy>Administrator</cp:lastModifiedBy>
  <dcterms:modified xsi:type="dcterms:W3CDTF">2026-05-11T10:58:22Z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eyJoZGlkIjoiMjliMjE4YjMyNmE2Y2UxMTJhOWMxNTQ4ZjIzMTk4YjgiLCJ1c2VySWQiOiIzNzA0OTYyMTYifQ==</vt:lpwstr>
  </property>
  <property fmtid="{D5CDD505-2E9C-101B-9397-08002B2CF9AE}" pid="4" name="ICV">
    <vt:lpwstr>FAEF073DC8E642AA81B996C890F158F9_12</vt:lpwstr>
  </property>
</Properties>
</file>