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A12DB2">
      <w:pPr>
        <w:pageBreakBefore w:val="0"/>
        <w:widowControl w:val="0"/>
        <w:wordWrap/>
        <w:overflowPunct/>
        <w:topLinePunct w:val="0"/>
        <w:bidi w:val="0"/>
        <w:spacing w:before="78" w:line="219" w:lineRule="auto"/>
        <w:jc w:val="center"/>
        <w:outlineLvl w:val="3"/>
        <w:rPr>
          <w:rFonts w:hint="eastAsia" w:ascii="宋体" w:hAnsi="宋体" w:eastAsia="宋体" w:cs="宋体"/>
          <w:b/>
          <w:bCs/>
          <w:color w:val="auto"/>
          <w:spacing w:val="-6"/>
          <w:sz w:val="36"/>
          <w:szCs w:val="36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6"/>
          <w:sz w:val="36"/>
          <w:szCs w:val="36"/>
          <w:highlight w:val="none"/>
          <w:lang w:val="en-US" w:eastAsia="zh-CN"/>
        </w:rPr>
        <w:t>采购要求</w:t>
      </w:r>
    </w:p>
    <w:p w14:paraId="26F07F1E">
      <w:pPr>
        <w:pageBreakBefore w:val="0"/>
        <w:widowControl w:val="0"/>
        <w:wordWrap/>
        <w:overflowPunct/>
        <w:topLinePunct w:val="0"/>
        <w:bidi w:val="0"/>
        <w:spacing w:before="78" w:line="219" w:lineRule="auto"/>
        <w:jc w:val="center"/>
        <w:rPr>
          <w:rFonts w:ascii="宋体" w:hAnsi="宋体" w:eastAsia="宋体" w:cs="宋体"/>
          <w:b/>
          <w:bCs/>
          <w:color w:val="auto"/>
          <w:spacing w:val="-6"/>
          <w:sz w:val="36"/>
          <w:szCs w:val="36"/>
          <w:highlight w:val="none"/>
          <w:lang w:eastAsia="zh-CN"/>
        </w:rPr>
      </w:pPr>
    </w:p>
    <w:p w14:paraId="0E6E0F34"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500" w:lineRule="exact"/>
        <w:jc w:val="left"/>
        <w:rPr>
          <w:rFonts w:ascii="宋体" w:hAnsi="宋体" w:eastAsia="宋体" w:cs="宋体"/>
          <w:b/>
          <w:bCs/>
          <w:color w:val="auto"/>
          <w:spacing w:val="-6"/>
          <w:sz w:val="24"/>
          <w:szCs w:val="24"/>
          <w:highlight w:val="none"/>
          <w:lang w:eastAsia="zh-CN"/>
        </w:rPr>
      </w:pPr>
      <w:r>
        <w:rPr>
          <w:rFonts w:ascii="宋体" w:hAnsi="宋体" w:eastAsia="宋体" w:cs="宋体"/>
          <w:b/>
          <w:bCs/>
          <w:color w:val="auto"/>
          <w:spacing w:val="-6"/>
          <w:sz w:val="24"/>
          <w:szCs w:val="24"/>
          <w:highlight w:val="none"/>
          <w:lang w:eastAsia="zh-CN"/>
        </w:rPr>
        <w:t>（一）</w:t>
      </w:r>
      <w:r>
        <w:rPr>
          <w:rFonts w:hint="eastAsia" w:ascii="宋体" w:hAnsi="宋体" w:eastAsia="宋体" w:cs="宋体"/>
          <w:b/>
          <w:bCs/>
          <w:color w:val="auto"/>
          <w:spacing w:val="-6"/>
          <w:sz w:val="24"/>
          <w:szCs w:val="24"/>
          <w:highlight w:val="none"/>
          <w:lang w:val="en-US" w:eastAsia="zh-CN"/>
        </w:rPr>
        <w:t>服务</w:t>
      </w:r>
      <w:r>
        <w:rPr>
          <w:rFonts w:ascii="宋体" w:hAnsi="宋体" w:eastAsia="宋体" w:cs="宋体"/>
          <w:b/>
          <w:bCs/>
          <w:color w:val="auto"/>
          <w:spacing w:val="-6"/>
          <w:sz w:val="24"/>
          <w:szCs w:val="24"/>
          <w:highlight w:val="none"/>
          <w:lang w:eastAsia="zh-CN"/>
        </w:rPr>
        <w:t>需求</w:t>
      </w:r>
    </w:p>
    <w:p w14:paraId="6D78FCBE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highlight w:val="none"/>
        </w:rPr>
        <w:t>设计成果要求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eastAsia="zh-CN"/>
        </w:rPr>
        <w:t>：</w:t>
      </w:r>
      <w:bookmarkStart w:id="0" w:name="_GoBack"/>
      <w:bookmarkEnd w:id="0"/>
    </w:p>
    <w:p w14:paraId="13B648B8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①设计成果符合国家技术规范、标准及规程要求，方案设计应满足《建筑工程设计文件编制深度规定》，深度要求应达到《建筑工程设计文件编制深度规定》相关要求。</w:t>
      </w:r>
    </w:p>
    <w:p w14:paraId="2B9C3E98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②与周边环境相协调，并体现出和谐、环保、创新等新设计理念。</w:t>
      </w:r>
    </w:p>
    <w:p w14:paraId="4AC493D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③可采用新技术、新工艺、新材料，但必须具备结构安全性、材料耐久性、施工可实施性等。</w:t>
      </w:r>
    </w:p>
    <w:p w14:paraId="405D29E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④设计方案应均为原创，此前未以任何形式发表或实施，不属于公开作品。</w:t>
      </w:r>
    </w:p>
    <w:p w14:paraId="29E5927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 xml:space="preserve">⑤图纸：提供方案成果及施工图；其中方案成果主要包括但不限于区位与现状分析图、航拍图、道路交通规划图、节点效果图等；施工图成果应包括但不限于业主认可后的方案成果中的所有内容。 </w:t>
      </w:r>
    </w:p>
    <w:p w14:paraId="47DEC5B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⑥提交的成果应包括电子文件，其中文本为word格式，图纸为DWG格式或JPG格式，效果图为JPG格式。</w:t>
      </w:r>
    </w:p>
    <w:p w14:paraId="1B2A81EE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3、技术要求</w:t>
      </w:r>
    </w:p>
    <w:p w14:paraId="1490CF20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 xml:space="preserve">（1）编制项目初步设计时，应认真调查和研究，取得可靠的基本资料。设计应安全可靠，技术先进，密切结合实际，节约投资，注重经济效益。 </w:t>
      </w:r>
    </w:p>
    <w:p w14:paraId="6DD5724D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 xml:space="preserve">（2）梳理项目需求及建设目标，满足功能与性能需求。  </w:t>
      </w:r>
    </w:p>
    <w:p w14:paraId="4E25FF04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（3）提出合理的、可操作的设计策略，在满足功能和使用要求的基础上讲究舒适、美观。</w:t>
      </w:r>
    </w:p>
    <w:p w14:paraId="58F72EA6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（4）成交供应商承诺，在本工程设计及施工过程中，为了设计优化的需要，成交供应商应采购人要求，随时提供本工程计算数据及图形文件的电子文档</w:t>
      </w:r>
    </w:p>
    <w:p w14:paraId="32C3406F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（5）成交供应商应跟踪解决工程中因设计图纸不详而遇到的一切问题，时间从工程开工到工程竣工验收（无偿提供电子版图纸给甲方）。</w:t>
      </w:r>
    </w:p>
    <w:p w14:paraId="1B3246AD">
      <w:pPr>
        <w:keepNext w:val="0"/>
        <w:keepLines w:val="0"/>
        <w:pageBreakBefore w:val="0"/>
        <w:wordWrap/>
        <w:overflowPunct/>
        <w:topLinePunct w:val="0"/>
        <w:bidi w:val="0"/>
        <w:spacing w:line="50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napToGrid w:val="0"/>
          <w:color w:val="auto"/>
          <w:spacing w:val="0"/>
          <w:sz w:val="24"/>
          <w:szCs w:val="24"/>
          <w:highlight w:val="none"/>
          <w:u w:val="none"/>
          <w:shd w:val="clear" w:fill="FFFFFF"/>
          <w:vertAlign w:val="baseline"/>
          <w:lang w:val="en-US" w:eastAsia="zh-CN" w:bidi="ar-SA"/>
        </w:rPr>
        <w:t>（6）成交供应商应根据建设单位工程项目需要，及时无偿提供局部(工作量不超过合同的10%)设计变更，以满足工程施工顺利进行。</w:t>
      </w:r>
    </w:p>
    <w:p w14:paraId="37657620">
      <w:pPr>
        <w:rPr>
          <w:rFonts w:hint="eastAsia" w:ascii="宋体" w:hAnsi="宋体" w:eastAsia="宋体" w:cs="Times New Roman"/>
          <w:color w:val="auto"/>
          <w:sz w:val="27"/>
          <w:szCs w:val="27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color w:val="auto"/>
          <w:sz w:val="27"/>
          <w:szCs w:val="27"/>
          <w:highlight w:val="none"/>
          <w:lang w:val="en-US" w:eastAsia="zh-CN"/>
        </w:rPr>
        <w:br w:type="page"/>
      </w:r>
    </w:p>
    <w:p w14:paraId="361D1E4B">
      <w:pPr>
        <w:pageBreakBefore w:val="0"/>
        <w:widowControl w:val="0"/>
        <w:wordWrap/>
        <w:overflowPunct/>
        <w:topLinePunct w:val="0"/>
        <w:bidi w:val="0"/>
        <w:spacing w:line="242" w:lineRule="auto"/>
        <w:rPr>
          <w:color w:val="auto"/>
          <w:highlight w:val="none"/>
        </w:rPr>
      </w:pPr>
      <w:r>
        <w:rPr>
          <w:rFonts w:hint="eastAsia" w:ascii="宋体" w:hAnsi="宋体" w:eastAsia="宋体" w:cs="Times New Roman"/>
          <w:color w:val="auto"/>
          <w:sz w:val="27"/>
          <w:szCs w:val="27"/>
          <w:highlight w:val="none"/>
          <w:lang w:val="en-US" w:eastAsia="zh-CN"/>
        </w:rPr>
        <w:t>4、附件（设计范围）</w:t>
      </w:r>
    </w:p>
    <w:p w14:paraId="7A9AB99A">
      <w:pPr>
        <w:pageBreakBefore w:val="0"/>
        <w:widowControl w:val="0"/>
        <w:wordWrap/>
        <w:overflowPunct/>
        <w:topLinePunct w:val="0"/>
        <w:bidi w:val="0"/>
        <w:spacing w:line="242" w:lineRule="auto"/>
        <w:jc w:val="center"/>
        <w:rPr>
          <w:rFonts w:hint="eastAsia" w:eastAsia="宋体"/>
          <w:color w:val="auto"/>
          <w:highlight w:val="none"/>
          <w:lang w:eastAsia="zh-CN"/>
        </w:rPr>
      </w:pPr>
    </w:p>
    <w:p w14:paraId="124378B8">
      <w:pPr>
        <w:rPr>
          <w:color w:val="auto"/>
          <w:highlight w:val="none"/>
        </w:rPr>
        <w:sectPr>
          <w:footerReference r:id="rId3" w:type="default"/>
          <w:pgSz w:w="11906" w:h="16839"/>
          <w:pgMar w:top="1134" w:right="1134" w:bottom="1134" w:left="1134" w:header="0" w:footer="994" w:gutter="0"/>
          <w:pgNumType w:fmt="decimal"/>
          <w:cols w:space="720" w:num="1"/>
          <w:rtlGutter w:val="0"/>
          <w:docGrid w:linePitch="0" w:charSpace="0"/>
        </w:sectPr>
      </w:pPr>
      <w:r>
        <w:rPr>
          <w:rFonts w:hint="eastAsia" w:eastAsia="宋体"/>
          <w:color w:val="auto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137795</wp:posOffset>
            </wp:positionV>
            <wp:extent cx="6889750" cy="8592185"/>
            <wp:effectExtent l="0" t="0" r="6350" b="18415"/>
            <wp:wrapNone/>
            <wp:docPr id="2" name="图片 2" descr="8fec27a7d7ab0bdc3967c06b60ccc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ec27a7d7ab0bdc3967c06b60ccc823"/>
                    <pic:cNvPicPr/>
                  </pic:nvPicPr>
                  <pic:blipFill>
                    <a:blip r:embed="rId5"/>
                    <a:srcRect l="5327" t="6328" r="4039" b="2941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</w:rPr>
        <w:br w:type="page"/>
      </w:r>
    </w:p>
    <w:p w14:paraId="442C681B"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460" w:lineRule="exact"/>
        <w:ind w:right="0" w:rightChars="0"/>
        <w:jc w:val="left"/>
        <w:rPr>
          <w:rFonts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ascii="宋体" w:hAnsi="宋体" w:eastAsia="宋体" w:cs="宋体"/>
          <w:b/>
          <w:bCs/>
          <w:color w:val="auto"/>
          <w:spacing w:val="-6"/>
          <w:sz w:val="24"/>
          <w:szCs w:val="24"/>
          <w:highlight w:val="none"/>
          <w:lang w:eastAsia="zh-CN"/>
        </w:rPr>
        <w:t>（二）商务</w:t>
      </w:r>
      <w:r>
        <w:rPr>
          <w:rFonts w:hint="eastAsia" w:ascii="宋体" w:hAnsi="宋体" w:eastAsia="宋体" w:cs="宋体"/>
          <w:b/>
          <w:bCs/>
          <w:color w:val="auto"/>
          <w:spacing w:val="-6"/>
          <w:sz w:val="24"/>
          <w:szCs w:val="24"/>
          <w:highlight w:val="none"/>
          <w:lang w:eastAsia="zh-CN"/>
        </w:rPr>
        <w:t>条款</w:t>
      </w:r>
    </w:p>
    <w:p w14:paraId="1B84C2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（一）响应供应商所提供的服务内容必须符合国家、省市有关部门规范标准。 </w:t>
      </w:r>
    </w:p>
    <w:p w14:paraId="2607A5C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（二）所有知识产权问题，由各响应供应商自行负责。 </w:t>
      </w:r>
    </w:p>
    <w:p w14:paraId="147F01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（三）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响应供应商须提供全新、并符合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服务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质量标准的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服务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；</w:t>
      </w:r>
    </w:p>
    <w:p w14:paraId="08C2BB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（四）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本次招标所提要求是最低限度要求，响应供应商的方案应达到或优于本次招标所提要求，且符合国家有关标准和规范要求。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在实施合同过程中不能达到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文件服务要求和在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件中作出响应及承诺不能实施的，采购人将不予验收，责任及后果自负。并按提供虚假材料应标，报本级财政部门按《政府采购法》及相关法律、法规处理。</w:t>
      </w:r>
    </w:p>
    <w:p w14:paraId="2A55F6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五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最高控制价。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本项目设定最高控制价为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564300.00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 xml:space="preserve"> 元，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投标价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高于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564300.00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元的不予评审。</w:t>
      </w:r>
    </w:p>
    <w:p w14:paraId="4935A59A">
      <w:pPr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付款方法：</w:t>
      </w:r>
    </w:p>
    <w:p w14:paraId="719B4F06">
      <w:pPr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 w:firstLine="600" w:firstLineChars="250"/>
        <w:outlineLvl w:val="9"/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</w:pP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第一次支付：签订合同后出具初步设计经专家评审合格后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  <w:t>，获得县发改委批复后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15日内支付至合同价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0%。</w:t>
      </w:r>
    </w:p>
    <w:p w14:paraId="59D95B92">
      <w:pPr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 w:firstLine="600" w:firstLineChars="250"/>
        <w:outlineLvl w:val="9"/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</w:pP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第二次支付：施工图设计通过图审后15日内支付至合同价的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0%。</w:t>
      </w:r>
    </w:p>
    <w:p w14:paraId="0046B326">
      <w:pPr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 w:firstLine="600" w:firstLineChars="250"/>
        <w:outlineLvl w:val="9"/>
        <w:rPr>
          <w:rStyle w:val="6"/>
          <w:rFonts w:hint="default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第三次支付：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  <w:t>施工招投标完成后，召开施工图纸会审会议后并出具相关设计回复后付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至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  <w:t>合同价的70%。</w:t>
      </w:r>
    </w:p>
    <w:p w14:paraId="1AD72CCC">
      <w:pPr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 w:firstLine="600" w:firstLineChars="250"/>
        <w:outlineLvl w:val="9"/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第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 w:eastAsia="zh-CN"/>
        </w:rPr>
        <w:t>四</w:t>
      </w:r>
      <w:r>
        <w:rPr>
          <w:rStyle w:val="6"/>
          <w:rFonts w:hint="eastAsia" w:ascii="宋体" w:hAnsi="宋体" w:eastAsia="宋体" w:cs="Times New Roman"/>
          <w:color w:val="auto"/>
          <w:sz w:val="24"/>
          <w:szCs w:val="24"/>
          <w:highlight w:val="none"/>
          <w:lang w:val="en-US"/>
        </w:rPr>
        <w:t>次支付：工程竣工结算完成后15日内支付剩余设计费。</w:t>
      </w:r>
    </w:p>
    <w:p w14:paraId="740305BC">
      <w:pPr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/>
        <w:rPr>
          <w:rFonts w:hint="eastAsia"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七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其他要求</w:t>
      </w:r>
    </w:p>
    <w:p w14:paraId="3BC052A2">
      <w:pPr>
        <w:pStyle w:val="5"/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 w:firstLine="540"/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</w:rPr>
      </w:pP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</w:rPr>
        <w:t>（1）设计工期要求：方案优化在领取</w:t>
      </w: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  <w:lang w:val="en-US" w:eastAsia="zh-CN"/>
        </w:rPr>
        <w:t>成交</w:t>
      </w: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</w:rPr>
        <w:t>通知书后</w:t>
      </w: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</w:rPr>
        <w:t>0日历天内提交，方案优化提交后</w:t>
      </w: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  <w:lang w:val="en-US" w:eastAsia="zh-CN"/>
        </w:rPr>
        <w:t>15</w:t>
      </w:r>
      <w:r>
        <w:rPr>
          <w:rStyle w:val="6"/>
          <w:rFonts w:hint="eastAsia" w:ascii="宋体" w:hAnsi="宋体" w:eastAsia="宋体" w:cs="Times New Roman"/>
          <w:snapToGrid w:val="0"/>
          <w:color w:val="auto"/>
          <w:sz w:val="24"/>
          <w:szCs w:val="24"/>
          <w:highlight w:val="none"/>
        </w:rPr>
        <w:t>日历天内提交施工图；总服务周期直至工程验收通过。</w:t>
      </w:r>
    </w:p>
    <w:p w14:paraId="2AD25B78">
      <w:pPr>
        <w:pStyle w:val="5"/>
        <w:keepNext w:val="0"/>
        <w:keepLines w:val="0"/>
        <w:pageBreakBefore w:val="0"/>
        <w:wordWrap/>
        <w:overflowPunct/>
        <w:topLinePunct w:val="0"/>
        <w:bidi w:val="0"/>
        <w:spacing w:line="460" w:lineRule="exact"/>
        <w:ind w:right="0" w:rightChars="0" w:firstLine="540"/>
        <w:rPr>
          <w:rFonts w:hint="eastAsia"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>（2）成交供应商应按时提交设计工作成果，因采购人变更方案、设计变更、图纸会审及技术交底，并按甲方要求的相应时间完成（除重大变更外，24小时内必须提交书面成果）。</w:t>
      </w:r>
    </w:p>
    <w:p w14:paraId="02F378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460" w:lineRule="exact"/>
        <w:ind w:right="0" w:rightChars="0" w:firstLine="480" w:firstLineChars="200"/>
        <w:contextualSpacing/>
        <w:rPr>
          <w:rFonts w:hint="eastAsia"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>（3）成交供应商应积极配合现场施工的需要，遇到重要问题，成交供应商应在接到甲方通知后24小时内委派相关人员到指定地点处理解决施工中的技术问题，并当天即时办理洽商、纪要或临时设计变更文件，并在此后48小时之内补交正式文件。否则，成交供应商应承担相应损失，每发生一次，采购人有权从设计费中直接扣除1万元作为违约金。确有需要延长处理时间的疑难问题，成交供应商需与采购人商定后及时处理。</w:t>
      </w:r>
    </w:p>
    <w:p w14:paraId="5D9C46D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460" w:lineRule="exact"/>
        <w:ind w:right="0" w:rightChars="0" w:firstLine="480" w:firstLineChars="200"/>
        <w:contextualSpacing/>
        <w:rPr>
          <w:rFonts w:hint="eastAsia" w:ascii="宋体" w:hAnsi="宋体" w:eastAsia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）响应供应商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参加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本次采购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时应提供符合相关法律法规对项目设计人员执业资格要求的《拟投入设计人员名单》，名单中人员必须是实际参与该项目设计工作的人员，且是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响应供应商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为其连续缴纳 3 个月以上社保的正式员工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lang w:eastAsia="zh-CN"/>
        </w:rPr>
        <w:t>。</w:t>
      </w:r>
    </w:p>
    <w:p w14:paraId="4345309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460" w:lineRule="exact"/>
        <w:ind w:right="0" w:rightChars="0" w:firstLine="480" w:firstLineChars="200"/>
        <w:contextualSpacing/>
        <w:rPr>
          <w:rFonts w:hint="eastAsia"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（5）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成交供应商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在设计服务过程中的有关设计、汇报工作，均应由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响应文件中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《拟投入设计人员名单》中人员完成。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成交供应商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不得擅自变更名单，因设计人员离职等原因导致的名单变更的，应提交新名单中所有人员自投标之日前 3 个月至变更名单之日期间由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成交供应商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为其连续缴纳社保的证明，且在更换之前必须得到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采购人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同意后方可办理更换手续，按每人每次 5000 元对设计单位进行处罚，否则不得变更名单。</w:t>
      </w:r>
    </w:p>
    <w:p w14:paraId="3B0E8D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460" w:lineRule="exact"/>
        <w:ind w:right="0" w:rightChars="0" w:firstLine="480" w:firstLineChars="200"/>
        <w:contextualSpacing/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（6）为保障该项目设计服务连续性与现场技术支撑，自签订合同起，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成交供应商应派驻不少于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3名本单位正式员工驻场（提供签订合同之日前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连续缴纳 3 个月以上社保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证明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）服务，直至项目竣工验收。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若采购人查实人员未到岗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，每查实一人次扣除设计费用的 2%；达到三人次的，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采购人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可终止合同，向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成交供应商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追偿由此带来的损失，并上报行业主管部门作进一步处理。</w:t>
      </w:r>
    </w:p>
    <w:p w14:paraId="3F3897F2">
      <w:pPr>
        <w:adjustRightInd w:val="0"/>
        <w:snapToGrid w:val="0"/>
        <w:spacing w:line="348" w:lineRule="auto"/>
        <w:ind w:right="84" w:rightChars="40" w:firstLine="540" w:firstLineChars="200"/>
        <w:contextualSpacing/>
        <w:rPr>
          <w:rFonts w:hint="eastAsia" w:ascii="宋体" w:hAnsi="宋体"/>
          <w:color w:val="auto"/>
          <w:sz w:val="27"/>
          <w:szCs w:val="27"/>
          <w:highlight w:val="none"/>
        </w:rPr>
      </w:pPr>
    </w:p>
    <w:p w14:paraId="3E295D67">
      <w:pPr>
        <w:adjustRightInd w:val="0"/>
        <w:snapToGrid w:val="0"/>
        <w:spacing w:line="348" w:lineRule="auto"/>
        <w:ind w:right="84" w:rightChars="40" w:firstLine="540" w:firstLineChars="200"/>
        <w:contextualSpacing/>
        <w:rPr>
          <w:rFonts w:hint="eastAsia" w:ascii="宋体" w:hAnsi="宋体"/>
          <w:color w:val="auto"/>
          <w:sz w:val="27"/>
          <w:szCs w:val="27"/>
          <w:highlight w:val="none"/>
        </w:rPr>
      </w:pPr>
    </w:p>
    <w:p w14:paraId="08A6AFE6">
      <w:pPr>
        <w:adjustRightInd w:val="0"/>
        <w:snapToGrid w:val="0"/>
        <w:spacing w:line="348" w:lineRule="auto"/>
        <w:ind w:right="84" w:rightChars="40" w:firstLine="540" w:firstLineChars="200"/>
        <w:contextualSpacing/>
        <w:rPr>
          <w:rFonts w:hint="eastAsia" w:ascii="宋体" w:hAnsi="宋体"/>
          <w:color w:val="auto"/>
          <w:sz w:val="27"/>
          <w:szCs w:val="27"/>
          <w:highlight w:val="none"/>
        </w:rPr>
      </w:pPr>
    </w:p>
    <w:p w14:paraId="3E60F31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B8164">
    <w:pPr>
      <w:pStyle w:val="2"/>
      <w:rPr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D5EDD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D5EDD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B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customStyle="1" w:styleId="5">
    <w:name w:val="首行缩进"/>
    <w:basedOn w:val="1"/>
    <w:autoRedefine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6">
    <w:name w:val="NormalCharacter"/>
    <w:autoRedefine/>
    <w:qFormat/>
    <w:uiPriority w:val="0"/>
    <w:rPr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2026-05-11T10:58:06Z</dcterms:created>
  <dc:creator>Administrator</dc:creator>
  <cp:lastModifiedBy>Administrator</cp:lastModifiedBy>
  <dcterms:modified xsi:type="dcterms:W3CDTF">2026-05-11T10:58:22Z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eyJoZGlkIjoiMjliMjE4YjMyNmE2Y2UxMTJhOWMxNTQ4ZjIzMTk4YjgiLCJ1c2VySWQiOiIzNzA0OTYyMTYifQ==</vt:lpwstr>
  </property>
  <property fmtid="{D5CDD505-2E9C-101B-9397-08002B2CF9AE}" pid="4" name="ICV">
    <vt:lpwstr>FAEF073DC8E642AA81B996C890F158F9_12</vt:lpwstr>
  </property>
</Properties>
</file>