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6A9BA9">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p>
    <w:p w14:paraId="1FFA47EF">
      <w:pPr>
        <w:pageBreakBefore w:val="0"/>
        <w:widowControl w:val="0"/>
        <w:wordWrap/>
        <w:overflowPunct/>
        <w:topLinePunct w:val="0"/>
        <w:bidi w:val="0"/>
        <w:spacing w:line="257" w:lineRule="auto"/>
        <w:rPr>
          <w:color w:val="auto"/>
          <w:spacing w:val="0"/>
          <w:w w:val="100"/>
          <w:position w:val="0"/>
        </w:rPr>
      </w:pPr>
    </w:p>
    <w:p w14:paraId="742C4778">
      <w:pPr>
        <w:pageBreakBefore w:val="0"/>
        <w:widowControl w:val="0"/>
        <w:wordWrap/>
        <w:overflowPunct/>
        <w:topLinePunct w:val="0"/>
        <w:bidi w:val="0"/>
        <w:spacing w:line="258" w:lineRule="auto"/>
        <w:rPr>
          <w:color w:val="auto"/>
          <w:spacing w:val="0"/>
          <w:w w:val="100"/>
          <w:position w:val="0"/>
        </w:rPr>
      </w:pPr>
    </w:p>
    <w:p w14:paraId="47D508F4">
      <w:pPr>
        <w:pageBreakBefore w:val="0"/>
        <w:widowControl w:val="0"/>
        <w:wordWrap/>
        <w:overflowPunct/>
        <w:topLinePunct w:val="0"/>
        <w:bidi w:val="0"/>
        <w:spacing w:line="258" w:lineRule="auto"/>
        <w:rPr>
          <w:color w:val="auto"/>
          <w:spacing w:val="0"/>
          <w:w w:val="100"/>
          <w:position w:val="0"/>
        </w:rPr>
      </w:pPr>
    </w:p>
    <w:p w14:paraId="4B088307">
      <w:pPr>
        <w:pageBreakBefore w:val="0"/>
        <w:widowControl w:val="0"/>
        <w:wordWrap/>
        <w:overflowPunct/>
        <w:topLinePunct w:val="0"/>
        <w:bidi w:val="0"/>
        <w:spacing w:line="258" w:lineRule="auto"/>
        <w:rPr>
          <w:color w:val="auto"/>
          <w:spacing w:val="0"/>
          <w:w w:val="100"/>
          <w:position w:val="0"/>
        </w:rPr>
      </w:pPr>
    </w:p>
    <w:p w14:paraId="2060503C">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p w14:paraId="1A5E889D">
      <w:pPr>
        <w:pageBreakBefore w:val="0"/>
        <w:widowControl w:val="0"/>
        <w:wordWrap/>
        <w:overflowPunct/>
        <w:topLinePunct w:val="0"/>
        <w:bidi w:val="0"/>
        <w:spacing w:line="242" w:lineRule="auto"/>
        <w:rPr>
          <w:color w:val="auto"/>
          <w:spacing w:val="0"/>
          <w:w w:val="100"/>
          <w:position w:val="0"/>
        </w:rPr>
      </w:pPr>
    </w:p>
    <w:p w14:paraId="0F56EDF0">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医用液氧技术指标如下</w:t>
      </w:r>
      <w:r>
        <w:rPr>
          <w:rFonts w:hint="eastAsia" w:ascii="宋体" w:hAnsi="宋体" w:eastAsia="宋体" w:cs="宋体"/>
          <w:color w:val="auto"/>
          <w:spacing w:val="-5"/>
          <w:sz w:val="24"/>
          <w:szCs w:val="24"/>
          <w:highlight w:val="none"/>
          <w:lang w:eastAsia="zh-CN"/>
        </w:rPr>
        <w:t>：</w:t>
      </w:r>
    </w:p>
    <w:p w14:paraId="36BD34B2">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1、【性 状】在标准大气压下，氧在90.188K(-182.96℃)时是易流动的淡蓝色液体。液氧汽化后应为无色气体，无臭、无味、有强助燃力。</w:t>
      </w:r>
    </w:p>
    <w:p w14:paraId="357B3C39">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2、【鉴别】本品能使炽红的木条突然发火燃烧。</w:t>
      </w:r>
    </w:p>
    <w:p w14:paraId="311C6C06">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3、【检 查】酸碱度、一氧化碳、二氧化碳及其他气态氧化物:符合规定</w:t>
      </w:r>
      <w:r>
        <w:rPr>
          <w:rFonts w:hint="eastAsia" w:ascii="宋体" w:hAnsi="宋体" w:eastAsia="宋体" w:cs="宋体"/>
          <w:color w:val="auto"/>
          <w:spacing w:val="-5"/>
          <w:sz w:val="24"/>
          <w:szCs w:val="24"/>
          <w:highlight w:val="none"/>
          <w:lang w:eastAsia="zh-CN"/>
        </w:rPr>
        <w:t>。</w:t>
      </w:r>
    </w:p>
    <w:p w14:paraId="55E29294">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4</w:t>
      </w:r>
      <w:r>
        <w:rPr>
          <w:rFonts w:hint="eastAsia" w:ascii="宋体" w:hAnsi="宋体" w:eastAsia="宋体" w:cs="宋体"/>
          <w:color w:val="auto"/>
          <w:spacing w:val="-5"/>
          <w:sz w:val="24"/>
          <w:szCs w:val="24"/>
          <w:highlight w:val="none"/>
        </w:rPr>
        <w:t>、【含量测定】:本品含氧不得少于99.5%(ml/ml)</w:t>
      </w:r>
    </w:p>
    <w:p w14:paraId="25BD1953">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val="en-US" w:eastAsia="zh-CN"/>
        </w:rPr>
        <w:t>5</w:t>
      </w:r>
      <w:r>
        <w:rPr>
          <w:rFonts w:hint="eastAsia" w:ascii="宋体" w:hAnsi="宋体" w:eastAsia="宋体" w:cs="宋体"/>
          <w:color w:val="auto"/>
          <w:spacing w:val="-5"/>
          <w:sz w:val="24"/>
          <w:szCs w:val="24"/>
          <w:highlight w:val="none"/>
        </w:rPr>
        <w:t>、【质量要求】:符合《中华人民共和国药典》202</w:t>
      </w:r>
      <w:r>
        <w:rPr>
          <w:rFonts w:hint="eastAsia" w:ascii="宋体" w:hAnsi="宋体" w:eastAsia="宋体" w:cs="宋体"/>
          <w:color w:val="auto"/>
          <w:spacing w:val="-5"/>
          <w:sz w:val="24"/>
          <w:szCs w:val="24"/>
          <w:highlight w:val="none"/>
          <w:lang w:val="en-US" w:eastAsia="zh-CN"/>
        </w:rPr>
        <w:t>5</w:t>
      </w:r>
      <w:r>
        <w:rPr>
          <w:rFonts w:hint="eastAsia" w:ascii="宋体" w:hAnsi="宋体" w:eastAsia="宋体" w:cs="宋体"/>
          <w:color w:val="auto"/>
          <w:spacing w:val="-5"/>
          <w:sz w:val="24"/>
          <w:szCs w:val="24"/>
          <w:highlight w:val="none"/>
        </w:rPr>
        <w:t>年版（说明：在本项目供货期内，如有最新标准需按最新标准执行）</w:t>
      </w:r>
    </w:p>
    <w:p w14:paraId="7EA54174">
      <w:pPr>
        <w:pageBreakBefore w:val="0"/>
        <w:widowControl w:val="0"/>
        <w:wordWrap/>
        <w:overflowPunct/>
        <w:topLinePunct w:val="0"/>
        <w:bidi w:val="0"/>
        <w:spacing w:line="245" w:lineRule="auto"/>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5"/>
          <w:sz w:val="24"/>
          <w:szCs w:val="24"/>
          <w:highlight w:val="none"/>
          <w:lang w:eastAsia="zh-CN"/>
        </w:rPr>
        <w:t>计划采购数量：</w:t>
      </w:r>
      <w:r>
        <w:rPr>
          <w:rFonts w:hint="eastAsia" w:ascii="宋体" w:hAnsi="宋体" w:eastAsia="宋体" w:cs="宋体"/>
          <w:color w:val="auto"/>
          <w:spacing w:val="-5"/>
          <w:sz w:val="24"/>
          <w:szCs w:val="24"/>
          <w:highlight w:val="yellow"/>
          <w:lang w:val="en-US" w:eastAsia="zh-CN"/>
        </w:rPr>
        <w:t>每年约1100吨，2年总计约</w:t>
      </w:r>
      <w:r>
        <w:rPr>
          <w:rFonts w:hint="default" w:ascii="宋体" w:hAnsi="宋体" w:eastAsia="宋体" w:cs="宋体"/>
          <w:color w:val="auto"/>
          <w:spacing w:val="-5"/>
          <w:sz w:val="24"/>
          <w:szCs w:val="24"/>
          <w:highlight w:val="yellow"/>
          <w:lang w:eastAsia="zh-CN"/>
        </w:rPr>
        <w:t>22</w:t>
      </w:r>
      <w:r>
        <w:rPr>
          <w:rFonts w:hint="eastAsia" w:ascii="宋体" w:hAnsi="宋体" w:eastAsia="宋体" w:cs="宋体"/>
          <w:color w:val="auto"/>
          <w:spacing w:val="-5"/>
          <w:sz w:val="24"/>
          <w:szCs w:val="24"/>
          <w:highlight w:val="yellow"/>
          <w:lang w:val="en-US" w:eastAsia="zh-CN"/>
        </w:rPr>
        <w:t>00吨，预算金额每吨为：1400元，最高限价</w:t>
      </w:r>
      <w:r>
        <w:rPr>
          <w:rFonts w:hint="eastAsia" w:ascii="宋体" w:hAnsi="宋体" w:eastAsia="宋体" w:cs="宋体"/>
          <w:color w:val="auto"/>
          <w:spacing w:val="-5"/>
          <w:sz w:val="24"/>
          <w:szCs w:val="24"/>
          <w:highlight w:val="yellow"/>
          <w:lang w:eastAsia="zh-CN"/>
        </w:rPr>
        <w:t>金额约：</w:t>
      </w:r>
      <w:r>
        <w:rPr>
          <w:rFonts w:hint="eastAsia" w:ascii="宋体" w:hAnsi="宋体" w:eastAsia="宋体" w:cs="宋体"/>
          <w:color w:val="auto"/>
          <w:spacing w:val="-5"/>
          <w:sz w:val="24"/>
          <w:szCs w:val="24"/>
          <w:highlight w:val="yellow"/>
          <w:lang w:val="en-US" w:eastAsia="zh-CN"/>
        </w:rPr>
        <w:t>3080000元。</w:t>
      </w:r>
    </w:p>
    <w:p w14:paraId="7A2566C4">
      <w:pPr>
        <w:pageBreakBefore w:val="0"/>
        <w:widowControl w:val="0"/>
        <w:wordWrap/>
        <w:overflowPunct/>
        <w:topLinePunct w:val="0"/>
        <w:bidi w:val="0"/>
        <w:spacing w:line="245" w:lineRule="auto"/>
        <w:rPr>
          <w:rFonts w:hint="eastAsia" w:ascii="宋体" w:hAnsi="宋体" w:eastAsia="宋体" w:cs="宋体"/>
          <w:color w:val="auto"/>
          <w:spacing w:val="0"/>
          <w:w w:val="100"/>
          <w:position w:val="0"/>
          <w:sz w:val="24"/>
          <w:szCs w:val="24"/>
          <w:highlight w:val="none"/>
          <w:lang w:eastAsia="zh-CN"/>
        </w:rPr>
      </w:pPr>
    </w:p>
    <w:p w14:paraId="04597545">
      <w:pPr>
        <w:pageBreakBefore w:val="0"/>
        <w:widowControl w:val="0"/>
        <w:wordWrap/>
        <w:overflowPunct/>
        <w:topLinePunct w:val="0"/>
        <w:bidi w:val="0"/>
        <w:spacing w:before="78" w:line="219"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（二） 商务条件</w:t>
      </w:r>
    </w:p>
    <w:p w14:paraId="17D1A442">
      <w:pPr>
        <w:pageBreakBefore w:val="0"/>
        <w:widowControl w:val="0"/>
        <w:wordWrap/>
        <w:overflowPunct/>
        <w:topLinePunct w:val="0"/>
        <w:bidi w:val="0"/>
        <w:spacing w:line="249" w:lineRule="auto"/>
        <w:rPr>
          <w:rFonts w:hint="eastAsia" w:ascii="宋体" w:hAnsi="宋体" w:eastAsia="宋体" w:cs="宋体"/>
          <w:color w:val="auto"/>
          <w:spacing w:val="0"/>
          <w:w w:val="100"/>
          <w:position w:val="0"/>
          <w:sz w:val="24"/>
          <w:szCs w:val="24"/>
          <w:highlight w:val="none"/>
          <w:lang w:eastAsia="zh-CN"/>
        </w:rPr>
      </w:pPr>
    </w:p>
    <w:p w14:paraId="6E8AF433">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default" w:ascii="宋体" w:hAnsi="宋体" w:eastAsia="宋体" w:cs="宋体"/>
          <w:b w:val="0"/>
          <w:bCs w:val="0"/>
          <w:color w:val="auto"/>
          <w:spacing w:val="-5"/>
          <w:sz w:val="24"/>
          <w:szCs w:val="24"/>
          <w:highlight w:val="none"/>
          <w:lang w:val="en-US" w:eastAsia="zh-CN"/>
        </w:rPr>
      </w:pPr>
      <w:r>
        <w:rPr>
          <w:rFonts w:hint="eastAsia" w:ascii="宋体" w:hAnsi="宋体" w:eastAsia="宋体" w:cs="宋体"/>
          <w:b w:val="0"/>
          <w:bCs w:val="0"/>
          <w:color w:val="auto"/>
          <w:spacing w:val="-5"/>
          <w:sz w:val="24"/>
          <w:szCs w:val="24"/>
          <w:highlight w:val="none"/>
          <w:lang w:eastAsia="zh-CN"/>
        </w:rPr>
        <w:t>1、履约能力:为了确保医用氧的及时供应，必须</w:t>
      </w:r>
      <w:r>
        <w:rPr>
          <w:rFonts w:hint="eastAsia" w:ascii="宋体" w:hAnsi="宋体" w:eastAsia="宋体" w:cs="宋体"/>
          <w:b w:val="0"/>
          <w:bCs w:val="0"/>
          <w:color w:val="auto"/>
          <w:spacing w:val="-5"/>
          <w:sz w:val="24"/>
          <w:szCs w:val="24"/>
          <w:highlight w:val="none"/>
          <w:lang w:val="en-US" w:eastAsia="zh-CN"/>
        </w:rPr>
        <w:t>具备</w:t>
      </w:r>
      <w:r>
        <w:rPr>
          <w:rFonts w:hint="eastAsia" w:ascii="宋体" w:hAnsi="宋体" w:eastAsia="宋体" w:cs="宋体"/>
          <w:b w:val="0"/>
          <w:bCs w:val="0"/>
          <w:color w:val="auto"/>
          <w:spacing w:val="-5"/>
          <w:sz w:val="24"/>
          <w:szCs w:val="24"/>
          <w:highlight w:val="none"/>
          <w:lang w:eastAsia="zh-CN"/>
        </w:rPr>
        <w:t>医用液氧专用运输槽车</w:t>
      </w:r>
      <w:r>
        <w:rPr>
          <w:rFonts w:hint="eastAsia" w:ascii="宋体" w:hAnsi="宋体" w:eastAsia="宋体" w:cs="宋体"/>
          <w:b w:val="0"/>
          <w:bCs w:val="0"/>
          <w:color w:val="auto"/>
          <w:spacing w:val="-5"/>
          <w:sz w:val="24"/>
          <w:szCs w:val="24"/>
          <w:highlight w:val="none"/>
          <w:lang w:val="en-US" w:eastAsia="zh-CN"/>
        </w:rPr>
        <w:t>。</w:t>
      </w:r>
    </w:p>
    <w:p w14:paraId="6A12FB10">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eastAsia="zh-CN"/>
        </w:rPr>
        <w:t>2、售后服务:</w:t>
      </w:r>
    </w:p>
    <w:p w14:paraId="276B7F0B">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eastAsia="zh-CN"/>
        </w:rPr>
        <w:t>2.1自项目实施完成后之日起质保期壹年，并提供免费的维护、技术支持服务。在售后服务期结束后，如出现涉及到投标人提供的产品和服务的问题，仍需配合采购人做相应的服务工作。</w:t>
      </w:r>
    </w:p>
    <w:p w14:paraId="66DBF277">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eastAsia="zh-CN"/>
        </w:rPr>
        <w:t>2.2响应时间:必须有相应的液氧站维修服务人员配备，以处理所有的维修服务，需提供24小时服务，而且维修人员需要接到维修电话后6小时内赶到现场，提供不间断的服务直到结束。</w:t>
      </w:r>
    </w:p>
    <w:p w14:paraId="4E826D49">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eastAsia="zh-CN"/>
        </w:rPr>
        <w:t>3、付款方式:根据实际供货量乘以单价进行支付,每批供货完毕验收合格30日内支付该批次合同款。</w:t>
      </w:r>
    </w:p>
    <w:p w14:paraId="7AA6845A">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eastAsia="zh-CN"/>
        </w:rPr>
        <w:t>4、合同期限:本项目为1+1模式，</w:t>
      </w:r>
      <w:r>
        <w:rPr>
          <w:rFonts w:hint="eastAsia" w:ascii="宋体" w:hAnsi="宋体" w:eastAsia="宋体" w:cs="宋体"/>
          <w:b w:val="0"/>
          <w:bCs w:val="0"/>
          <w:color w:val="auto"/>
          <w:spacing w:val="-5"/>
          <w:sz w:val="24"/>
          <w:szCs w:val="24"/>
          <w:highlight w:val="none"/>
          <w:lang w:val="en-US" w:eastAsia="zh-CN"/>
        </w:rPr>
        <w:t>试用期三个月，经院方考核不合格，院方有权终止合同。</w:t>
      </w:r>
      <w:r>
        <w:rPr>
          <w:rFonts w:hint="eastAsia" w:ascii="宋体" w:hAnsi="宋体" w:eastAsia="宋体" w:cs="宋体"/>
          <w:b w:val="0"/>
          <w:bCs w:val="0"/>
          <w:color w:val="auto"/>
          <w:spacing w:val="-5"/>
          <w:sz w:val="24"/>
          <w:szCs w:val="24"/>
          <w:highlight w:val="none"/>
          <w:lang w:eastAsia="zh-CN"/>
        </w:rPr>
        <w:t>合同生效后1年内按采购人要求分批配送，每批货物接采购人通知后，按采购人要求在</w:t>
      </w:r>
      <w:r>
        <w:rPr>
          <w:rFonts w:hint="eastAsia" w:ascii="宋体" w:hAnsi="宋体" w:eastAsia="宋体" w:cs="宋体"/>
          <w:b w:val="0"/>
          <w:bCs w:val="0"/>
          <w:color w:val="auto"/>
          <w:spacing w:val="-5"/>
          <w:sz w:val="24"/>
          <w:szCs w:val="24"/>
          <w:highlight w:val="none"/>
          <w:lang w:val="en-US" w:eastAsia="zh-CN"/>
        </w:rPr>
        <w:t>24小时内</w:t>
      </w:r>
      <w:r>
        <w:rPr>
          <w:rFonts w:hint="eastAsia" w:ascii="宋体" w:hAnsi="宋体" w:eastAsia="宋体" w:cs="宋体"/>
          <w:b w:val="0"/>
          <w:bCs w:val="0"/>
          <w:color w:val="auto"/>
          <w:spacing w:val="-5"/>
          <w:sz w:val="24"/>
          <w:szCs w:val="24"/>
          <w:highlight w:val="none"/>
          <w:lang w:eastAsia="zh-CN"/>
        </w:rPr>
        <w:t>完成配送。1年期满，经考核合格后，在年度预算能保障的前提下，合同甲乙双方无异议，可续签后1年合同，最多续签一次，中标综合单价不变。</w:t>
      </w:r>
    </w:p>
    <w:p w14:paraId="7EA20BFB">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eastAsia="zh-CN"/>
        </w:rPr>
        <w:t>5、验收方式:由招标人组织现场验收。</w:t>
      </w:r>
    </w:p>
    <w:p w14:paraId="021462F7">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val="en-US" w:eastAsia="zh-CN"/>
        </w:rPr>
        <w:t>6、</w:t>
      </w:r>
      <w:r>
        <w:rPr>
          <w:rFonts w:hint="eastAsia" w:ascii="宋体" w:hAnsi="宋体" w:eastAsia="宋体" w:cs="宋体"/>
          <w:b w:val="0"/>
          <w:bCs w:val="0"/>
          <w:color w:val="auto"/>
          <w:spacing w:val="-5"/>
          <w:sz w:val="24"/>
          <w:szCs w:val="24"/>
          <w:highlight w:val="none"/>
          <w:lang w:eastAsia="zh-CN"/>
        </w:rPr>
        <w:t>交货期:产品质量必须符合国家有关规范要求。分批次供货，接到院方订货通知，必须24小时内送到院方指定位置(</w:t>
      </w:r>
      <w:r>
        <w:rPr>
          <w:rFonts w:hint="eastAsia" w:ascii="宋体" w:hAnsi="宋体" w:eastAsia="宋体" w:cs="宋体"/>
          <w:b w:val="0"/>
          <w:bCs w:val="0"/>
          <w:color w:val="auto"/>
          <w:spacing w:val="-5"/>
          <w:sz w:val="24"/>
          <w:szCs w:val="24"/>
          <w:highlight w:val="none"/>
          <w:lang w:val="en-US" w:eastAsia="zh-CN"/>
        </w:rPr>
        <w:t>液</w:t>
      </w:r>
      <w:r>
        <w:rPr>
          <w:rFonts w:hint="eastAsia" w:ascii="宋体" w:hAnsi="宋体" w:eastAsia="宋体" w:cs="宋体"/>
          <w:b w:val="0"/>
          <w:bCs w:val="0"/>
          <w:color w:val="auto"/>
          <w:spacing w:val="-5"/>
          <w:sz w:val="24"/>
          <w:szCs w:val="24"/>
          <w:highlight w:val="none"/>
          <w:lang w:eastAsia="zh-CN"/>
        </w:rPr>
        <w:t>氧站)进行充装。</w:t>
      </w:r>
      <w:r>
        <w:rPr>
          <w:rFonts w:ascii="宋体" w:hAnsi="宋体" w:eastAsia="宋体" w:cs="宋体"/>
          <w:color w:val="auto"/>
          <w:sz w:val="24"/>
          <w:szCs w:val="24"/>
          <w:highlight w:val="none"/>
        </w:rPr>
        <w:t>每批次产品出厂时必须附有</w:t>
      </w:r>
      <w:r>
        <w:rPr>
          <w:rStyle w:val="6"/>
          <w:rFonts w:ascii="宋体" w:hAnsi="宋体" w:eastAsia="宋体" w:cs="宋体"/>
          <w:color w:val="auto"/>
          <w:sz w:val="24"/>
          <w:szCs w:val="24"/>
          <w:highlight w:val="none"/>
        </w:rPr>
        <w:t>出厂检验报告和产品合格证</w:t>
      </w:r>
      <w:r>
        <w:rPr>
          <w:rFonts w:ascii="宋体" w:hAnsi="宋体" w:eastAsia="宋体" w:cs="宋体"/>
          <w:color w:val="auto"/>
          <w:sz w:val="24"/>
          <w:szCs w:val="24"/>
          <w:highlight w:val="none"/>
        </w:rPr>
        <w:t>，合格证应注明：品名、生产企业、药品生产许可证号、药品批准文号、生产批号、生产日期、有效期、执行标准等信息。如为分装产品，还需注明所购进液态氧的来源信息（生产企业、批准文号、生产批号等）</w:t>
      </w:r>
      <w:r>
        <w:rPr>
          <w:rFonts w:hint="eastAsia" w:ascii="宋体" w:hAnsi="宋体" w:eastAsia="宋体" w:cs="宋体"/>
          <w:b w:val="0"/>
          <w:bCs w:val="0"/>
          <w:color w:val="auto"/>
          <w:spacing w:val="-5"/>
          <w:sz w:val="24"/>
          <w:szCs w:val="24"/>
          <w:highlight w:val="none"/>
          <w:lang w:eastAsia="zh-CN"/>
        </w:rPr>
        <w:t>。并提供明确的交货清单。</w:t>
      </w:r>
    </w:p>
    <w:p w14:paraId="4C46EC78">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val="en-US" w:eastAsia="zh-CN"/>
        </w:rPr>
        <w:t>7、</w:t>
      </w:r>
      <w:r>
        <w:rPr>
          <w:rFonts w:hint="eastAsia" w:ascii="宋体" w:hAnsi="宋体" w:eastAsia="宋体" w:cs="宋体"/>
          <w:b w:val="0"/>
          <w:bCs w:val="0"/>
          <w:color w:val="auto"/>
          <w:spacing w:val="-5"/>
          <w:sz w:val="24"/>
          <w:szCs w:val="24"/>
          <w:highlight w:val="none"/>
          <w:lang w:eastAsia="zh-CN"/>
        </w:rPr>
        <w:t>培训要求：中标人按招标人批准的培训计划及培训要求负</w:t>
      </w:r>
      <w:r>
        <w:rPr>
          <w:rFonts w:hint="eastAsia" w:ascii="宋体" w:hAnsi="宋体" w:eastAsia="宋体" w:cs="宋体"/>
          <w:b w:val="0"/>
          <w:bCs w:val="0"/>
          <w:color w:val="auto"/>
          <w:spacing w:val="-5"/>
          <w:sz w:val="24"/>
          <w:szCs w:val="24"/>
          <w:highlight w:val="none"/>
          <w:lang w:val="en-US" w:eastAsia="zh-CN"/>
        </w:rPr>
        <w:t>责</w:t>
      </w:r>
      <w:r>
        <w:rPr>
          <w:rFonts w:hint="eastAsia" w:ascii="宋体" w:hAnsi="宋体" w:eastAsia="宋体" w:cs="宋体"/>
          <w:b w:val="0"/>
          <w:bCs w:val="0"/>
          <w:color w:val="auto"/>
          <w:spacing w:val="-5"/>
          <w:sz w:val="24"/>
          <w:szCs w:val="24"/>
          <w:highlight w:val="none"/>
          <w:lang w:eastAsia="zh-CN"/>
        </w:rPr>
        <w:t>对院方的工作人员进行操作使用和维护等方面的培训。</w:t>
      </w:r>
    </w:p>
    <w:p w14:paraId="2B3BDD83">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val="en-US" w:eastAsia="zh-CN"/>
        </w:rPr>
        <w:t>8、</w:t>
      </w:r>
      <w:r>
        <w:rPr>
          <w:rFonts w:hint="eastAsia" w:ascii="宋体" w:hAnsi="宋体" w:eastAsia="宋体" w:cs="宋体"/>
          <w:b w:val="0"/>
          <w:bCs w:val="0"/>
          <w:color w:val="auto"/>
          <w:spacing w:val="-5"/>
          <w:sz w:val="24"/>
          <w:szCs w:val="24"/>
          <w:highlight w:val="none"/>
          <w:lang w:eastAsia="zh-CN"/>
        </w:rPr>
        <w:t>负责产品售后服务。若因供应商提供产品的质量问题所产生的事故或医疗纠纷等责任由供应商承担。</w:t>
      </w:r>
    </w:p>
    <w:p w14:paraId="726FC0BF">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val="en-US" w:eastAsia="zh-CN"/>
        </w:rPr>
        <w:t>9、</w:t>
      </w:r>
      <w:r>
        <w:rPr>
          <w:rFonts w:hint="eastAsia" w:ascii="宋体" w:hAnsi="宋体" w:eastAsia="宋体" w:cs="宋体"/>
          <w:b w:val="0"/>
          <w:bCs w:val="0"/>
          <w:color w:val="auto"/>
          <w:spacing w:val="-5"/>
          <w:sz w:val="24"/>
          <w:szCs w:val="24"/>
          <w:highlight w:val="none"/>
          <w:lang w:eastAsia="zh-CN"/>
        </w:rPr>
        <w:t>本项目所涉及的产品、运输、调试、税费、保险、劳务、验收、维护、售后及合同实施过程中不可预见费用等一切相关费用由供应商全部承担。</w:t>
      </w:r>
    </w:p>
    <w:p w14:paraId="1E9A7D0E">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val="en-US" w:eastAsia="zh-CN"/>
        </w:rPr>
        <w:t>10、</w:t>
      </w:r>
      <w:r>
        <w:rPr>
          <w:rFonts w:hint="eastAsia" w:ascii="宋体" w:hAnsi="宋体" w:eastAsia="宋体" w:cs="宋体"/>
          <w:b w:val="0"/>
          <w:bCs w:val="0"/>
          <w:color w:val="auto"/>
          <w:spacing w:val="-5"/>
          <w:sz w:val="24"/>
          <w:szCs w:val="24"/>
          <w:highlight w:val="none"/>
          <w:lang w:eastAsia="zh-CN"/>
        </w:rPr>
        <w:t>本项目所涉及的运输、人员、交通、调试、验收、维护、售后等一切相关的所有安全和意外事故由供应商全部负责，采购人不承担任何责任。</w:t>
      </w:r>
    </w:p>
    <w:p w14:paraId="53CF0519">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eastAsia" w:ascii="宋体" w:hAnsi="宋体" w:eastAsia="宋体" w:cs="宋体"/>
          <w:b w:val="0"/>
          <w:bCs w:val="0"/>
          <w:color w:val="auto"/>
          <w:spacing w:val="-5"/>
          <w:sz w:val="24"/>
          <w:szCs w:val="24"/>
          <w:highlight w:val="none"/>
          <w:lang w:eastAsia="zh-CN"/>
        </w:rPr>
      </w:pPr>
      <w:r>
        <w:rPr>
          <w:rFonts w:hint="eastAsia" w:ascii="宋体" w:hAnsi="宋体" w:eastAsia="宋体" w:cs="宋体"/>
          <w:b w:val="0"/>
          <w:bCs w:val="0"/>
          <w:color w:val="auto"/>
          <w:spacing w:val="-5"/>
          <w:sz w:val="24"/>
          <w:szCs w:val="24"/>
          <w:highlight w:val="none"/>
          <w:lang w:val="en-US" w:eastAsia="zh-CN"/>
        </w:rPr>
        <w:t>8、</w:t>
      </w:r>
      <w:r>
        <w:rPr>
          <w:rFonts w:hint="eastAsia" w:ascii="宋体" w:hAnsi="宋体" w:eastAsia="宋体" w:cs="宋体"/>
          <w:b w:val="0"/>
          <w:bCs w:val="0"/>
          <w:color w:val="auto"/>
          <w:spacing w:val="-5"/>
          <w:sz w:val="24"/>
          <w:szCs w:val="24"/>
          <w:highlight w:val="none"/>
          <w:lang w:eastAsia="zh-CN"/>
        </w:rPr>
        <w:t>供应商不得转让他人供应，如有转让和未经甲方同意的分包行为，甲方有权单方面终止合同。</w:t>
      </w:r>
    </w:p>
    <w:p w14:paraId="1E13D519">
      <w:pPr>
        <w:keepNext w:val="0"/>
        <w:keepLines w:val="0"/>
        <w:pageBreakBefore w:val="0"/>
        <w:widowControl w:val="0"/>
        <w:kinsoku/>
        <w:wordWrap/>
        <w:overflowPunct/>
        <w:topLinePunct w:val="0"/>
        <w:autoSpaceDE w:val="0"/>
        <w:autoSpaceDN w:val="0"/>
        <w:bidi w:val="0"/>
        <w:adjustRightInd w:val="0"/>
        <w:snapToGrid w:val="0"/>
        <w:spacing w:before="78" w:line="520" w:lineRule="exact"/>
        <w:textAlignment w:val="baseline"/>
        <w:rPr>
          <w:rFonts w:hint="default"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val="en-US" w:eastAsia="zh-CN"/>
        </w:rPr>
        <w:t>9、</w:t>
      </w:r>
      <w:r>
        <w:rPr>
          <w:rFonts w:hint="eastAsia" w:ascii="宋体" w:hAnsi="宋体" w:eastAsia="宋体" w:cs="宋体"/>
          <w:b/>
          <w:bCs/>
          <w:color w:val="auto"/>
          <w:spacing w:val="-5"/>
          <w:sz w:val="24"/>
          <w:szCs w:val="24"/>
          <w:highlight w:val="none"/>
          <w:lang w:eastAsia="zh-CN"/>
        </w:rPr>
        <w:t>报价方式：以人民币报价，</w:t>
      </w:r>
      <w:r>
        <w:rPr>
          <w:rFonts w:hint="eastAsia" w:ascii="宋体" w:hAnsi="宋体" w:eastAsia="宋体" w:cs="宋体"/>
          <w:b/>
          <w:bCs/>
          <w:color w:val="auto"/>
          <w:spacing w:val="-5"/>
          <w:sz w:val="24"/>
          <w:szCs w:val="24"/>
          <w:highlight w:val="none"/>
          <w:lang w:val="en-US" w:eastAsia="zh-CN"/>
        </w:rPr>
        <w:t>供应商需在报价表中体现每吨金额单价，预算每吨金额：1400元，超过预算单价做无效标处理。</w:t>
      </w:r>
    </w:p>
    <w:p w14:paraId="5DC8E471">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E018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next w:val="1"/>
    <w:semiHidden/>
    <w:unhideWhenUsed/>
    <w:qFormat/>
    <w:uiPriority w:val="99"/>
    <w:pPr>
      <w:ind w:firstLine="420" w:firstLineChars="200"/>
    </w:pPr>
    <w:rPr>
      <w:rFonts w:ascii="Times New Roman" w:hAnsi="Times New Roman" w:eastAsia="宋体" w:cs="Times New Roman"/>
    </w:rPr>
  </w:style>
  <w:style w:type="paragraph" w:styleId="3">
    <w:name w:val="footer"/>
    <w:basedOn w:val="1"/>
    <w:qFormat/>
    <w:uiPriority w:val="0"/>
    <w:pPr>
      <w:tabs>
        <w:tab w:val="center" w:pos="4153"/>
        <w:tab w:val="right" w:pos="8306"/>
      </w:tabs>
    </w:pPr>
    <w:rPr>
      <w:sz w:val="18"/>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2026-05-11T10:07:24Z</dcterms:created>
  <dc:creator>DELL</dc:creator>
  <cp:lastModifiedBy>DELL</cp:lastModifiedBy>
  <dcterms:modified xsi:type="dcterms:W3CDTF">2026-05-11T10:07:30Z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eyJoZGlkIjoiMGQxOTRjMDA1ZGE5NjhlYWExM2IyMzFiNjcxMDE5MGYiLCJ1c2VySWQiOiIxMDQyNTk2MTU2In0=</vt:lpwstr>
  </property>
  <property fmtid="{D5CDD505-2E9C-101B-9397-08002B2CF9AE}" pid="4" name="ICV">
    <vt:lpwstr>66BCF47EB9DA4CF1B5B248081471175A_12</vt:lpwstr>
  </property>
</Properties>
</file>