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C6DF95">
      <w:pPr>
        <w:pageBreakBefore w:val="0"/>
        <w:widowControl w:val="0"/>
        <w:wordWrap/>
        <w:overflowPunct/>
        <w:topLinePunct w:val="0"/>
        <w:bidi w:val="0"/>
        <w:spacing w:before="47" w:line="219" w:lineRule="auto"/>
        <w:jc w:val="center"/>
        <w:outlineLvl w:val="1"/>
        <w:rPr>
          <w:rFonts w:ascii="宋体" w:hAnsi="宋体" w:eastAsia="宋体" w:cs="宋体"/>
          <w:color w:val="auto"/>
          <w:spacing w:val="0"/>
          <w:position w:val="0"/>
          <w:sz w:val="24"/>
          <w:szCs w:val="24"/>
        </w:rPr>
      </w:pPr>
      <w:bookmarkStart w:id="0" w:name="_GoBack"/>
      <w:bookmarkEnd w:id="0"/>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技术要</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求</w:t>
      </w:r>
    </w:p>
    <w:p w14:paraId="474EAFDC">
      <w:pPr>
        <w:pageBreakBefore w:val="0"/>
        <w:widowControl w:val="0"/>
        <w:wordWrap/>
        <w:overflowPunct/>
        <w:topLinePunct w:val="0"/>
        <w:bidi w:val="0"/>
        <w:spacing w:line="257" w:lineRule="auto"/>
        <w:rPr>
          <w:color w:val="auto"/>
          <w:spacing w:val="0"/>
          <w:position w:val="0"/>
        </w:rPr>
      </w:pPr>
    </w:p>
    <w:p w14:paraId="020BF323">
      <w:pPr>
        <w:pageBreakBefore w:val="0"/>
        <w:widowControl w:val="0"/>
        <w:wordWrap/>
        <w:overflowPunct/>
        <w:topLinePunct w:val="0"/>
        <w:bidi w:val="0"/>
        <w:spacing w:line="360" w:lineRule="auto"/>
        <w:jc w:val="both"/>
        <w:rPr>
          <w:rFonts w:hint="eastAsia" w:ascii="宋体" w:hAnsi="宋体" w:eastAsia="宋体" w:cs="宋体"/>
          <w:b/>
          <w:bCs/>
          <w:spacing w:val="-1"/>
          <w:sz w:val="24"/>
          <w:szCs w:val="24"/>
        </w:rPr>
      </w:pPr>
      <w:r>
        <w:rPr>
          <w:rFonts w:ascii="宋体" w:hAnsi="宋体" w:eastAsia="宋体" w:cs="宋体"/>
          <w:b/>
          <w:bCs/>
          <w:spacing w:val="-1"/>
          <w:sz w:val="24"/>
          <w:szCs w:val="24"/>
        </w:rPr>
        <w:t>（一）基本情况：</w:t>
      </w:r>
      <w:r>
        <w:rPr>
          <w:rFonts w:hint="eastAsia" w:ascii="宋体" w:hAnsi="宋体" w:eastAsia="宋体" w:cs="宋体"/>
          <w:b w:val="0"/>
          <w:bCs w:val="0"/>
          <w:spacing w:val="-1"/>
          <w:sz w:val="24"/>
          <w:szCs w:val="24"/>
        </w:rPr>
        <w:t>为进一步规范和促进企业开展安全生产标准化建设，建立并保持安全生产管理体系，全面管控生产经营活动各环节的安全生产工作，不断提升安全管理水平。依据《江西省企业安全生产标准化建设定级实施办法》（赣应急字</w:t>
      </w:r>
      <w:r>
        <w:rPr>
          <w:rFonts w:hint="eastAsia" w:ascii="宋体" w:hAnsi="宋体" w:eastAsia="宋体" w:cs="宋体"/>
          <w:b w:val="0"/>
          <w:bCs w:val="0"/>
          <w:spacing w:val="-1"/>
          <w:sz w:val="24"/>
          <w:szCs w:val="24"/>
          <w:lang w:eastAsia="zh-CN"/>
        </w:rPr>
        <w:t>〔2024〕116号</w:t>
      </w:r>
      <w:r>
        <w:rPr>
          <w:rFonts w:hint="eastAsia" w:ascii="宋体" w:hAnsi="宋体" w:eastAsia="宋体" w:cs="宋体"/>
          <w:b w:val="0"/>
          <w:bCs w:val="0"/>
          <w:spacing w:val="-1"/>
          <w:sz w:val="24"/>
          <w:szCs w:val="24"/>
        </w:rPr>
        <w:t>）、《江西省应急管理厅办公室关于明确企业二级安全生产标准化评审服务费支出标准的通知》（赣应急办字</w:t>
      </w:r>
      <w:r>
        <w:rPr>
          <w:rFonts w:hint="eastAsia" w:ascii="宋体" w:hAnsi="宋体" w:eastAsia="宋体" w:cs="宋体"/>
          <w:b w:val="0"/>
          <w:bCs w:val="0"/>
          <w:spacing w:val="-1"/>
          <w:sz w:val="24"/>
          <w:szCs w:val="24"/>
          <w:lang w:eastAsia="zh-CN"/>
        </w:rPr>
        <w:t>〔2024〕145号</w:t>
      </w:r>
      <w:r>
        <w:rPr>
          <w:rFonts w:hint="eastAsia" w:ascii="宋体" w:hAnsi="宋体" w:eastAsia="宋体" w:cs="宋体"/>
          <w:b w:val="0"/>
          <w:bCs w:val="0"/>
          <w:spacing w:val="-1"/>
          <w:sz w:val="24"/>
          <w:szCs w:val="24"/>
        </w:rPr>
        <w:t>）的要求，对江西省内非煤矿山、危险化学品和烟花爆竹、工贸企业进行二级安全生产标准化评审。</w:t>
      </w:r>
    </w:p>
    <w:p w14:paraId="3490740D">
      <w:pPr>
        <w:pageBreakBefore w:val="0"/>
        <w:widowControl w:val="0"/>
        <w:wordWrap/>
        <w:overflowPunct/>
        <w:topLinePunct w:val="0"/>
        <w:bidi w:val="0"/>
        <w:spacing w:line="360" w:lineRule="auto"/>
        <w:jc w:val="both"/>
        <w:rPr>
          <w:rFonts w:hint="eastAsia" w:ascii="宋体" w:hAnsi="宋体" w:eastAsia="宋体" w:cs="宋体"/>
          <w:b w:val="0"/>
          <w:bCs w:val="0"/>
          <w:spacing w:val="-1"/>
          <w:sz w:val="24"/>
          <w:szCs w:val="24"/>
          <w:lang w:val="en-US" w:eastAsia="zh-CN"/>
        </w:rPr>
      </w:pPr>
      <w:r>
        <w:rPr>
          <w:rFonts w:hint="eastAsia" w:eastAsia="宋体"/>
          <w:b/>
          <w:bCs/>
          <w:color w:val="auto"/>
          <w:spacing w:val="0"/>
          <w:position w:val="0"/>
          <w:sz w:val="24"/>
          <w:szCs w:val="24"/>
          <w:lang w:eastAsia="zh-CN"/>
        </w:rPr>
        <w:t>（</w:t>
      </w:r>
      <w:r>
        <w:rPr>
          <w:rFonts w:hint="eastAsia" w:eastAsia="宋体"/>
          <w:b/>
          <w:bCs/>
          <w:color w:val="auto"/>
          <w:spacing w:val="0"/>
          <w:position w:val="0"/>
          <w:sz w:val="24"/>
          <w:szCs w:val="24"/>
          <w:lang w:val="en-US" w:eastAsia="zh-CN"/>
        </w:rPr>
        <w:t>二</w:t>
      </w:r>
      <w:r>
        <w:rPr>
          <w:rFonts w:hint="eastAsia" w:eastAsia="宋体"/>
          <w:b/>
          <w:bCs/>
          <w:color w:val="auto"/>
          <w:spacing w:val="0"/>
          <w:position w:val="0"/>
          <w:sz w:val="24"/>
          <w:szCs w:val="24"/>
          <w:lang w:eastAsia="zh-CN"/>
        </w:rPr>
        <w:t>）</w:t>
      </w:r>
      <w:r>
        <w:rPr>
          <w:rFonts w:hint="eastAsia" w:eastAsia="宋体"/>
          <w:b/>
          <w:bCs/>
          <w:color w:val="auto"/>
          <w:spacing w:val="0"/>
          <w:position w:val="0"/>
          <w:sz w:val="24"/>
          <w:szCs w:val="24"/>
          <w:lang w:val="en-US" w:eastAsia="zh-CN"/>
        </w:rPr>
        <w:t>服务内容：</w:t>
      </w:r>
      <w:r>
        <w:rPr>
          <w:rFonts w:hint="eastAsia" w:ascii="宋体" w:hAnsi="宋体" w:eastAsia="宋体" w:cs="宋体"/>
          <w:b w:val="0"/>
          <w:bCs w:val="0"/>
          <w:spacing w:val="-1"/>
          <w:sz w:val="24"/>
          <w:szCs w:val="24"/>
          <w:lang w:val="en-US" w:eastAsia="zh-CN"/>
        </w:rPr>
        <w:t>对江西省辖区内75家企业（包括非煤矿山、危险化学品和烟花爆竹、工贸企业等）进行二级标准化评审工作，项目按数量分成5个采购包，每包企业数量均为15家。</w:t>
      </w:r>
    </w:p>
    <w:p w14:paraId="22DBC25A">
      <w:pPr>
        <w:pageBreakBefore w:val="0"/>
        <w:widowControl w:val="0"/>
        <w:wordWrap/>
        <w:overflowPunct/>
        <w:topLinePunct w:val="0"/>
        <w:bidi w:val="0"/>
        <w:spacing w:line="360" w:lineRule="auto"/>
        <w:jc w:val="both"/>
        <w:rPr>
          <w:rFonts w:hint="eastAsia" w:ascii="宋体" w:hAnsi="宋体" w:eastAsia="宋体" w:cs="宋体"/>
          <w:b w:val="0"/>
          <w:bCs w:val="0"/>
          <w:spacing w:val="-1"/>
          <w:sz w:val="24"/>
          <w:szCs w:val="24"/>
          <w:lang w:val="en-US" w:eastAsia="zh-CN"/>
        </w:rPr>
      </w:pPr>
      <w:r>
        <w:rPr>
          <w:rFonts w:hint="eastAsia" w:eastAsia="宋体"/>
          <w:b/>
          <w:bCs/>
          <w:color w:val="auto"/>
          <w:spacing w:val="0"/>
          <w:position w:val="0"/>
          <w:sz w:val="24"/>
          <w:szCs w:val="24"/>
          <w:lang w:eastAsia="zh-CN"/>
        </w:rPr>
        <w:t>（</w:t>
      </w:r>
      <w:r>
        <w:rPr>
          <w:rFonts w:hint="eastAsia" w:eastAsia="宋体"/>
          <w:b/>
          <w:bCs/>
          <w:color w:val="auto"/>
          <w:spacing w:val="0"/>
          <w:position w:val="0"/>
          <w:sz w:val="24"/>
          <w:szCs w:val="24"/>
          <w:lang w:val="en-US" w:eastAsia="zh-CN"/>
        </w:rPr>
        <w:t>三</w:t>
      </w:r>
      <w:r>
        <w:rPr>
          <w:rFonts w:hint="eastAsia" w:eastAsia="宋体"/>
          <w:b/>
          <w:bCs/>
          <w:color w:val="auto"/>
          <w:spacing w:val="0"/>
          <w:position w:val="0"/>
          <w:sz w:val="24"/>
          <w:szCs w:val="24"/>
          <w:lang w:eastAsia="zh-CN"/>
        </w:rPr>
        <w:t>）</w:t>
      </w:r>
      <w:r>
        <w:rPr>
          <w:rFonts w:hint="eastAsia" w:eastAsia="宋体"/>
          <w:b/>
          <w:bCs/>
          <w:color w:val="auto"/>
          <w:spacing w:val="0"/>
          <w:position w:val="0"/>
          <w:sz w:val="24"/>
          <w:szCs w:val="24"/>
          <w:lang w:val="en-US" w:eastAsia="zh-CN"/>
        </w:rPr>
        <w:t>服务要求：</w:t>
      </w:r>
      <w:r>
        <w:rPr>
          <w:rFonts w:hint="eastAsia" w:ascii="宋体" w:hAnsi="宋体" w:eastAsia="宋体" w:cs="宋体"/>
          <w:b w:val="0"/>
          <w:bCs w:val="0"/>
          <w:spacing w:val="-1"/>
          <w:sz w:val="24"/>
          <w:szCs w:val="24"/>
          <w:lang w:val="en-US" w:eastAsia="zh-CN"/>
        </w:rPr>
        <w:t>按照《江西省企业安全生产标准化建设定级实施办法》（赣应急字〔2024〕116号）第八条，投标人应具备以下基本条件：</w:t>
      </w:r>
    </w:p>
    <w:p w14:paraId="76DC6A1A">
      <w:pPr>
        <w:keepNext w:val="0"/>
        <w:keepLines w:val="0"/>
        <w:pageBreakBefore w:val="0"/>
        <w:widowControl w:val="0"/>
        <w:kinsoku/>
        <w:wordWrap w:val="0"/>
        <w:overflowPunct/>
        <w:topLinePunct/>
        <w:autoSpaceDE/>
        <w:autoSpaceDN/>
        <w:bidi w:val="0"/>
        <w:adjustRightInd w:val="0"/>
        <w:snapToGrid w:val="0"/>
        <w:spacing w:line="360" w:lineRule="auto"/>
        <w:ind w:firstLine="476" w:firstLineChars="200"/>
        <w:jc w:val="both"/>
        <w:textAlignment w:val="baseline"/>
        <w:rPr>
          <w:rFonts w:hint="eastAsia" w:ascii="宋体" w:hAnsi="宋体" w:eastAsia="宋体" w:cs="宋体"/>
          <w:b w:val="0"/>
          <w:bCs w:val="0"/>
          <w:spacing w:val="-1"/>
          <w:sz w:val="24"/>
          <w:szCs w:val="24"/>
          <w:lang w:val="en-US" w:eastAsia="zh-CN"/>
        </w:rPr>
      </w:pPr>
      <w:r>
        <w:rPr>
          <w:rFonts w:hint="eastAsia" w:ascii="宋体" w:hAnsi="宋体" w:eastAsia="宋体" w:cs="宋体"/>
          <w:b w:val="0"/>
          <w:bCs w:val="0"/>
          <w:spacing w:val="-1"/>
          <w:sz w:val="24"/>
          <w:szCs w:val="24"/>
          <w:lang w:val="en-US" w:eastAsia="zh-CN"/>
        </w:rPr>
        <w:t>1.具有独立法人资格，从事安全生产相关工作；</w:t>
      </w:r>
    </w:p>
    <w:p w14:paraId="0F5C3139">
      <w:pPr>
        <w:keepNext w:val="0"/>
        <w:keepLines w:val="0"/>
        <w:pageBreakBefore w:val="0"/>
        <w:widowControl w:val="0"/>
        <w:kinsoku/>
        <w:wordWrap w:val="0"/>
        <w:overflowPunct/>
        <w:topLinePunct/>
        <w:autoSpaceDE/>
        <w:autoSpaceDN/>
        <w:bidi w:val="0"/>
        <w:adjustRightInd w:val="0"/>
        <w:snapToGrid w:val="0"/>
        <w:spacing w:line="360" w:lineRule="auto"/>
        <w:ind w:firstLine="476" w:firstLineChars="200"/>
        <w:jc w:val="both"/>
        <w:textAlignment w:val="baseline"/>
        <w:rPr>
          <w:rFonts w:hint="eastAsia" w:ascii="宋体" w:hAnsi="宋体" w:eastAsia="宋体" w:cs="宋体"/>
          <w:b w:val="0"/>
          <w:bCs w:val="0"/>
          <w:spacing w:val="-1"/>
          <w:sz w:val="24"/>
          <w:szCs w:val="24"/>
          <w:lang w:val="en-US" w:eastAsia="zh-CN"/>
        </w:rPr>
      </w:pPr>
      <w:r>
        <w:rPr>
          <w:rFonts w:hint="eastAsia" w:ascii="宋体" w:hAnsi="宋体" w:eastAsia="宋体" w:cs="宋体"/>
          <w:b w:val="0"/>
          <w:bCs w:val="0"/>
          <w:spacing w:val="-1"/>
          <w:sz w:val="24"/>
          <w:szCs w:val="24"/>
          <w:lang w:val="en-US" w:eastAsia="zh-CN"/>
        </w:rPr>
        <w:t>2.有固定工作场所，有能够满足开展安全生产标准化评审工作的设施、设备和技术条件；</w:t>
      </w:r>
    </w:p>
    <w:p w14:paraId="1C6F9956">
      <w:pPr>
        <w:keepNext w:val="0"/>
        <w:keepLines w:val="0"/>
        <w:pageBreakBefore w:val="0"/>
        <w:widowControl w:val="0"/>
        <w:kinsoku/>
        <w:wordWrap w:val="0"/>
        <w:overflowPunct/>
        <w:topLinePunct/>
        <w:autoSpaceDE/>
        <w:autoSpaceDN/>
        <w:bidi w:val="0"/>
        <w:adjustRightInd w:val="0"/>
        <w:snapToGrid w:val="0"/>
        <w:spacing w:line="360" w:lineRule="auto"/>
        <w:ind w:firstLine="476" w:firstLineChars="200"/>
        <w:jc w:val="both"/>
        <w:textAlignment w:val="baseline"/>
        <w:rPr>
          <w:rFonts w:hint="eastAsia" w:ascii="宋体" w:hAnsi="宋体" w:eastAsia="宋体" w:cs="宋体"/>
          <w:b w:val="0"/>
          <w:bCs w:val="0"/>
          <w:spacing w:val="-1"/>
          <w:sz w:val="24"/>
          <w:szCs w:val="24"/>
          <w:lang w:val="en-US" w:eastAsia="zh-CN"/>
        </w:rPr>
      </w:pPr>
      <w:r>
        <w:rPr>
          <w:rFonts w:hint="eastAsia" w:ascii="宋体" w:hAnsi="宋体" w:eastAsia="宋体" w:cs="宋体"/>
          <w:b w:val="0"/>
          <w:bCs w:val="0"/>
          <w:spacing w:val="-1"/>
          <w:sz w:val="24"/>
          <w:szCs w:val="24"/>
          <w:lang w:val="en-US" w:eastAsia="zh-CN"/>
        </w:rPr>
        <w:t>3.有健全的现场评审工作相关的管理制度、程序文件和质量控制体系等工作制度；</w:t>
      </w:r>
    </w:p>
    <w:p w14:paraId="73D44650">
      <w:pPr>
        <w:keepNext w:val="0"/>
        <w:keepLines w:val="0"/>
        <w:pageBreakBefore w:val="0"/>
        <w:widowControl w:val="0"/>
        <w:kinsoku/>
        <w:wordWrap w:val="0"/>
        <w:overflowPunct/>
        <w:topLinePunct/>
        <w:autoSpaceDE/>
        <w:autoSpaceDN/>
        <w:bidi w:val="0"/>
        <w:adjustRightInd w:val="0"/>
        <w:snapToGrid w:val="0"/>
        <w:spacing w:line="360" w:lineRule="auto"/>
        <w:ind w:firstLine="476" w:firstLineChars="200"/>
        <w:jc w:val="both"/>
        <w:textAlignment w:val="baseline"/>
        <w:rPr>
          <w:rFonts w:hint="eastAsia" w:ascii="宋体" w:hAnsi="宋体" w:eastAsia="宋体" w:cs="宋体"/>
          <w:b w:val="0"/>
          <w:bCs w:val="0"/>
          <w:spacing w:val="-1"/>
          <w:sz w:val="24"/>
          <w:szCs w:val="24"/>
          <w:lang w:val="en-US" w:eastAsia="zh-CN"/>
        </w:rPr>
      </w:pPr>
      <w:r>
        <w:rPr>
          <w:rFonts w:hint="eastAsia" w:ascii="宋体" w:hAnsi="宋体" w:eastAsia="宋体" w:cs="宋体"/>
          <w:b w:val="0"/>
          <w:bCs w:val="0"/>
          <w:spacing w:val="-1"/>
          <w:sz w:val="24"/>
          <w:szCs w:val="24"/>
          <w:lang w:val="en-US" w:eastAsia="zh-CN"/>
        </w:rPr>
        <w:t>4.应配备满足标准化评审工作需要的专业技术人员和相关工作人员（安全相关行业）。</w:t>
      </w:r>
    </w:p>
    <w:p w14:paraId="0814A256">
      <w:pPr>
        <w:keepNext w:val="0"/>
        <w:keepLines w:val="0"/>
        <w:pageBreakBefore w:val="0"/>
        <w:widowControl w:val="0"/>
        <w:kinsoku/>
        <w:wordWrap w:val="0"/>
        <w:overflowPunct/>
        <w:topLinePunct/>
        <w:autoSpaceDE/>
        <w:autoSpaceDN/>
        <w:bidi w:val="0"/>
        <w:adjustRightInd w:val="0"/>
        <w:snapToGrid w:val="0"/>
        <w:spacing w:line="360" w:lineRule="auto"/>
        <w:ind w:firstLine="476" w:firstLineChars="200"/>
        <w:jc w:val="both"/>
        <w:textAlignment w:val="baseline"/>
        <w:rPr>
          <w:rFonts w:hint="eastAsia" w:ascii="宋体" w:hAnsi="宋体" w:eastAsia="宋体" w:cs="宋体"/>
          <w:b w:val="0"/>
          <w:bCs w:val="0"/>
          <w:spacing w:val="-1"/>
          <w:sz w:val="24"/>
          <w:szCs w:val="24"/>
          <w:lang w:val="en-US" w:eastAsia="zh-CN"/>
        </w:rPr>
      </w:pPr>
      <w:r>
        <w:rPr>
          <w:rFonts w:hint="eastAsia" w:ascii="宋体" w:hAnsi="宋体" w:eastAsia="宋体" w:cs="宋体"/>
          <w:b w:val="0"/>
          <w:bCs w:val="0"/>
          <w:spacing w:val="-1"/>
          <w:sz w:val="24"/>
          <w:szCs w:val="24"/>
          <w:lang w:val="en-US" w:eastAsia="zh-CN"/>
        </w:rPr>
        <w:t>5.配备专职技术负责人和过程控制负责人，专职技术负责人具有与所开展业务相匹配的高级专业技术职称，在本行业领域工作三年以上；专职过程控制负责人具有中级专业技术职称，在本行业领域工作一年以上。</w:t>
      </w:r>
    </w:p>
    <w:p w14:paraId="569874FD">
      <w:pPr>
        <w:pStyle w:val="2"/>
        <w:keepNext w:val="0"/>
        <w:keepLines w:val="0"/>
        <w:pageBreakBefore w:val="0"/>
        <w:widowControl w:val="0"/>
        <w:kinsoku w:val="0"/>
        <w:wordWrap/>
        <w:overflowPunct/>
        <w:topLinePunct w:val="0"/>
        <w:autoSpaceDE w:val="0"/>
        <w:autoSpaceDN w:val="0"/>
        <w:bidi w:val="0"/>
        <w:adjustRightInd/>
        <w:snapToGrid/>
        <w:spacing w:before="0" w:after="0" w:line="360" w:lineRule="auto"/>
        <w:jc w:val="both"/>
        <w:textAlignment w:val="baseline"/>
        <w:rPr>
          <w:rFonts w:hint="eastAsia" w:eastAsia="宋体"/>
          <w:b/>
          <w:bCs/>
          <w:color w:val="auto"/>
          <w:spacing w:val="0"/>
          <w:position w:val="0"/>
          <w:sz w:val="24"/>
          <w:szCs w:val="24"/>
          <w:lang w:val="en-US" w:eastAsia="zh-CN"/>
        </w:rPr>
      </w:pPr>
      <w:r>
        <w:rPr>
          <w:rFonts w:hint="eastAsia" w:eastAsia="宋体"/>
          <w:b/>
          <w:bCs/>
          <w:color w:val="auto"/>
          <w:spacing w:val="0"/>
          <w:position w:val="0"/>
          <w:sz w:val="24"/>
          <w:szCs w:val="24"/>
          <w:lang w:eastAsia="zh-CN"/>
        </w:rPr>
        <w:t>（</w:t>
      </w:r>
      <w:r>
        <w:rPr>
          <w:rFonts w:hint="eastAsia" w:eastAsia="宋体"/>
          <w:b/>
          <w:bCs/>
          <w:color w:val="auto"/>
          <w:spacing w:val="0"/>
          <w:position w:val="0"/>
          <w:sz w:val="24"/>
          <w:szCs w:val="24"/>
          <w:lang w:val="en-US" w:eastAsia="zh-CN"/>
        </w:rPr>
        <w:t>四</w:t>
      </w:r>
      <w:r>
        <w:rPr>
          <w:rFonts w:hint="eastAsia" w:eastAsia="宋体"/>
          <w:b/>
          <w:bCs/>
          <w:color w:val="auto"/>
          <w:spacing w:val="0"/>
          <w:position w:val="0"/>
          <w:sz w:val="24"/>
          <w:szCs w:val="24"/>
          <w:lang w:eastAsia="zh-CN"/>
        </w:rPr>
        <w:t>）</w:t>
      </w:r>
      <w:r>
        <w:rPr>
          <w:rFonts w:hint="eastAsia" w:eastAsia="宋体"/>
          <w:b/>
          <w:bCs/>
          <w:color w:val="auto"/>
          <w:spacing w:val="0"/>
          <w:position w:val="0"/>
          <w:sz w:val="24"/>
          <w:szCs w:val="24"/>
          <w:lang w:val="en-US" w:eastAsia="zh-CN"/>
        </w:rPr>
        <w:t>考核要求：</w:t>
      </w:r>
    </w:p>
    <w:p w14:paraId="30D1762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76" w:firstLineChars="200"/>
        <w:jc w:val="both"/>
        <w:textAlignment w:val="baseline"/>
        <w:rPr>
          <w:rFonts w:hint="eastAsia" w:ascii="宋体" w:hAnsi="宋体" w:eastAsia="宋体" w:cs="宋体"/>
          <w:b w:val="0"/>
          <w:bCs w:val="0"/>
          <w:spacing w:val="-1"/>
          <w:sz w:val="24"/>
          <w:szCs w:val="24"/>
          <w:lang w:val="en-US" w:eastAsia="zh-CN"/>
        </w:rPr>
      </w:pPr>
      <w:r>
        <w:rPr>
          <w:rFonts w:hint="eastAsia" w:ascii="宋体" w:hAnsi="宋体" w:eastAsia="宋体" w:cs="宋体"/>
          <w:b w:val="0"/>
          <w:bCs w:val="0"/>
          <w:spacing w:val="-1"/>
          <w:sz w:val="24"/>
          <w:szCs w:val="24"/>
          <w:lang w:val="en-US" w:eastAsia="zh-CN"/>
        </w:rPr>
        <w:t>1.按照《江西省企业安全生产标准化建设定级实施办法》（赣应急字〔2024〕116号）第二十二条规定：“实施考核、评比、通报、约谈等措施，强化退出机制，监督检查中发现存在审核把关不严、现场评审结论失实、报告抄袭雷同或有明显错误等问题的，一律严肃查处并追究责任；发现组织单位和评审单位及其人员参与被评审企业的标准化培训、咨询相关工作，或存在收取企业费用、出具虚假报告、牟取不正当利益等违法违规行为的，一律取消有关单位资格，并严肃查处追究责任。”</w:t>
      </w:r>
    </w:p>
    <w:p w14:paraId="28594E3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76" w:firstLineChars="200"/>
        <w:jc w:val="both"/>
        <w:textAlignment w:val="baseline"/>
        <w:rPr>
          <w:rFonts w:hint="eastAsia" w:ascii="宋体" w:hAnsi="宋体" w:eastAsia="宋体" w:cs="宋体"/>
          <w:b w:val="0"/>
          <w:bCs w:val="0"/>
          <w:spacing w:val="-1"/>
          <w:sz w:val="24"/>
          <w:szCs w:val="24"/>
          <w:lang w:val="en-US" w:eastAsia="zh-CN"/>
        </w:rPr>
      </w:pPr>
      <w:r>
        <w:rPr>
          <w:rFonts w:hint="eastAsia" w:ascii="宋体" w:hAnsi="宋体" w:eastAsia="宋体" w:cs="宋体"/>
          <w:b w:val="0"/>
          <w:bCs w:val="0"/>
          <w:spacing w:val="-1"/>
          <w:sz w:val="24"/>
          <w:szCs w:val="24"/>
          <w:lang w:val="en-US" w:eastAsia="zh-CN"/>
        </w:rPr>
        <w:t>2.评审单位提供的评审报告结论与评审组织单位审核结论不一致的，视为审查结论失实，每出现一次，扣合同金额的5%并进行通报；出现三次及以上的，采购人有权解除合同。</w:t>
      </w:r>
    </w:p>
    <w:p w14:paraId="113331DC">
      <w:pPr>
        <w:spacing w:before="78" w:line="219" w:lineRule="auto"/>
        <w:ind w:left="123"/>
        <w:rPr>
          <w:rFonts w:hint="default"/>
          <w:lang w:val="en-US" w:eastAsia="zh-CN"/>
        </w:rPr>
      </w:pPr>
      <w:r>
        <w:rPr>
          <w:rFonts w:ascii="宋体" w:hAnsi="宋体" w:eastAsia="宋体" w:cs="宋体"/>
          <w:b/>
          <w:bCs/>
          <w:spacing w:val="-1"/>
          <w:sz w:val="24"/>
          <w:szCs w:val="24"/>
        </w:rPr>
        <w:t>注：以上“技术要求</w:t>
      </w:r>
      <w:r>
        <w:rPr>
          <w:rFonts w:ascii="宋体" w:hAnsi="宋体" w:eastAsia="宋体" w:cs="宋体"/>
          <w:spacing w:val="-86"/>
          <w:sz w:val="24"/>
          <w:szCs w:val="24"/>
        </w:rPr>
        <w:t xml:space="preserve"> </w:t>
      </w:r>
      <w:r>
        <w:rPr>
          <w:rFonts w:ascii="宋体" w:hAnsi="宋体" w:eastAsia="宋体" w:cs="宋体"/>
          <w:b/>
          <w:bCs/>
          <w:spacing w:val="-1"/>
          <w:sz w:val="24"/>
          <w:szCs w:val="24"/>
        </w:rPr>
        <w:t>”为实质性条款须完全</w:t>
      </w:r>
      <w:r>
        <w:rPr>
          <w:rFonts w:ascii="宋体" w:hAnsi="宋体" w:eastAsia="宋体" w:cs="宋体"/>
          <w:b/>
          <w:bCs/>
          <w:spacing w:val="-2"/>
          <w:sz w:val="24"/>
          <w:szCs w:val="24"/>
        </w:rPr>
        <w:t>响应，否则投标无效。</w:t>
      </w:r>
    </w:p>
    <w:p w14:paraId="08993EA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0A240B"/>
    <w:rsid w:val="230A24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2026-05-11T09:11:00Z</dcterms:created>
  <dc:creator>喻强强</dc:creator>
  <cp:lastModifiedBy>喻强强</cp:lastModifiedBy>
  <dcterms:modified xsi:type="dcterms:W3CDTF">2026-05-11T09:12:01Z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630D21B2083C42CA9B3FF68207387336_11</vt:lpwstr>
  </property>
  <property fmtid="{D5CDD505-2E9C-101B-9397-08002B2CF9AE}" pid="4" name="KSOTemplateDocerSaveRecord">
    <vt:lpwstr>eyJoZGlkIjoiZjJiY2QyZTQ1NDc1YjUxZmE3MjE5ZTYzY2Q0Y2ViMzgiLCJ1c2VySWQiOiIyNzg4NjMzMzIifQ==</vt:lpwstr>
  </property>
</Properties>
</file>