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883271">
      <w:pPr>
        <w:widowControl w:val="0"/>
        <w:spacing w:before="63" w:line="224" w:lineRule="auto"/>
        <w:jc w:val="center"/>
        <w:outlineLvl w:val="0"/>
        <w:rPr>
          <w:rFonts w:hint="eastAsia" w:ascii="宋体" w:hAnsi="宋体" w:eastAsia="宋体" w:cs="宋体"/>
          <w:color w:val="auto"/>
          <w:sz w:val="31"/>
          <w:szCs w:val="31"/>
          <w:highlight w:val="none"/>
          <w:lang w:eastAsia="zh-CN"/>
        </w:rPr>
      </w:pPr>
      <w:bookmarkStart w:id="0" w:name="_Toc2655"/>
      <w:bookmarkStart w:id="1" w:name="_Toc25781"/>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hint="eastAsia" w:ascii="宋体" w:hAnsi="宋体" w:eastAsia="宋体" w:cs="宋体"/>
          <w:color w:val="auto"/>
          <w:spacing w:val="9"/>
          <w:sz w:val="31"/>
          <w:szCs w:val="31"/>
          <w:highlight w:val="none"/>
          <w:lang w:eastAsia="zh-CN"/>
        </w:rPr>
        <w:t xml:space="preserve">  </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0"/>
      <w:bookmarkEnd w:id="1"/>
    </w:p>
    <w:p w14:paraId="016DAAA6">
      <w:pPr>
        <w:widowControl w:val="0"/>
        <w:spacing w:line="309" w:lineRule="auto"/>
        <w:jc w:val="center"/>
        <w:rPr>
          <w:rFonts w:hint="eastAsia" w:ascii="宋体" w:hAnsi="宋体" w:eastAsia="宋体" w:cs="宋体"/>
          <w:color w:val="auto"/>
          <w:highlight w:val="none"/>
          <w:lang w:eastAsia="zh-CN"/>
        </w:rPr>
      </w:pPr>
    </w:p>
    <w:p w14:paraId="194CE3C9">
      <w:pPr>
        <w:pageBreakBefore w:val="0"/>
        <w:widowControl w:val="0"/>
        <w:wordWrap/>
        <w:overflowPunct/>
        <w:topLinePunct w:val="0"/>
        <w:bidi w:val="0"/>
        <w:spacing w:before="78" w:line="220" w:lineRule="auto"/>
        <w:jc w:val="both"/>
        <w:outlineLvl w:val="1"/>
        <w:rPr>
          <w:rFonts w:hint="eastAsia" w:ascii="宋体" w:hAnsi="宋体" w:eastAsia="宋体" w:cs="宋体"/>
          <w:color w:val="auto"/>
          <w:spacing w:val="0"/>
          <w:w w:val="100"/>
          <w:position w:val="0"/>
          <w:sz w:val="24"/>
          <w:szCs w:val="24"/>
          <w:highlight w:val="none"/>
        </w:rPr>
      </w:pPr>
      <w:bookmarkStart w:id="2" w:name="bookmark81"/>
      <w:bookmarkEnd w:id="2"/>
      <w:r>
        <w:rPr>
          <w:rFonts w:hint="eastAsia"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需求表</w:t>
      </w:r>
    </w:p>
    <w:p w14:paraId="7606C47F">
      <w:pPr>
        <w:pageBreakBefore w:val="0"/>
        <w:widowControl w:val="0"/>
        <w:wordWrap/>
        <w:overflowPunct/>
        <w:topLinePunct w:val="0"/>
        <w:bidi w:val="0"/>
        <w:spacing w:before="64"/>
        <w:rPr>
          <w:rFonts w:hint="eastAsia" w:ascii="宋体" w:hAnsi="宋体" w:eastAsia="宋体" w:cs="宋体"/>
          <w:color w:val="auto"/>
          <w:spacing w:val="0"/>
          <w:w w:val="100"/>
          <w:position w:val="0"/>
          <w:highlight w:val="none"/>
        </w:rPr>
      </w:pPr>
    </w:p>
    <w:tbl>
      <w:tblPr>
        <w:tblStyle w:val="4"/>
        <w:tblW w:w="901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65"/>
        <w:gridCol w:w="6150"/>
      </w:tblGrid>
      <w:tr w14:paraId="7E904E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34" w:hRule="atLeast"/>
          <w:jc w:val="center"/>
        </w:trPr>
        <w:tc>
          <w:tcPr>
            <w:tcW w:w="2865" w:type="dxa"/>
            <w:tcBorders>
              <w:top w:val="single" w:color="000000" w:sz="2" w:space="0"/>
              <w:bottom w:val="single" w:color="000000" w:sz="2" w:space="0"/>
              <w:right w:val="single" w:color="000000" w:sz="2" w:space="0"/>
              <w:tl2br w:val="single" w:color="000000" w:sz="2" w:space="0"/>
            </w:tcBorders>
          </w:tcPr>
          <w:p w14:paraId="060CFF91">
            <w:pPr>
              <w:pageBreakBefore w:val="0"/>
              <w:widowControl w:val="0"/>
              <w:wordWrap/>
              <w:overflowPunct/>
              <w:topLinePunct w:val="0"/>
              <w:bidi w:val="0"/>
              <w:spacing w:before="183" w:line="223" w:lineRule="auto"/>
              <w:ind w:left="1091" w:firstLine="720" w:firstLineChars="300"/>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名</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rPr>
              <w:t>称</w:t>
            </w:r>
          </w:p>
          <w:p w14:paraId="5AD01616">
            <w:pPr>
              <w:pStyle w:val="5"/>
              <w:pageBreakBefore w:val="0"/>
              <w:widowControl w:val="0"/>
              <w:wordWrap/>
              <w:overflowPunct/>
              <w:topLinePunct w:val="0"/>
              <w:bidi w:val="0"/>
              <w:spacing w:line="246" w:lineRule="auto"/>
              <w:rPr>
                <w:rFonts w:hint="eastAsia" w:ascii="宋体" w:hAnsi="宋体" w:eastAsia="宋体" w:cs="宋体"/>
                <w:color w:val="auto"/>
                <w:spacing w:val="0"/>
                <w:w w:val="100"/>
                <w:position w:val="0"/>
                <w:sz w:val="24"/>
                <w:szCs w:val="24"/>
                <w:highlight w:val="none"/>
              </w:rPr>
            </w:pPr>
          </w:p>
          <w:p w14:paraId="7DE3154C">
            <w:pPr>
              <w:pageBreakBefore w:val="0"/>
              <w:widowControl w:val="0"/>
              <w:wordWrap/>
              <w:overflowPunct/>
              <w:topLinePunct w:val="0"/>
              <w:bidi w:val="0"/>
              <w:spacing w:before="78" w:line="219" w:lineRule="auto"/>
              <w:ind w:left="481"/>
              <w:rPr>
                <w:rFonts w:hint="eastAsia" w:ascii="宋体" w:hAnsi="宋体" w:eastAsia="宋体" w:cs="宋体"/>
                <w:color w:val="auto"/>
                <w:spacing w:val="0"/>
                <w:w w:val="100"/>
                <w:position w:val="0"/>
                <w:sz w:val="24"/>
                <w:szCs w:val="24"/>
                <w:highlight w:val="none"/>
              </w:rPr>
            </w:pPr>
          </w:p>
          <w:p w14:paraId="64A3B996">
            <w:pPr>
              <w:pageBreakBefore w:val="0"/>
              <w:widowControl w:val="0"/>
              <w:wordWrap/>
              <w:overflowPunct/>
              <w:topLinePunct w:val="0"/>
              <w:bidi w:val="0"/>
              <w:spacing w:before="78" w:line="219" w:lineRule="auto"/>
              <w:ind w:firstLine="240" w:firstLineChars="100"/>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内</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rPr>
              <w:t>容</w:t>
            </w:r>
          </w:p>
        </w:tc>
        <w:tc>
          <w:tcPr>
            <w:tcW w:w="6150" w:type="dxa"/>
            <w:tcBorders>
              <w:top w:val="single" w:color="000000" w:sz="2" w:space="0"/>
              <w:left w:val="single" w:color="000000" w:sz="2" w:space="0"/>
              <w:bottom w:val="single" w:color="000000" w:sz="2" w:space="0"/>
              <w:right w:val="single" w:color="000000" w:sz="2" w:space="0"/>
            </w:tcBorders>
            <w:vAlign w:val="center"/>
          </w:tcPr>
          <w:p w14:paraId="672F2B54">
            <w:pPr>
              <w:pStyle w:val="5"/>
              <w:pageBreakBefore w:val="0"/>
              <w:widowControl w:val="0"/>
              <w:wordWrap/>
              <w:overflowPunct/>
              <w:topLinePunct w:val="0"/>
              <w:bidi w:val="0"/>
              <w:jc w:val="cente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赣州市地质灾害自动化监测预警点运行维护项目（2026年度）</w:t>
            </w:r>
          </w:p>
        </w:tc>
      </w:tr>
      <w:tr w14:paraId="017D04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65" w:type="dxa"/>
            <w:tcBorders>
              <w:top w:val="single" w:color="000000" w:sz="2" w:space="0"/>
              <w:right w:val="single" w:color="000000" w:sz="2" w:space="0"/>
            </w:tcBorders>
          </w:tcPr>
          <w:p w14:paraId="6B89E164">
            <w:pPr>
              <w:pageBreakBefore w:val="0"/>
              <w:widowControl w:val="0"/>
              <w:wordWrap/>
              <w:overflowPunct/>
              <w:topLinePunct w:val="0"/>
              <w:bidi w:val="0"/>
              <w:spacing w:before="253" w:line="219" w:lineRule="auto"/>
              <w:ind w:left="1188"/>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数量</w:t>
            </w:r>
          </w:p>
        </w:tc>
        <w:tc>
          <w:tcPr>
            <w:tcW w:w="6150" w:type="dxa"/>
            <w:tcBorders>
              <w:top w:val="single" w:color="000000" w:sz="2" w:space="0"/>
              <w:left w:val="single" w:color="000000" w:sz="2" w:space="0"/>
              <w:right w:val="single" w:color="000000" w:sz="2" w:space="0"/>
            </w:tcBorders>
            <w:vAlign w:val="center"/>
          </w:tcPr>
          <w:p w14:paraId="3DF57CC2">
            <w:pPr>
              <w:pStyle w:val="5"/>
              <w:pageBreakBefore w:val="0"/>
              <w:widowControl w:val="0"/>
              <w:wordWrap/>
              <w:overflowPunct/>
              <w:topLinePunct w:val="0"/>
              <w:bidi w:val="0"/>
              <w:jc w:val="center"/>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1项</w:t>
            </w:r>
          </w:p>
        </w:tc>
      </w:tr>
      <w:tr w14:paraId="61C6CB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65" w:type="dxa"/>
          </w:tcPr>
          <w:p w14:paraId="3A841571">
            <w:pPr>
              <w:pageBreakBefore w:val="0"/>
              <w:widowControl w:val="0"/>
              <w:wordWrap/>
              <w:overflowPunct/>
              <w:topLinePunct w:val="0"/>
              <w:bidi w:val="0"/>
              <w:spacing w:before="253" w:line="219" w:lineRule="auto"/>
              <w:ind w:left="1071"/>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服务</w:t>
            </w:r>
            <w:r>
              <w:rPr>
                <w:rFonts w:hint="eastAsia" w:ascii="宋体" w:hAnsi="宋体" w:eastAsia="宋体" w:cs="宋体"/>
                <w:color w:val="auto"/>
                <w:spacing w:val="0"/>
                <w:w w:val="100"/>
                <w:position w:val="0"/>
                <w:sz w:val="24"/>
                <w:szCs w:val="24"/>
                <w:highlight w:val="none"/>
              </w:rPr>
              <w:t>期</w:t>
            </w:r>
          </w:p>
        </w:tc>
        <w:tc>
          <w:tcPr>
            <w:tcW w:w="6150" w:type="dxa"/>
            <w:vAlign w:val="center"/>
          </w:tcPr>
          <w:p w14:paraId="5161EFE4">
            <w:pPr>
              <w:pStyle w:val="5"/>
              <w:pageBreakBefore w:val="0"/>
              <w:widowControl w:val="0"/>
              <w:wordWrap/>
              <w:overflowPunct/>
              <w:topLinePunct w:val="0"/>
              <w:bidi w:val="0"/>
              <w:jc w:val="cente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自合同签订之日起，服务期限一年；中标供应商需确保与后续运维单位交接期间监测设备正常在线，保证监测数据的连续性，中标供应商不可单方面提前结束服务。</w:t>
            </w:r>
          </w:p>
        </w:tc>
      </w:tr>
      <w:tr w14:paraId="1C85BA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65" w:type="dxa"/>
          </w:tcPr>
          <w:p w14:paraId="56FB10DF">
            <w:pPr>
              <w:pageBreakBefore w:val="0"/>
              <w:widowControl w:val="0"/>
              <w:wordWrap/>
              <w:overflowPunct/>
              <w:topLinePunct w:val="0"/>
              <w:bidi w:val="0"/>
              <w:spacing w:before="256" w:line="219" w:lineRule="auto"/>
              <w:ind w:left="951"/>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服务</w:t>
            </w:r>
            <w:r>
              <w:rPr>
                <w:rFonts w:hint="eastAsia" w:ascii="宋体" w:hAnsi="宋体" w:eastAsia="宋体" w:cs="宋体"/>
                <w:color w:val="auto"/>
                <w:spacing w:val="0"/>
                <w:w w:val="100"/>
                <w:position w:val="0"/>
                <w:sz w:val="24"/>
                <w:szCs w:val="24"/>
                <w:highlight w:val="none"/>
              </w:rPr>
              <w:t>地点</w:t>
            </w:r>
          </w:p>
        </w:tc>
        <w:tc>
          <w:tcPr>
            <w:tcW w:w="6150" w:type="dxa"/>
            <w:vAlign w:val="center"/>
          </w:tcPr>
          <w:p w14:paraId="752AE2D2">
            <w:pPr>
              <w:pStyle w:val="5"/>
              <w:pageBreakBefore w:val="0"/>
              <w:widowControl w:val="0"/>
              <w:wordWrap/>
              <w:overflowPunct/>
              <w:topLinePunct w:val="0"/>
              <w:bidi w:val="0"/>
              <w:jc w:val="cente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采购人指定地点</w:t>
            </w:r>
          </w:p>
        </w:tc>
      </w:tr>
      <w:tr w14:paraId="169A05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jc w:val="center"/>
        </w:trPr>
        <w:tc>
          <w:tcPr>
            <w:tcW w:w="2865" w:type="dxa"/>
          </w:tcPr>
          <w:p w14:paraId="5E468AE7">
            <w:pPr>
              <w:pageBreakBefore w:val="0"/>
              <w:widowControl w:val="0"/>
              <w:wordWrap/>
              <w:overflowPunct/>
              <w:topLinePunct w:val="0"/>
              <w:bidi w:val="0"/>
              <w:spacing w:before="256" w:line="221" w:lineRule="auto"/>
              <w:ind w:left="1189"/>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备注</w:t>
            </w:r>
          </w:p>
        </w:tc>
        <w:tc>
          <w:tcPr>
            <w:tcW w:w="6150" w:type="dxa"/>
            <w:vAlign w:val="center"/>
          </w:tcPr>
          <w:p w14:paraId="3F7C4F2F">
            <w:pPr>
              <w:pStyle w:val="5"/>
              <w:pageBreakBefore w:val="0"/>
              <w:widowControl w:val="0"/>
              <w:wordWrap/>
              <w:overflowPunct/>
              <w:topLinePunct w:val="0"/>
              <w:bidi w:val="0"/>
              <w:jc w:val="center"/>
              <w:rPr>
                <w:rFonts w:hint="eastAsia" w:ascii="宋体" w:hAnsi="宋体" w:eastAsia="宋体" w:cs="宋体"/>
                <w:color w:val="auto"/>
                <w:spacing w:val="0"/>
                <w:w w:val="100"/>
                <w:position w:val="0"/>
                <w:sz w:val="24"/>
                <w:szCs w:val="24"/>
                <w:highlight w:val="none"/>
              </w:rPr>
            </w:pPr>
          </w:p>
        </w:tc>
      </w:tr>
    </w:tbl>
    <w:p w14:paraId="3CF292B7">
      <w:pPr>
        <w:widowControl w:val="0"/>
        <w:spacing w:line="440" w:lineRule="exact"/>
        <w:ind w:firstLine="482" w:firstLineChars="200"/>
        <w:rPr>
          <w:rFonts w:hint="eastAsia" w:ascii="宋体" w:hAnsi="宋体" w:eastAsia="宋体" w:cs="宋体"/>
          <w:b/>
          <w:bCs/>
          <w:color w:val="auto"/>
          <w:sz w:val="24"/>
          <w:szCs w:val="24"/>
          <w:highlight w:val="none"/>
          <w:lang w:eastAsia="zh-CN"/>
        </w:rPr>
      </w:pPr>
    </w:p>
    <w:p w14:paraId="48F8D961">
      <w:pPr>
        <w:widowControl w:val="0"/>
        <w:spacing w:line="440" w:lineRule="exact"/>
        <w:ind w:firstLine="482" w:firstLineChars="200"/>
        <w:rPr>
          <w:rFonts w:hint="eastAsia" w:ascii="宋体" w:hAnsi="宋体" w:eastAsia="宋体" w:cs="宋体"/>
          <w:b/>
          <w:bCs/>
          <w:color w:val="auto"/>
          <w:sz w:val="24"/>
          <w:szCs w:val="24"/>
          <w:highlight w:val="none"/>
          <w:lang w:eastAsia="zh-CN"/>
        </w:rPr>
      </w:pPr>
    </w:p>
    <w:p w14:paraId="6068E2EA">
      <w:pPr>
        <w:widowControl w:val="0"/>
        <w:spacing w:line="440" w:lineRule="exact"/>
        <w:ind w:firstLine="482" w:firstLineChars="200"/>
        <w:rPr>
          <w:rFonts w:hint="eastAsia" w:ascii="宋体" w:hAnsi="宋体" w:eastAsia="宋体" w:cs="宋体"/>
          <w:b/>
          <w:bCs/>
          <w:color w:val="auto"/>
          <w:sz w:val="24"/>
          <w:szCs w:val="24"/>
          <w:highlight w:val="none"/>
          <w:lang w:eastAsia="zh-CN"/>
        </w:rPr>
      </w:pPr>
    </w:p>
    <w:p w14:paraId="27415305">
      <w:pPr>
        <w:widowControl w:val="0"/>
        <w:spacing w:line="440" w:lineRule="exact"/>
        <w:ind w:firstLine="482" w:firstLineChars="200"/>
        <w:rPr>
          <w:rFonts w:hint="eastAsia" w:ascii="宋体" w:hAnsi="宋体" w:eastAsia="宋体" w:cs="宋体"/>
          <w:b/>
          <w:bCs/>
          <w:color w:val="auto"/>
          <w:sz w:val="24"/>
          <w:szCs w:val="24"/>
          <w:highlight w:val="none"/>
          <w:lang w:eastAsia="zh-CN"/>
        </w:rPr>
      </w:pPr>
    </w:p>
    <w:p w14:paraId="1DC60F4E">
      <w:pPr>
        <w:widowControl w:val="0"/>
        <w:spacing w:line="440" w:lineRule="exact"/>
        <w:ind w:firstLine="482" w:firstLineChars="200"/>
        <w:rPr>
          <w:rFonts w:hint="eastAsia" w:ascii="宋体" w:hAnsi="宋体" w:eastAsia="宋体" w:cs="宋体"/>
          <w:b/>
          <w:bCs/>
          <w:color w:val="auto"/>
          <w:sz w:val="24"/>
          <w:szCs w:val="24"/>
          <w:highlight w:val="none"/>
          <w:lang w:eastAsia="zh-CN"/>
        </w:rPr>
      </w:pPr>
    </w:p>
    <w:p w14:paraId="71F9D070">
      <w:pPr>
        <w:widowControl w:val="0"/>
        <w:spacing w:line="440" w:lineRule="exact"/>
        <w:ind w:firstLine="482" w:firstLineChars="200"/>
        <w:rPr>
          <w:rFonts w:hint="eastAsia" w:ascii="宋体" w:hAnsi="宋体" w:eastAsia="宋体" w:cs="宋体"/>
          <w:b/>
          <w:bCs/>
          <w:color w:val="auto"/>
          <w:sz w:val="24"/>
          <w:szCs w:val="24"/>
          <w:highlight w:val="none"/>
          <w:lang w:eastAsia="zh-CN"/>
        </w:rPr>
      </w:pPr>
    </w:p>
    <w:p w14:paraId="03D6CA5F">
      <w:pPr>
        <w:widowControl w:val="0"/>
        <w:spacing w:line="440" w:lineRule="exact"/>
        <w:ind w:firstLine="482" w:firstLineChars="200"/>
        <w:rPr>
          <w:rFonts w:hint="eastAsia" w:ascii="宋体" w:hAnsi="宋体" w:eastAsia="宋体" w:cs="宋体"/>
          <w:b/>
          <w:bCs/>
          <w:color w:val="auto"/>
          <w:sz w:val="24"/>
          <w:szCs w:val="24"/>
          <w:highlight w:val="none"/>
          <w:lang w:eastAsia="zh-CN"/>
        </w:rPr>
      </w:pPr>
    </w:p>
    <w:p w14:paraId="23389626">
      <w:pPr>
        <w:widowControl w:val="0"/>
        <w:spacing w:line="440" w:lineRule="exact"/>
        <w:ind w:firstLine="482" w:firstLineChars="200"/>
        <w:rPr>
          <w:rFonts w:hint="eastAsia" w:ascii="宋体" w:hAnsi="宋体" w:eastAsia="宋体" w:cs="宋体"/>
          <w:b/>
          <w:bCs/>
          <w:color w:val="auto"/>
          <w:sz w:val="24"/>
          <w:szCs w:val="24"/>
          <w:highlight w:val="none"/>
          <w:lang w:eastAsia="zh-CN"/>
        </w:rPr>
      </w:pPr>
    </w:p>
    <w:p w14:paraId="38DE70FC">
      <w:pPr>
        <w:widowControl w:val="0"/>
        <w:spacing w:line="440" w:lineRule="exact"/>
        <w:ind w:firstLine="482" w:firstLineChars="200"/>
        <w:rPr>
          <w:rFonts w:hint="eastAsia" w:ascii="宋体" w:hAnsi="宋体" w:eastAsia="宋体" w:cs="宋体"/>
          <w:b/>
          <w:bCs/>
          <w:color w:val="auto"/>
          <w:sz w:val="24"/>
          <w:szCs w:val="24"/>
          <w:highlight w:val="none"/>
          <w:lang w:eastAsia="zh-CN"/>
        </w:rPr>
      </w:pPr>
    </w:p>
    <w:p w14:paraId="1BA4EB7F">
      <w:pPr>
        <w:widowControl w:val="0"/>
        <w:spacing w:line="440" w:lineRule="exact"/>
        <w:ind w:firstLine="482" w:firstLineChars="200"/>
        <w:rPr>
          <w:rFonts w:hint="eastAsia" w:ascii="宋体" w:hAnsi="宋体" w:eastAsia="宋体" w:cs="宋体"/>
          <w:b/>
          <w:bCs/>
          <w:color w:val="auto"/>
          <w:sz w:val="24"/>
          <w:szCs w:val="24"/>
          <w:highlight w:val="none"/>
          <w:lang w:eastAsia="zh-CN"/>
        </w:rPr>
      </w:pPr>
    </w:p>
    <w:p w14:paraId="1EA90A9A">
      <w:pPr>
        <w:widowControl w:val="0"/>
        <w:spacing w:line="440" w:lineRule="exact"/>
        <w:ind w:firstLine="482" w:firstLineChars="200"/>
        <w:rPr>
          <w:rFonts w:hint="eastAsia" w:ascii="宋体" w:hAnsi="宋体" w:eastAsia="宋体" w:cs="宋体"/>
          <w:b/>
          <w:bCs/>
          <w:color w:val="auto"/>
          <w:sz w:val="24"/>
          <w:szCs w:val="24"/>
          <w:highlight w:val="none"/>
          <w:lang w:eastAsia="zh-CN"/>
        </w:rPr>
      </w:pPr>
    </w:p>
    <w:p w14:paraId="78E9E290">
      <w:pPr>
        <w:widowControl w:val="0"/>
        <w:spacing w:line="440" w:lineRule="exact"/>
        <w:ind w:firstLine="482" w:firstLineChars="200"/>
        <w:rPr>
          <w:rFonts w:hint="eastAsia" w:ascii="宋体" w:hAnsi="宋体" w:eastAsia="宋体" w:cs="宋体"/>
          <w:b/>
          <w:bCs/>
          <w:color w:val="auto"/>
          <w:sz w:val="24"/>
          <w:szCs w:val="24"/>
          <w:highlight w:val="none"/>
          <w:lang w:eastAsia="zh-CN"/>
        </w:rPr>
      </w:pPr>
    </w:p>
    <w:p w14:paraId="758C7307">
      <w:pPr>
        <w:widowControl w:val="0"/>
        <w:spacing w:line="440" w:lineRule="exact"/>
        <w:ind w:firstLine="482" w:firstLineChars="200"/>
        <w:rPr>
          <w:rFonts w:hint="eastAsia" w:ascii="宋体" w:hAnsi="宋体" w:eastAsia="宋体" w:cs="宋体"/>
          <w:b/>
          <w:bCs/>
          <w:color w:val="auto"/>
          <w:sz w:val="24"/>
          <w:szCs w:val="24"/>
          <w:highlight w:val="none"/>
          <w:lang w:eastAsia="zh-CN"/>
        </w:rPr>
      </w:pPr>
    </w:p>
    <w:p w14:paraId="0691A15B">
      <w:pPr>
        <w:widowControl w:val="0"/>
        <w:spacing w:line="440" w:lineRule="exact"/>
        <w:ind w:firstLine="482" w:firstLineChars="200"/>
        <w:rPr>
          <w:rFonts w:hint="eastAsia" w:ascii="宋体" w:hAnsi="宋体" w:eastAsia="宋体" w:cs="宋体"/>
          <w:b/>
          <w:bCs/>
          <w:color w:val="auto"/>
          <w:sz w:val="24"/>
          <w:szCs w:val="24"/>
          <w:highlight w:val="none"/>
          <w:lang w:eastAsia="zh-CN"/>
        </w:rPr>
      </w:pPr>
    </w:p>
    <w:p w14:paraId="51293510">
      <w:pPr>
        <w:widowControl w:val="0"/>
        <w:spacing w:line="440" w:lineRule="exact"/>
        <w:ind w:firstLine="482" w:firstLineChars="200"/>
        <w:rPr>
          <w:rFonts w:hint="eastAsia" w:ascii="宋体" w:hAnsi="宋体" w:eastAsia="宋体" w:cs="宋体"/>
          <w:b/>
          <w:bCs/>
          <w:color w:val="auto"/>
          <w:sz w:val="24"/>
          <w:szCs w:val="24"/>
          <w:highlight w:val="none"/>
          <w:lang w:eastAsia="zh-CN"/>
        </w:rPr>
      </w:pPr>
    </w:p>
    <w:p w14:paraId="6454A9E4">
      <w:pPr>
        <w:widowControl w:val="0"/>
        <w:spacing w:line="440" w:lineRule="exact"/>
        <w:ind w:firstLine="482" w:firstLineChars="200"/>
        <w:rPr>
          <w:rFonts w:hint="eastAsia" w:ascii="宋体" w:hAnsi="宋体" w:eastAsia="宋体" w:cs="宋体"/>
          <w:b/>
          <w:bCs/>
          <w:color w:val="auto"/>
          <w:sz w:val="24"/>
          <w:szCs w:val="24"/>
          <w:highlight w:val="none"/>
          <w:lang w:eastAsia="zh-CN"/>
        </w:rPr>
      </w:pPr>
    </w:p>
    <w:p w14:paraId="018F5B94">
      <w:pPr>
        <w:pageBreakBefore w:val="0"/>
        <w:widowControl w:val="0"/>
        <w:wordWrap/>
        <w:overflowPunct/>
        <w:topLinePunct w:val="0"/>
        <w:bidi w:val="0"/>
        <w:spacing w:before="47" w:line="219" w:lineRule="auto"/>
        <w:ind w:left="3805"/>
        <w:outlineLvl w:val="1"/>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要</w:t>
      </w:r>
      <w:r>
        <w:rPr>
          <w:rFonts w:hint="eastAsia"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求</w:t>
      </w:r>
    </w:p>
    <w:p w14:paraId="0FA48913">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lang w:eastAsia="zh-CN"/>
        </w:rPr>
        <w:t>（</w:t>
      </w:r>
      <w:r>
        <w:rPr>
          <w:rFonts w:hint="eastAsia" w:ascii="宋体" w:hAnsi="宋体" w:eastAsia="宋体" w:cs="宋体"/>
          <w:b/>
          <w:bCs/>
          <w:color w:val="auto"/>
          <w:spacing w:val="0"/>
          <w:w w:val="100"/>
          <w:position w:val="0"/>
          <w:sz w:val="24"/>
          <w:szCs w:val="24"/>
          <w:highlight w:val="none"/>
        </w:rPr>
        <w:t xml:space="preserve">一） </w:t>
      </w:r>
      <w:r>
        <w:rPr>
          <w:rFonts w:hint="eastAsia" w:ascii="宋体" w:hAnsi="宋体" w:eastAsia="宋体" w:cs="宋体"/>
          <w:b/>
          <w:bCs/>
          <w:color w:val="auto"/>
          <w:spacing w:val="0"/>
          <w:w w:val="100"/>
          <w:position w:val="0"/>
          <w:sz w:val="24"/>
          <w:szCs w:val="24"/>
          <w:highlight w:val="none"/>
          <w:lang w:val="en-US" w:eastAsia="zh-CN"/>
        </w:rPr>
        <w:t>服务</w:t>
      </w:r>
      <w:r>
        <w:rPr>
          <w:rFonts w:hint="eastAsia" w:ascii="宋体" w:hAnsi="宋体" w:eastAsia="宋体" w:cs="宋体"/>
          <w:b/>
          <w:bCs/>
          <w:color w:val="auto"/>
          <w:spacing w:val="0"/>
          <w:w w:val="100"/>
          <w:position w:val="0"/>
          <w:sz w:val="24"/>
          <w:szCs w:val="24"/>
          <w:highlight w:val="none"/>
        </w:rPr>
        <w:t>需求</w:t>
      </w:r>
    </w:p>
    <w:p w14:paraId="166BC05A">
      <w:pPr>
        <w:keepNext w:val="0"/>
        <w:keepLines w:val="0"/>
        <w:pageBreakBefore w:val="0"/>
        <w:widowControl w:val="0"/>
        <w:kinsoku w:val="0"/>
        <w:wordWrap/>
        <w:overflowPunct/>
        <w:topLinePunct w:val="0"/>
        <w:autoSpaceDE w:val="0"/>
        <w:autoSpaceDN w:val="0"/>
        <w:bidi w:val="0"/>
        <w:adjustRightInd w:val="0"/>
        <w:snapToGrid w:val="0"/>
        <w:spacing w:line="360" w:lineRule="auto"/>
        <w:ind w:left="482"/>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rPr>
        <w:t>1．总体目标</w:t>
      </w:r>
    </w:p>
    <w:p w14:paraId="01AE2AD5">
      <w:pPr>
        <w:keepNext w:val="0"/>
        <w:keepLines w:val="0"/>
        <w:pageBreakBefore w:val="0"/>
        <w:widowControl w:val="0"/>
        <w:kinsoku w:val="0"/>
        <w:wordWrap/>
        <w:overflowPunct/>
        <w:topLinePunct w:val="0"/>
        <w:autoSpaceDE w:val="0"/>
        <w:autoSpaceDN w:val="0"/>
        <w:bidi w:val="0"/>
        <w:adjustRightInd w:val="0"/>
        <w:snapToGrid w:val="0"/>
        <w:spacing w:line="360" w:lineRule="auto"/>
        <w:ind w:left="8" w:right="4" w:firstLine="473"/>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通过对自动化监测预警点开展运行维护，保障监测设备正常工作、预警信息及时处置，实现“早预警、早发现、早撤离”，为临灾响应决策提供支撑，提升地质灾害“人防+技防”能力水平，最大限度保护受威胁群众生命财产安全。</w:t>
      </w:r>
    </w:p>
    <w:p w14:paraId="73399110">
      <w:pPr>
        <w:keepNext w:val="0"/>
        <w:keepLines w:val="0"/>
        <w:pageBreakBefore w:val="0"/>
        <w:widowControl w:val="0"/>
        <w:kinsoku w:val="0"/>
        <w:wordWrap/>
        <w:overflowPunct/>
        <w:topLinePunct w:val="0"/>
        <w:autoSpaceDE w:val="0"/>
        <w:autoSpaceDN w:val="0"/>
        <w:bidi w:val="0"/>
        <w:adjustRightInd w:val="0"/>
        <w:snapToGrid w:val="0"/>
        <w:spacing w:line="360" w:lineRule="auto"/>
        <w:ind w:left="467"/>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rPr>
        <w:t>2．工作任务</w:t>
      </w:r>
    </w:p>
    <w:p w14:paraId="141BA679">
      <w:pPr>
        <w:keepNext w:val="0"/>
        <w:keepLines w:val="0"/>
        <w:pageBreakBefore w:val="0"/>
        <w:widowControl w:val="0"/>
        <w:kinsoku w:val="0"/>
        <w:wordWrap/>
        <w:overflowPunct/>
        <w:topLinePunct w:val="0"/>
        <w:autoSpaceDE w:val="0"/>
        <w:autoSpaceDN w:val="0"/>
        <w:bidi w:val="0"/>
        <w:adjustRightInd w:val="0"/>
        <w:snapToGrid w:val="0"/>
        <w:spacing w:line="360" w:lineRule="auto"/>
        <w:ind w:left="8" w:right="4" w:firstLine="473"/>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本项目的任务为对</w:t>
      </w:r>
      <w:r>
        <w:rPr>
          <w:rFonts w:hint="eastAsia" w:ascii="宋体" w:hAnsi="宋体" w:eastAsia="宋体" w:cs="宋体"/>
          <w:color w:val="auto"/>
          <w:spacing w:val="0"/>
          <w:w w:val="100"/>
          <w:position w:val="0"/>
          <w:sz w:val="24"/>
          <w:szCs w:val="24"/>
          <w:highlight w:val="none"/>
          <w:lang w:eastAsia="zh-CN"/>
        </w:rPr>
        <w:t>赣州市</w:t>
      </w:r>
      <w:r>
        <w:rPr>
          <w:rFonts w:hint="eastAsia" w:ascii="宋体" w:hAnsi="宋体" w:eastAsia="宋体" w:cs="宋体"/>
          <w:color w:val="auto"/>
          <w:spacing w:val="0"/>
          <w:w w:val="100"/>
          <w:position w:val="0"/>
          <w:sz w:val="24"/>
          <w:szCs w:val="24"/>
          <w:highlight w:val="none"/>
        </w:rPr>
        <w:t>已建成的206处自动化监测预警点进行运行维护，主要任务如下：</w:t>
      </w:r>
    </w:p>
    <w:p w14:paraId="016D1D76">
      <w:pPr>
        <w:keepNext w:val="0"/>
        <w:keepLines w:val="0"/>
        <w:pageBreakBefore w:val="0"/>
        <w:widowControl w:val="0"/>
        <w:kinsoku w:val="0"/>
        <w:wordWrap/>
        <w:overflowPunct/>
        <w:topLinePunct w:val="0"/>
        <w:autoSpaceDE w:val="0"/>
        <w:autoSpaceDN w:val="0"/>
        <w:bidi w:val="0"/>
        <w:adjustRightInd w:val="0"/>
        <w:snapToGrid w:val="0"/>
        <w:spacing w:line="360" w:lineRule="auto"/>
        <w:ind w:left="10" w:right="126" w:firstLine="477"/>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1）开展监测预警仪器运行维护，包括监测环境维护、监测设备维护与更换、监测点日常巡检。</w:t>
      </w:r>
    </w:p>
    <w:p w14:paraId="680D75D1">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2）开展监测数据分析、预警信息处置及响应。</w:t>
      </w:r>
    </w:p>
    <w:p w14:paraId="08EBD032">
      <w:pPr>
        <w:keepNext w:val="0"/>
        <w:keepLines w:val="0"/>
        <w:pageBreakBefore w:val="0"/>
        <w:widowControl w:val="0"/>
        <w:kinsoku w:val="0"/>
        <w:wordWrap/>
        <w:overflowPunct/>
        <w:topLinePunct w:val="0"/>
        <w:autoSpaceDE w:val="0"/>
        <w:autoSpaceDN w:val="0"/>
        <w:bidi w:val="0"/>
        <w:adjustRightInd w:val="0"/>
        <w:snapToGrid w:val="0"/>
        <w:spacing w:line="360" w:lineRule="auto"/>
        <w:ind w:left="12" w:right="169" w:firstLine="475"/>
        <w:jc w:val="both"/>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3）开展监测预警工作评估总结。包括有效预警复盘分析与评估，监测预警点评估及管理，编制运维月报及年报。</w:t>
      </w:r>
    </w:p>
    <w:p w14:paraId="5E3907F8">
      <w:pPr>
        <w:keepNext w:val="0"/>
        <w:keepLines w:val="0"/>
        <w:pageBreakBefore w:val="0"/>
        <w:widowControl w:val="0"/>
        <w:kinsoku w:val="0"/>
        <w:wordWrap/>
        <w:overflowPunct/>
        <w:topLinePunct w:val="0"/>
        <w:autoSpaceDE w:val="0"/>
        <w:autoSpaceDN w:val="0"/>
        <w:bidi w:val="0"/>
        <w:adjustRightInd w:val="0"/>
        <w:snapToGrid w:val="0"/>
        <w:spacing w:line="360" w:lineRule="auto"/>
        <w:ind w:left="469"/>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rPr>
        <w:t>3．工作要求</w:t>
      </w:r>
    </w:p>
    <w:p w14:paraId="3DC5061F">
      <w:pPr>
        <w:keepNext w:val="0"/>
        <w:keepLines w:val="0"/>
        <w:pageBreakBefore w:val="0"/>
        <w:widowControl w:val="0"/>
        <w:kinsoku w:val="0"/>
        <w:wordWrap/>
        <w:overflowPunct/>
        <w:topLinePunct w:val="0"/>
        <w:autoSpaceDE w:val="0"/>
        <w:autoSpaceDN w:val="0"/>
        <w:bidi w:val="0"/>
        <w:adjustRightInd w:val="0"/>
        <w:snapToGrid w:val="0"/>
        <w:spacing w:line="360" w:lineRule="auto"/>
        <w:ind w:left="9" w:right="44" w:firstLine="468"/>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监测点运行维护工作应满足《江西省地质灾害自动化监测预警点管理暂行办法》《江西省地质灾害自动化监测预警运行维护技术要求》《地质灾害自动化仪器监测预警规范</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DZ/T0460-2023）》等管理办法、技术标准及《</w:t>
      </w:r>
      <w:r>
        <w:rPr>
          <w:rFonts w:hint="eastAsia" w:ascii="宋体" w:hAnsi="宋体" w:eastAsia="宋体" w:cs="宋体"/>
          <w:color w:val="auto"/>
          <w:spacing w:val="0"/>
          <w:w w:val="100"/>
          <w:position w:val="0"/>
          <w:sz w:val="24"/>
          <w:szCs w:val="24"/>
          <w:highlight w:val="none"/>
          <w:lang w:eastAsia="zh-CN"/>
        </w:rPr>
        <w:t>赣州市</w:t>
      </w:r>
      <w:r>
        <w:rPr>
          <w:rFonts w:hint="eastAsia" w:ascii="宋体" w:hAnsi="宋体" w:eastAsia="宋体" w:cs="宋体"/>
          <w:color w:val="auto"/>
          <w:spacing w:val="0"/>
          <w:w w:val="100"/>
          <w:position w:val="0"/>
          <w:sz w:val="24"/>
          <w:szCs w:val="24"/>
          <w:highlight w:val="none"/>
        </w:rPr>
        <w:t>地质灾害自动化监测预警点运行维护</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2026-2028年度）实施方案》有关规定，各项工作主要要求如下：</w:t>
      </w:r>
    </w:p>
    <w:p w14:paraId="230820BF">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1）监测点巡查及设备维护</w:t>
      </w:r>
    </w:p>
    <w:p w14:paraId="103DA301">
      <w:pPr>
        <w:keepNext w:val="0"/>
        <w:keepLines w:val="0"/>
        <w:pageBreakBefore w:val="0"/>
        <w:widowControl w:val="0"/>
        <w:kinsoku w:val="0"/>
        <w:wordWrap/>
        <w:overflowPunct/>
        <w:topLinePunct w:val="0"/>
        <w:autoSpaceDE w:val="0"/>
        <w:autoSpaceDN w:val="0"/>
        <w:bidi w:val="0"/>
        <w:adjustRightInd w:val="0"/>
        <w:snapToGrid w:val="0"/>
        <w:spacing w:line="360" w:lineRule="auto"/>
        <w:ind w:left="8" w:right="61" w:firstLine="480"/>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①每年入汛前1个月应当对所有监测点进行一次全面检查和维护，主汛期应当每月对监测点进行一次巡检，其他时段应当每季度巡检一次。巡检内容应包括监测环境巡查、监测设备巡查、隐患点巡查，巡查过程中应在监测预警平台在线填写巡检记录。</w:t>
      </w:r>
    </w:p>
    <w:p w14:paraId="1AA66191">
      <w:pPr>
        <w:keepNext w:val="0"/>
        <w:keepLines w:val="0"/>
        <w:pageBreakBefore w:val="0"/>
        <w:widowControl w:val="0"/>
        <w:kinsoku w:val="0"/>
        <w:wordWrap/>
        <w:overflowPunct/>
        <w:topLinePunct w:val="0"/>
        <w:autoSpaceDE w:val="0"/>
        <w:autoSpaceDN w:val="0"/>
        <w:bidi w:val="0"/>
        <w:adjustRightInd w:val="0"/>
        <w:snapToGrid w:val="0"/>
        <w:spacing w:line="360" w:lineRule="auto"/>
        <w:ind w:left="8" w:right="181" w:firstLine="479"/>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②除外力干扰和特殊情况</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平台升级维护、网络故障）外，设备在线率应达95%以上；传感器离线最长周期不得超过7天，其中高风险监测预警点设备离线时长不得超过2天。</w:t>
      </w:r>
    </w:p>
    <w:p w14:paraId="0CE48A74">
      <w:pPr>
        <w:keepNext w:val="0"/>
        <w:keepLines w:val="0"/>
        <w:pageBreakBefore w:val="0"/>
        <w:widowControl w:val="0"/>
        <w:kinsoku w:val="0"/>
        <w:wordWrap/>
        <w:overflowPunct/>
        <w:topLinePunct w:val="0"/>
        <w:autoSpaceDE w:val="0"/>
        <w:autoSpaceDN w:val="0"/>
        <w:bidi w:val="0"/>
        <w:adjustRightInd w:val="0"/>
        <w:snapToGrid w:val="0"/>
        <w:spacing w:line="360" w:lineRule="auto"/>
        <w:ind w:left="8" w:firstLine="479"/>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③工作期内出现数据异常的监测预警仪器，须在发现异常后48小时内响应，采取相应措施及时排除异常。监测预警仪器现场维护时应在监测预警平台临时关闭预警功能，防止误报，待故障排除后恢复。</w:t>
      </w:r>
    </w:p>
    <w:p w14:paraId="2F9F8540">
      <w:pPr>
        <w:keepNext w:val="0"/>
        <w:keepLines w:val="0"/>
        <w:pageBreakBefore w:val="0"/>
        <w:widowControl w:val="0"/>
        <w:kinsoku w:val="0"/>
        <w:wordWrap/>
        <w:overflowPunct/>
        <w:topLinePunct w:val="0"/>
        <w:autoSpaceDE w:val="0"/>
        <w:autoSpaceDN w:val="0"/>
        <w:bidi w:val="0"/>
        <w:adjustRightInd w:val="0"/>
        <w:snapToGrid w:val="0"/>
        <w:spacing w:line="360" w:lineRule="auto"/>
        <w:ind w:left="9" w:right="61" w:firstLine="478"/>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④监测预警仪器硬件损坏或在1个月内连续发生3次以上</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含3次）故障，应更换使用新的同型号或者性能不低于原型号的替代产品，并在平台中更新设备信息及预警模型配置信息，以保障自动化监测点正常使用能力。</w:t>
      </w:r>
    </w:p>
    <w:p w14:paraId="5D4FFFDD">
      <w:pPr>
        <w:keepNext w:val="0"/>
        <w:keepLines w:val="0"/>
        <w:pageBreakBefore w:val="0"/>
        <w:widowControl w:val="0"/>
        <w:kinsoku w:val="0"/>
        <w:wordWrap/>
        <w:overflowPunct/>
        <w:topLinePunct w:val="0"/>
        <w:autoSpaceDE w:val="0"/>
        <w:autoSpaceDN w:val="0"/>
        <w:bidi w:val="0"/>
        <w:adjustRightInd w:val="0"/>
        <w:snapToGrid w:val="0"/>
        <w:spacing w:line="360" w:lineRule="auto"/>
        <w:ind w:left="10" w:right="173" w:firstLine="477"/>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⑤对易损易耗部件及重点设备按照3%-5%的要求，建立备件库。并严控备件质量，确保其符合相关技术要求和性能标准。</w:t>
      </w:r>
    </w:p>
    <w:p w14:paraId="30662D74">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2）监测数据分析、预警信息进行处置及响应。</w:t>
      </w:r>
    </w:p>
    <w:p w14:paraId="6A96F517">
      <w:pPr>
        <w:keepNext w:val="0"/>
        <w:keepLines w:val="0"/>
        <w:pageBreakBefore w:val="0"/>
        <w:widowControl w:val="0"/>
        <w:kinsoku w:val="0"/>
        <w:wordWrap/>
        <w:overflowPunct/>
        <w:topLinePunct w:val="0"/>
        <w:autoSpaceDE w:val="0"/>
        <w:autoSpaceDN w:val="0"/>
        <w:bidi w:val="0"/>
        <w:adjustRightInd w:val="0"/>
        <w:snapToGrid w:val="0"/>
        <w:spacing w:line="360" w:lineRule="auto"/>
        <w:ind w:left="13" w:right="156" w:firstLine="462"/>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①落实专业技术人员对监测数据进行实时分析，及时剔除冗余、异常数据，消除仪器故障及外物造成的干扰，加强对监测曲线分析，科学研判隐患体变形迹象及变化趋势，及时发出预警信息。</w:t>
      </w:r>
    </w:p>
    <w:p w14:paraId="729745F6">
      <w:pPr>
        <w:keepNext w:val="0"/>
        <w:keepLines w:val="0"/>
        <w:pageBreakBefore w:val="0"/>
        <w:widowControl w:val="0"/>
        <w:kinsoku w:val="0"/>
        <w:wordWrap/>
        <w:overflowPunct/>
        <w:topLinePunct w:val="0"/>
        <w:autoSpaceDE w:val="0"/>
        <w:autoSpaceDN w:val="0"/>
        <w:bidi w:val="0"/>
        <w:adjustRightInd w:val="0"/>
        <w:snapToGrid w:val="0"/>
        <w:spacing w:line="360" w:lineRule="auto"/>
        <w:ind w:left="29" w:right="163" w:firstLine="445"/>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②在主汛期及强降雨期间落实技术人员开展24小时值班，对自动化监测点发出的预警信息及时进行处置。</w:t>
      </w:r>
    </w:p>
    <w:p w14:paraId="6BB0BC3B">
      <w:pPr>
        <w:keepNext w:val="0"/>
        <w:keepLines w:val="0"/>
        <w:pageBreakBefore w:val="0"/>
        <w:widowControl w:val="0"/>
        <w:kinsoku w:val="0"/>
        <w:wordWrap/>
        <w:overflowPunct/>
        <w:topLinePunct w:val="0"/>
        <w:autoSpaceDE w:val="0"/>
        <w:autoSpaceDN w:val="0"/>
        <w:bidi w:val="0"/>
        <w:adjustRightInd w:val="0"/>
        <w:snapToGrid w:val="0"/>
        <w:spacing w:line="360" w:lineRule="auto"/>
        <w:ind w:left="11" w:right="178" w:firstLine="475"/>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③平台预警信息发出后，运维单位值班技术人员应立即对监测数据进行综合分析处理，排除虚警，并根据预警级别适当加密监测数据采集和传输频次。</w:t>
      </w:r>
    </w:p>
    <w:p w14:paraId="752F0374">
      <w:pPr>
        <w:keepNext w:val="0"/>
        <w:keepLines w:val="0"/>
        <w:pageBreakBefore w:val="0"/>
        <w:widowControl w:val="0"/>
        <w:kinsoku w:val="0"/>
        <w:wordWrap/>
        <w:overflowPunct/>
        <w:topLinePunct w:val="0"/>
        <w:autoSpaceDE w:val="0"/>
        <w:autoSpaceDN w:val="0"/>
        <w:bidi w:val="0"/>
        <w:adjustRightInd w:val="0"/>
        <w:snapToGrid w:val="0"/>
        <w:spacing w:line="360" w:lineRule="auto"/>
        <w:ind w:left="9" w:right="178" w:firstLine="478"/>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④对触发蓝色预警、黄色预警</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雨量、含水率单参数触发的除外）的监测预警点，应在6小时内联系群测群防员进行现场复核，并根据群测群防员复核结果研判是否组织专业技术人员开展现场核查；对触发橙色预警、红色预警</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雨量、含水率单参数触发的除外）的监测预警点，应立即联系群测群防员进行现场复核，并在</w:t>
      </w:r>
      <w:r>
        <w:rPr>
          <w:rFonts w:hint="eastAsia" w:ascii="宋体" w:hAnsi="宋体" w:eastAsia="宋体" w:cs="宋体"/>
          <w:color w:val="auto"/>
          <w:spacing w:val="0"/>
          <w:w w:val="100"/>
          <w:position w:val="0"/>
          <w:sz w:val="24"/>
          <w:szCs w:val="24"/>
          <w:highlight w:val="none"/>
          <w:lang w:val="en-US" w:eastAsia="zh-CN"/>
        </w:rPr>
        <w:t>12</w:t>
      </w:r>
      <w:r>
        <w:rPr>
          <w:rFonts w:hint="eastAsia" w:ascii="宋体" w:hAnsi="宋体" w:eastAsia="宋体" w:cs="宋体"/>
          <w:color w:val="auto"/>
          <w:spacing w:val="0"/>
          <w:w w:val="100"/>
          <w:position w:val="0"/>
          <w:sz w:val="24"/>
          <w:szCs w:val="24"/>
          <w:highlight w:val="none"/>
        </w:rPr>
        <w:t>小时内组织专业技术人员开展现场核查。</w:t>
      </w:r>
    </w:p>
    <w:p w14:paraId="3B7D512C">
      <w:pPr>
        <w:keepNext w:val="0"/>
        <w:keepLines w:val="0"/>
        <w:pageBreakBefore w:val="0"/>
        <w:widowControl w:val="0"/>
        <w:kinsoku w:val="0"/>
        <w:wordWrap/>
        <w:overflowPunct/>
        <w:topLinePunct w:val="0"/>
        <w:autoSpaceDE w:val="0"/>
        <w:autoSpaceDN w:val="0"/>
        <w:bidi w:val="0"/>
        <w:adjustRightInd w:val="0"/>
        <w:snapToGrid w:val="0"/>
        <w:spacing w:line="360" w:lineRule="auto"/>
        <w:ind w:left="12" w:right="113" w:firstLine="462"/>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⑤核实为险情、灾情的，应立即上报当地县级自然资源主管部门，同时密切关注监测数据变化，并协同配合当地政府及自然资源主管部门开展临灾避险或应急处置。核实为虚警，应及时通知受威胁对象及相关防灾责任人警报解除，同时关闭现场报警装置。</w:t>
      </w:r>
    </w:p>
    <w:p w14:paraId="11D1ED50">
      <w:pPr>
        <w:keepNext w:val="0"/>
        <w:keepLines w:val="0"/>
        <w:pageBreakBefore w:val="0"/>
        <w:widowControl w:val="0"/>
        <w:kinsoku w:val="0"/>
        <w:wordWrap/>
        <w:overflowPunct/>
        <w:topLinePunct w:val="0"/>
        <w:autoSpaceDE w:val="0"/>
        <w:autoSpaceDN w:val="0"/>
        <w:bidi w:val="0"/>
        <w:adjustRightInd w:val="0"/>
        <w:snapToGrid w:val="0"/>
        <w:spacing w:line="360" w:lineRule="auto"/>
        <w:ind w:left="8" w:firstLine="467"/>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⑥在24小时内完成预警信息处置。对监测设备</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非雨量单参数）触发的红色、橙色预警处置须在系统平台上传现场核查照片，照片应反映隐患体现状、受威胁对象等重点区域，对发生灾、险情的还应补充受灾对象、采取的措施等照片，并说明相关情况；经核实确定为虚警后，应针对虚警设备、虚警原因进行全面分析，查明是否存在仪器故障、预警模型及阈值设置不合理或外物干扰的情况等，并针对性地开展运行维护工作。</w:t>
      </w:r>
    </w:p>
    <w:p w14:paraId="075A55C2">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3）监测预警工作总结评估</w:t>
      </w:r>
    </w:p>
    <w:p w14:paraId="0B5D4C37">
      <w:pPr>
        <w:keepNext w:val="0"/>
        <w:keepLines w:val="0"/>
        <w:pageBreakBefore w:val="0"/>
        <w:widowControl w:val="0"/>
        <w:kinsoku w:val="0"/>
        <w:wordWrap/>
        <w:overflowPunct/>
        <w:topLinePunct w:val="0"/>
        <w:autoSpaceDE w:val="0"/>
        <w:autoSpaceDN w:val="0"/>
        <w:bidi w:val="0"/>
        <w:adjustRightInd w:val="0"/>
        <w:snapToGrid w:val="0"/>
        <w:spacing w:line="360" w:lineRule="auto"/>
        <w:ind w:left="8" w:right="11" w:firstLine="468"/>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①对所有有效预警进行复盘分析，辅以必要现场调查或勘查，进一步查明孕灾地质环境条件、致灾因素、诱发因素，复盘灾害发生过程、预警响应及处置过程，分析不同仪器</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传感器）监测数据之间的关联性及其与地质要素的耦合关系，总结分析变形破坏机理，不断优化改进预警模型及预警响应机制。</w:t>
      </w:r>
    </w:p>
    <w:p w14:paraId="3DF72116">
      <w:pPr>
        <w:keepNext w:val="0"/>
        <w:keepLines w:val="0"/>
        <w:pageBreakBefore w:val="0"/>
        <w:widowControl w:val="0"/>
        <w:kinsoku w:val="0"/>
        <w:wordWrap/>
        <w:overflowPunct/>
        <w:topLinePunct w:val="0"/>
        <w:autoSpaceDE w:val="0"/>
        <w:autoSpaceDN w:val="0"/>
        <w:bidi w:val="0"/>
        <w:adjustRightInd w:val="0"/>
        <w:snapToGrid w:val="0"/>
        <w:spacing w:line="360" w:lineRule="auto"/>
        <w:ind w:left="475"/>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②每月5日之前，提交上一月度运行维护月报。</w:t>
      </w:r>
    </w:p>
    <w:p w14:paraId="245C4426">
      <w:pPr>
        <w:keepNext w:val="0"/>
        <w:keepLines w:val="0"/>
        <w:pageBreakBefore w:val="0"/>
        <w:widowControl w:val="0"/>
        <w:kinsoku w:val="0"/>
        <w:wordWrap/>
        <w:overflowPunct/>
        <w:topLinePunct w:val="0"/>
        <w:autoSpaceDE w:val="0"/>
        <w:autoSpaceDN w:val="0"/>
        <w:bidi w:val="0"/>
        <w:adjustRightInd w:val="0"/>
        <w:snapToGrid w:val="0"/>
        <w:spacing w:line="360" w:lineRule="auto"/>
        <w:ind w:left="487"/>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③202</w:t>
      </w:r>
      <w:r>
        <w:rPr>
          <w:rFonts w:hint="eastAsia" w:ascii="宋体" w:hAnsi="宋体" w:eastAsia="宋体" w:cs="宋体"/>
          <w:color w:val="auto"/>
          <w:spacing w:val="0"/>
          <w:w w:val="100"/>
          <w:position w:val="0"/>
          <w:sz w:val="24"/>
          <w:szCs w:val="24"/>
          <w:highlight w:val="none"/>
          <w:lang w:val="en-US" w:eastAsia="zh-CN"/>
        </w:rPr>
        <w:t>6</w:t>
      </w:r>
      <w:r>
        <w:rPr>
          <w:rFonts w:hint="eastAsia" w:ascii="宋体" w:hAnsi="宋体" w:eastAsia="宋体" w:cs="宋体"/>
          <w:color w:val="auto"/>
          <w:spacing w:val="0"/>
          <w:w w:val="100"/>
          <w:position w:val="0"/>
          <w:sz w:val="24"/>
          <w:szCs w:val="24"/>
          <w:highlight w:val="none"/>
        </w:rPr>
        <w:t>年10月25日前，提交年度运行维护报告。</w:t>
      </w:r>
    </w:p>
    <w:p w14:paraId="056DA605">
      <w:pPr>
        <w:keepNext w:val="0"/>
        <w:keepLines w:val="0"/>
        <w:pageBreakBefore w:val="0"/>
        <w:widowControl w:val="0"/>
        <w:kinsoku w:val="0"/>
        <w:wordWrap/>
        <w:overflowPunct/>
        <w:topLinePunct w:val="0"/>
        <w:autoSpaceDE w:val="0"/>
        <w:autoSpaceDN w:val="0"/>
        <w:bidi w:val="0"/>
        <w:adjustRightInd w:val="0"/>
        <w:snapToGrid w:val="0"/>
        <w:spacing w:line="360" w:lineRule="auto"/>
        <w:ind w:left="9" w:right="113" w:firstLine="461"/>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④202</w:t>
      </w:r>
      <w:r>
        <w:rPr>
          <w:rFonts w:hint="eastAsia" w:ascii="宋体" w:hAnsi="宋体" w:eastAsia="宋体" w:cs="宋体"/>
          <w:color w:val="auto"/>
          <w:spacing w:val="0"/>
          <w:w w:val="100"/>
          <w:position w:val="0"/>
          <w:sz w:val="24"/>
          <w:szCs w:val="24"/>
          <w:highlight w:val="none"/>
          <w:lang w:val="en-US" w:eastAsia="zh-CN"/>
        </w:rPr>
        <w:t>6</w:t>
      </w:r>
      <w:r>
        <w:rPr>
          <w:rFonts w:hint="eastAsia" w:ascii="宋体" w:hAnsi="宋体" w:eastAsia="宋体" w:cs="宋体"/>
          <w:color w:val="auto"/>
          <w:spacing w:val="0"/>
          <w:w w:val="100"/>
          <w:position w:val="0"/>
          <w:sz w:val="24"/>
          <w:szCs w:val="24"/>
          <w:highlight w:val="none"/>
        </w:rPr>
        <w:t>年</w:t>
      </w:r>
      <w:r>
        <w:rPr>
          <w:rFonts w:hint="eastAsia" w:ascii="宋体" w:hAnsi="宋体" w:eastAsia="宋体" w:cs="宋体"/>
          <w:color w:val="auto"/>
          <w:spacing w:val="0"/>
          <w:w w:val="100"/>
          <w:position w:val="0"/>
          <w:sz w:val="24"/>
          <w:szCs w:val="24"/>
          <w:highlight w:val="none"/>
          <w:lang w:val="en-US" w:eastAsia="zh-CN"/>
        </w:rPr>
        <w:t>12</w:t>
      </w:r>
      <w:r>
        <w:rPr>
          <w:rFonts w:hint="eastAsia" w:ascii="宋体" w:hAnsi="宋体" w:eastAsia="宋体" w:cs="宋体"/>
          <w:color w:val="auto"/>
          <w:spacing w:val="0"/>
          <w:w w:val="100"/>
          <w:position w:val="0"/>
          <w:sz w:val="24"/>
          <w:szCs w:val="24"/>
          <w:highlight w:val="none"/>
        </w:rPr>
        <w:t>月底前，对所承担的自动化监测点开展一次全面评估，确定需继续开展运行维护监测点，并协助</w:t>
      </w:r>
      <w:r>
        <w:rPr>
          <w:rFonts w:hint="eastAsia" w:ascii="宋体" w:hAnsi="宋体" w:eastAsia="宋体" w:cs="宋体"/>
          <w:color w:val="auto"/>
          <w:spacing w:val="0"/>
          <w:w w:val="100"/>
          <w:position w:val="0"/>
          <w:sz w:val="24"/>
          <w:szCs w:val="24"/>
          <w:highlight w:val="none"/>
          <w:lang w:eastAsia="zh-CN"/>
        </w:rPr>
        <w:t>赣州市</w:t>
      </w:r>
      <w:r>
        <w:rPr>
          <w:rFonts w:hint="eastAsia" w:ascii="宋体" w:hAnsi="宋体" w:eastAsia="宋体" w:cs="宋体"/>
          <w:color w:val="auto"/>
          <w:spacing w:val="0"/>
          <w:w w:val="100"/>
          <w:position w:val="0"/>
          <w:sz w:val="24"/>
          <w:szCs w:val="24"/>
          <w:highlight w:val="none"/>
        </w:rPr>
        <w:t>自然资源局编制下一阶段运维维护可行性研究报告及实施方案。</w:t>
      </w:r>
    </w:p>
    <w:p w14:paraId="0480FCE6">
      <w:pPr>
        <w:keepNext w:val="0"/>
        <w:keepLines w:val="0"/>
        <w:pageBreakBefore w:val="0"/>
        <w:widowControl w:val="0"/>
        <w:kinsoku w:val="0"/>
        <w:wordWrap/>
        <w:overflowPunct/>
        <w:topLinePunct w:val="0"/>
        <w:autoSpaceDE w:val="0"/>
        <w:autoSpaceDN w:val="0"/>
        <w:bidi w:val="0"/>
        <w:adjustRightInd w:val="0"/>
        <w:snapToGrid w:val="0"/>
        <w:spacing w:line="360" w:lineRule="auto"/>
        <w:ind w:left="470"/>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⑤配合市、县自然资源管理部门做好自动化监测预警点动态管理工作。</w:t>
      </w:r>
    </w:p>
    <w:p w14:paraId="5D848A61">
      <w:pPr>
        <w:keepNext w:val="0"/>
        <w:keepLines w:val="0"/>
        <w:pageBreakBefore w:val="0"/>
        <w:widowControl w:val="0"/>
        <w:kinsoku w:val="0"/>
        <w:wordWrap/>
        <w:overflowPunct/>
        <w:topLinePunct w:val="0"/>
        <w:autoSpaceDE w:val="0"/>
        <w:autoSpaceDN w:val="0"/>
        <w:bidi w:val="0"/>
        <w:adjustRightInd w:val="0"/>
        <w:snapToGrid w:val="0"/>
        <w:spacing w:line="360" w:lineRule="auto"/>
        <w:ind w:left="483"/>
        <w:jc w:val="both"/>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b/>
          <w:bCs/>
          <w:color w:val="auto"/>
          <w:spacing w:val="0"/>
          <w:w w:val="100"/>
          <w:position w:val="0"/>
          <w:sz w:val="24"/>
          <w:szCs w:val="24"/>
          <w:highlight w:val="none"/>
          <w:lang w:val="en-US" w:eastAsia="zh-CN"/>
        </w:rPr>
        <w:t>4</w:t>
      </w:r>
      <w:r>
        <w:rPr>
          <w:rFonts w:hint="eastAsia" w:ascii="宋体" w:hAnsi="宋体" w:eastAsia="宋体" w:cs="宋体"/>
          <w:b/>
          <w:bCs/>
          <w:color w:val="auto"/>
          <w:spacing w:val="0"/>
          <w:w w:val="100"/>
          <w:position w:val="0"/>
          <w:sz w:val="24"/>
          <w:szCs w:val="24"/>
          <w:highlight w:val="none"/>
        </w:rPr>
        <w:t>．</w:t>
      </w:r>
      <w:r>
        <w:rPr>
          <w:rFonts w:hint="eastAsia" w:ascii="宋体" w:hAnsi="宋体" w:eastAsia="宋体" w:cs="宋体"/>
          <w:b/>
          <w:bCs/>
          <w:color w:val="auto"/>
          <w:spacing w:val="0"/>
          <w:w w:val="100"/>
          <w:position w:val="0"/>
          <w:sz w:val="24"/>
          <w:szCs w:val="24"/>
          <w:highlight w:val="none"/>
          <w:lang w:val="en-US" w:eastAsia="zh-CN"/>
        </w:rPr>
        <w:t>人员要求：</w:t>
      </w:r>
    </w:p>
    <w:p w14:paraId="70DD9704">
      <w:pPr>
        <w:keepNext w:val="0"/>
        <w:keepLines w:val="0"/>
        <w:pageBreakBefore w:val="0"/>
        <w:widowControl w:val="0"/>
        <w:kinsoku w:val="0"/>
        <w:wordWrap/>
        <w:overflowPunct/>
        <w:topLinePunct w:val="0"/>
        <w:autoSpaceDE/>
        <w:autoSpaceDN/>
        <w:bidi w:val="0"/>
        <w:adjustRightInd w:val="0"/>
        <w:snapToGrid w:val="0"/>
        <w:spacing w:line="360" w:lineRule="auto"/>
        <w:ind w:left="0" w:firstLine="480" w:firstLineChars="200"/>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 xml:space="preserve">4.1为保障工作质量和进度，要求投入本项目实施人员，其中： </w:t>
      </w:r>
    </w:p>
    <w:p w14:paraId="07168137">
      <w:pPr>
        <w:keepNext w:val="0"/>
        <w:keepLines w:val="0"/>
        <w:pageBreakBefore w:val="0"/>
        <w:widowControl w:val="0"/>
        <w:kinsoku w:val="0"/>
        <w:wordWrap/>
        <w:overflowPunct/>
        <w:topLinePunct w:val="0"/>
        <w:autoSpaceDE/>
        <w:autoSpaceDN/>
        <w:bidi w:val="0"/>
        <w:adjustRightInd w:val="0"/>
        <w:snapToGrid w:val="0"/>
        <w:spacing w:line="360" w:lineRule="auto"/>
        <w:ind w:left="0"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①项目负责人1人，具有</w:t>
      </w:r>
      <w:r>
        <w:rPr>
          <w:rFonts w:hint="eastAsia" w:ascii="宋体" w:hAnsi="宋体" w:eastAsia="宋体" w:cs="宋体"/>
          <w:color w:val="auto"/>
          <w:spacing w:val="0"/>
          <w:w w:val="100"/>
          <w:position w:val="0"/>
          <w:sz w:val="24"/>
          <w:szCs w:val="24"/>
          <w:highlight w:val="none"/>
        </w:rPr>
        <w:t>水工环</w:t>
      </w:r>
      <w:r>
        <w:rPr>
          <w:rFonts w:hint="eastAsia" w:ascii="宋体" w:hAnsi="宋体" w:eastAsia="宋体" w:cs="宋体"/>
          <w:color w:val="auto"/>
          <w:spacing w:val="0"/>
          <w:w w:val="100"/>
          <w:position w:val="0"/>
          <w:sz w:val="24"/>
          <w:szCs w:val="24"/>
          <w:highlight w:val="none"/>
          <w:lang w:val="en-US" w:eastAsia="zh-CN"/>
        </w:rPr>
        <w:t>或岩土工程专业中级及以上工程师职称，全面统筹项目的规划、组织、实施与管理，对项目的整体质量和进度负责；</w:t>
      </w:r>
    </w:p>
    <w:p w14:paraId="6EED457A">
      <w:pPr>
        <w:keepNext w:val="0"/>
        <w:keepLines w:val="0"/>
        <w:pageBreakBefore w:val="0"/>
        <w:widowControl w:val="0"/>
        <w:kinsoku w:val="0"/>
        <w:wordWrap/>
        <w:overflowPunct/>
        <w:topLinePunct w:val="0"/>
        <w:autoSpaceDE/>
        <w:autoSpaceDN/>
        <w:bidi w:val="0"/>
        <w:adjustRightInd w:val="0"/>
        <w:snapToGrid w:val="0"/>
        <w:spacing w:line="360" w:lineRule="auto"/>
        <w:ind w:left="0" w:firstLine="480" w:firstLineChars="200"/>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②技术负责人1人，与项目负责人不能为同一人，具有水工环或岩土工程专业高级及以上工程师职称，全面负责项目实施过程中的技术质量和项目进度；</w:t>
      </w:r>
    </w:p>
    <w:p w14:paraId="5026E969">
      <w:pPr>
        <w:keepNext w:val="0"/>
        <w:keepLines w:val="0"/>
        <w:pageBreakBefore w:val="0"/>
        <w:widowControl w:val="0"/>
        <w:kinsoku w:val="0"/>
        <w:wordWrap/>
        <w:overflowPunct/>
        <w:topLinePunct w:val="0"/>
        <w:autoSpaceDE/>
        <w:autoSpaceDN/>
        <w:bidi w:val="0"/>
        <w:adjustRightInd w:val="0"/>
        <w:snapToGrid w:val="0"/>
        <w:spacing w:line="360" w:lineRule="auto"/>
        <w:ind w:left="0"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③</w:t>
      </w:r>
      <w:r>
        <w:rPr>
          <w:rFonts w:hint="eastAsia" w:ascii="宋体" w:hAnsi="宋体" w:eastAsia="宋体" w:cs="宋体"/>
          <w:snapToGrid w:val="0"/>
          <w:color w:val="auto"/>
          <w:spacing w:val="0"/>
          <w:w w:val="100"/>
          <w:position w:val="0"/>
          <w:sz w:val="24"/>
          <w:szCs w:val="24"/>
          <w:highlight w:val="none"/>
          <w:lang w:val="en-US" w:eastAsia="zh-CN" w:bidi="ar-SA"/>
        </w:rPr>
        <w:t>地灾监测预警响应负责人</w:t>
      </w:r>
      <w:r>
        <w:rPr>
          <w:rFonts w:hint="eastAsia" w:ascii="宋体" w:hAnsi="宋体" w:eastAsia="宋体" w:cs="宋体"/>
          <w:color w:val="auto"/>
          <w:spacing w:val="0"/>
          <w:w w:val="100"/>
          <w:position w:val="0"/>
          <w:sz w:val="24"/>
          <w:szCs w:val="24"/>
          <w:highlight w:val="none"/>
          <w:lang w:val="en-US" w:eastAsia="zh-CN"/>
        </w:rPr>
        <w:t>1人，与项目负责人、技术负责人不能为同一人，具有</w:t>
      </w:r>
      <w:r>
        <w:rPr>
          <w:rFonts w:hint="default" w:ascii="宋体" w:hAnsi="宋体" w:eastAsia="宋体" w:cs="宋体"/>
          <w:color w:val="auto"/>
          <w:spacing w:val="0"/>
          <w:w w:val="100"/>
          <w:position w:val="0"/>
          <w:sz w:val="24"/>
          <w:szCs w:val="24"/>
          <w:highlight w:val="none"/>
          <w:lang w:val="en-US" w:eastAsia="zh-CN"/>
        </w:rPr>
        <w:t>水工环或岩土工程</w:t>
      </w:r>
      <w:r>
        <w:rPr>
          <w:rFonts w:hint="eastAsia" w:ascii="宋体" w:hAnsi="宋体" w:eastAsia="宋体" w:cs="宋体"/>
          <w:color w:val="auto"/>
          <w:spacing w:val="0"/>
          <w:w w:val="100"/>
          <w:position w:val="0"/>
          <w:sz w:val="24"/>
          <w:szCs w:val="24"/>
          <w:highlight w:val="none"/>
          <w:lang w:val="en-US" w:eastAsia="zh-CN"/>
        </w:rPr>
        <w:t xml:space="preserve">专业中级及以上工程师职称，主要负责通过遥感解译、地形测绘、地质调查等手段对地质灾害监测点调查与巡查，全面掌握地质灾害监测点灾害现状和发展趋势等；并负责监测预警点设备运维、预警响应及处置、监测信息系统管理等工作； </w:t>
      </w:r>
    </w:p>
    <w:p w14:paraId="7E409BAB">
      <w:pPr>
        <w:keepNext w:val="0"/>
        <w:keepLines w:val="0"/>
        <w:pageBreakBefore w:val="0"/>
        <w:widowControl w:val="0"/>
        <w:kinsoku w:val="0"/>
        <w:wordWrap/>
        <w:overflowPunct/>
        <w:topLinePunct w:val="0"/>
        <w:autoSpaceDE/>
        <w:autoSpaceDN/>
        <w:bidi w:val="0"/>
        <w:adjustRightInd w:val="0"/>
        <w:snapToGrid w:val="0"/>
        <w:spacing w:line="360" w:lineRule="auto"/>
        <w:ind w:left="0" w:firstLine="482" w:firstLineChars="200"/>
        <w:jc w:val="both"/>
        <w:textAlignment w:val="baseline"/>
        <w:rPr>
          <w:rFonts w:hint="eastAsia" w:ascii="宋体" w:hAnsi="宋体" w:eastAsia="宋体" w:cs="宋体"/>
          <w:b/>
          <w:bCs/>
          <w:color w:val="auto"/>
          <w:spacing w:val="0"/>
          <w:w w:val="100"/>
          <w:position w:val="0"/>
          <w:sz w:val="24"/>
          <w:szCs w:val="24"/>
          <w:highlight w:val="none"/>
          <w:lang w:val="en-US" w:eastAsia="zh-CN"/>
        </w:rPr>
      </w:pPr>
      <w:r>
        <w:rPr>
          <w:rFonts w:hint="eastAsia" w:ascii="宋体" w:hAnsi="宋体" w:eastAsia="宋体" w:cs="宋体"/>
          <w:b/>
          <w:bCs/>
          <w:color w:val="auto"/>
          <w:spacing w:val="0"/>
          <w:w w:val="100"/>
          <w:position w:val="0"/>
          <w:sz w:val="24"/>
          <w:szCs w:val="24"/>
          <w:highlight w:val="none"/>
          <w:lang w:val="en-US" w:eastAsia="zh-CN"/>
        </w:rPr>
        <w:t>（拟投入的人员必须为本单位人员，响应文件中需提供以上人员名单、身份证、联系号码、职称（注册）证书以及投标截止时间前6个月内投标单位为其缴纳的任意一个月的社保证明扫描件加盖公章。</w:t>
      </w:r>
      <w:r>
        <w:rPr>
          <w:rFonts w:hint="eastAsia" w:ascii="宋体" w:hAnsi="宋体" w:eastAsia="宋体" w:cs="宋体"/>
          <w:b/>
          <w:bCs/>
          <w:color w:val="auto"/>
          <w:spacing w:val="0"/>
          <w:w w:val="100"/>
          <w:position w:val="0"/>
          <w:sz w:val="24"/>
          <w:szCs w:val="24"/>
          <w:highlight w:val="none"/>
        </w:rPr>
        <w:t>未提供者将被视为无效响应。</w:t>
      </w:r>
      <w:r>
        <w:rPr>
          <w:rFonts w:hint="eastAsia" w:ascii="宋体" w:hAnsi="宋体" w:eastAsia="宋体" w:cs="宋体"/>
          <w:b/>
          <w:bCs/>
          <w:color w:val="auto"/>
          <w:spacing w:val="0"/>
          <w:w w:val="100"/>
          <w:position w:val="0"/>
          <w:sz w:val="24"/>
          <w:szCs w:val="24"/>
          <w:highlight w:val="none"/>
          <w:lang w:val="en-US" w:eastAsia="zh-CN"/>
        </w:rPr>
        <w:t>）</w:t>
      </w:r>
    </w:p>
    <w:p w14:paraId="69AE5FED">
      <w:pPr>
        <w:spacing w:line="323" w:lineRule="auto"/>
        <w:ind w:left="1" w:firstLine="484"/>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4.2</w:t>
      </w:r>
      <w:r>
        <w:rPr>
          <w:rFonts w:hint="eastAsia" w:ascii="宋体" w:hAnsi="宋体" w:eastAsia="宋体" w:cs="宋体"/>
          <w:color w:val="auto"/>
          <w:spacing w:val="0"/>
          <w:w w:val="100"/>
          <w:position w:val="0"/>
          <w:sz w:val="24"/>
          <w:szCs w:val="24"/>
          <w:highlight w:val="none"/>
        </w:rPr>
        <w:t>成交供应商应在领取成交通知书之日起15日内，在赣州市中心城区（章贡区、经开区、蓉江新区）设立固定服务场所（服务点），并安排不少于3名专职人员常驻服务，服务期内不得擅自撤销服务点或</w:t>
      </w:r>
      <w:r>
        <w:rPr>
          <w:rFonts w:hint="eastAsia" w:ascii="宋体" w:hAnsi="宋体" w:eastAsia="宋体" w:cs="宋体"/>
          <w:color w:val="auto"/>
          <w:spacing w:val="0"/>
          <w:w w:val="100"/>
          <w:position w:val="0"/>
          <w:sz w:val="24"/>
          <w:szCs w:val="24"/>
          <w:highlight w:val="none"/>
          <w:lang w:val="en-US" w:eastAsia="zh-CN"/>
        </w:rPr>
        <w:t>更换及</w:t>
      </w:r>
      <w:r>
        <w:rPr>
          <w:rFonts w:hint="eastAsia" w:ascii="宋体" w:hAnsi="宋体" w:eastAsia="宋体" w:cs="宋体"/>
          <w:color w:val="auto"/>
          <w:spacing w:val="0"/>
          <w:w w:val="100"/>
          <w:position w:val="0"/>
          <w:sz w:val="24"/>
          <w:szCs w:val="24"/>
          <w:highlight w:val="none"/>
        </w:rPr>
        <w:t>减少驻场人员。采购人将在服务点设立完成后30日内，对成交供应商设立的服务点进行现场考察，考察内容包括服务场所、驻场人员、办公条件等是否满足本项目服务要求，未通过考察的，采购人有权按照合同及相关规定追究其违约责任。</w:t>
      </w:r>
    </w:p>
    <w:p w14:paraId="04349B62">
      <w:pPr>
        <w:spacing w:line="323" w:lineRule="auto"/>
        <w:ind w:left="1" w:firstLine="484"/>
        <w:jc w:val="both"/>
        <w:rPr>
          <w:rFonts w:hint="eastAsia" w:ascii="宋体" w:hAnsi="宋体" w:eastAsia="宋体" w:cs="宋体"/>
          <w:b/>
          <w:bCs/>
          <w:color w:val="auto"/>
          <w:spacing w:val="0"/>
          <w:w w:val="100"/>
          <w:position w:val="0"/>
          <w:sz w:val="24"/>
          <w:szCs w:val="24"/>
          <w:highlight w:val="none"/>
          <w:lang w:eastAsia="zh-CN"/>
        </w:rPr>
      </w:pPr>
      <w:r>
        <w:rPr>
          <w:rFonts w:hint="eastAsia" w:ascii="宋体" w:hAnsi="宋体" w:eastAsia="宋体" w:cs="宋体"/>
          <w:b/>
          <w:bCs/>
          <w:color w:val="auto"/>
          <w:spacing w:val="0"/>
          <w:w w:val="100"/>
          <w:position w:val="0"/>
          <w:sz w:val="24"/>
          <w:szCs w:val="24"/>
          <w:highlight w:val="none"/>
          <w:lang w:eastAsia="zh-CN"/>
        </w:rPr>
        <w:t>（</w:t>
      </w:r>
      <w:r>
        <w:rPr>
          <w:rFonts w:hint="eastAsia" w:ascii="宋体" w:hAnsi="宋体" w:eastAsia="宋体" w:cs="宋体"/>
          <w:b/>
          <w:bCs/>
          <w:color w:val="auto"/>
          <w:spacing w:val="0"/>
          <w:w w:val="100"/>
          <w:position w:val="0"/>
          <w:sz w:val="24"/>
          <w:szCs w:val="24"/>
          <w:highlight w:val="none"/>
          <w:lang w:val="en-US" w:eastAsia="zh-CN"/>
        </w:rPr>
        <w:t>拟投入的人员必须为本单位人员，</w:t>
      </w:r>
      <w:r>
        <w:rPr>
          <w:rFonts w:hint="eastAsia" w:ascii="宋体" w:hAnsi="宋体" w:eastAsia="宋体" w:cs="宋体"/>
          <w:b/>
          <w:bCs/>
          <w:color w:val="auto"/>
          <w:spacing w:val="0"/>
          <w:w w:val="100"/>
          <w:position w:val="0"/>
          <w:sz w:val="24"/>
          <w:szCs w:val="24"/>
          <w:highlight w:val="none"/>
        </w:rPr>
        <w:t>响应文件中需提供承诺函</w:t>
      </w:r>
      <w:r>
        <w:rPr>
          <w:rFonts w:hint="eastAsia" w:ascii="宋体" w:hAnsi="宋体" w:eastAsia="宋体" w:cs="宋体"/>
          <w:b/>
          <w:bCs/>
          <w:color w:val="auto"/>
          <w:spacing w:val="0"/>
          <w:w w:val="100"/>
          <w:position w:val="0"/>
          <w:sz w:val="24"/>
          <w:szCs w:val="24"/>
          <w:highlight w:val="none"/>
          <w:lang w:eastAsia="zh-CN"/>
        </w:rPr>
        <w:t>、服务点地址、</w:t>
      </w:r>
      <w:r>
        <w:rPr>
          <w:rFonts w:hint="eastAsia" w:ascii="宋体" w:hAnsi="宋体" w:eastAsia="宋体" w:cs="宋体"/>
          <w:b/>
          <w:bCs/>
          <w:color w:val="auto"/>
          <w:spacing w:val="0"/>
          <w:w w:val="100"/>
          <w:position w:val="0"/>
          <w:sz w:val="24"/>
          <w:szCs w:val="24"/>
          <w:highlight w:val="none"/>
        </w:rPr>
        <w:t>联系方式及驻场人员名单等材料。未提供者将被视为无效响应。</w:t>
      </w:r>
      <w:r>
        <w:rPr>
          <w:rFonts w:hint="eastAsia" w:ascii="宋体" w:hAnsi="宋体" w:eastAsia="宋体" w:cs="宋体"/>
          <w:b/>
          <w:bCs/>
          <w:color w:val="auto"/>
          <w:spacing w:val="0"/>
          <w:w w:val="100"/>
          <w:position w:val="0"/>
          <w:sz w:val="24"/>
          <w:szCs w:val="24"/>
          <w:highlight w:val="none"/>
          <w:lang w:eastAsia="zh-CN"/>
        </w:rPr>
        <w:t>）</w:t>
      </w:r>
    </w:p>
    <w:p w14:paraId="01F2745E">
      <w:pPr>
        <w:keepNext w:val="0"/>
        <w:keepLines w:val="0"/>
        <w:pageBreakBefore w:val="0"/>
        <w:widowControl w:val="0"/>
        <w:kinsoku w:val="0"/>
        <w:wordWrap/>
        <w:overflowPunct/>
        <w:topLinePunct w:val="0"/>
        <w:autoSpaceDE w:val="0"/>
        <w:autoSpaceDN w:val="0"/>
        <w:bidi w:val="0"/>
        <w:adjustRightInd w:val="0"/>
        <w:snapToGrid w:val="0"/>
        <w:spacing w:line="360" w:lineRule="auto"/>
        <w:ind w:left="483"/>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lang w:val="en-US" w:eastAsia="zh-CN"/>
        </w:rPr>
        <w:t>5</w:t>
      </w:r>
      <w:r>
        <w:rPr>
          <w:rFonts w:hint="eastAsia" w:ascii="宋体" w:hAnsi="宋体" w:eastAsia="宋体" w:cs="宋体"/>
          <w:b/>
          <w:bCs/>
          <w:color w:val="auto"/>
          <w:spacing w:val="0"/>
          <w:w w:val="100"/>
          <w:position w:val="0"/>
          <w:sz w:val="24"/>
          <w:szCs w:val="24"/>
          <w:highlight w:val="none"/>
        </w:rPr>
        <w:t>．其他要求</w:t>
      </w:r>
    </w:p>
    <w:p w14:paraId="4C0992F5">
      <w:pPr>
        <w:keepNext w:val="0"/>
        <w:keepLines w:val="0"/>
        <w:pageBreakBefore w:val="0"/>
        <w:widowControl w:val="0"/>
        <w:kinsoku w:val="0"/>
        <w:wordWrap/>
        <w:overflowPunct/>
        <w:topLinePunct w:val="0"/>
        <w:autoSpaceDE w:val="0"/>
        <w:autoSpaceDN w:val="0"/>
        <w:bidi w:val="0"/>
        <w:adjustRightInd w:val="0"/>
        <w:snapToGrid w:val="0"/>
        <w:spacing w:line="360" w:lineRule="auto"/>
        <w:ind w:left="476"/>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①按要求完成所有GNSS设备单北斗改造等工作。</w:t>
      </w:r>
    </w:p>
    <w:p w14:paraId="7B8122D0">
      <w:pPr>
        <w:keepNext w:val="0"/>
        <w:keepLines w:val="0"/>
        <w:pageBreakBefore w:val="0"/>
        <w:widowControl w:val="0"/>
        <w:kinsoku w:val="0"/>
        <w:wordWrap/>
        <w:overflowPunct/>
        <w:topLinePunct w:val="0"/>
        <w:autoSpaceDE w:val="0"/>
        <w:autoSpaceDN w:val="0"/>
        <w:bidi w:val="0"/>
        <w:adjustRightInd w:val="0"/>
        <w:snapToGrid w:val="0"/>
        <w:spacing w:line="360" w:lineRule="auto"/>
        <w:ind w:left="8" w:right="154" w:firstLine="467"/>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②</w:t>
      </w:r>
      <w:r>
        <w:rPr>
          <w:rFonts w:hint="eastAsia" w:ascii="宋体" w:hAnsi="宋体" w:eastAsia="宋体" w:cs="宋体"/>
          <w:color w:val="auto"/>
          <w:spacing w:val="0"/>
          <w:w w:val="100"/>
          <w:position w:val="0"/>
          <w:sz w:val="24"/>
          <w:szCs w:val="24"/>
          <w:highlight w:val="none"/>
        </w:rPr>
        <w:t>运行维护期满，自动化监测点设备在线率不低于95%。若涉及运维单位交接的，原则上移交时间不超过1个月。交接包括文档交接、设备交接、监测预警平台IP账号注册及注销、监测预警平台监测点运维责任人变更等相关工作。文档交接应保证资料的完整性、准确性；设备交接应保证设备正常运行，在线率达标。新运行维护单位正常开展工作一月后，双方就交接过程确认无异议，完成交接。</w:t>
      </w:r>
    </w:p>
    <w:p w14:paraId="70E02462">
      <w:pPr>
        <w:keepNext w:val="0"/>
        <w:keepLines w:val="0"/>
        <w:pageBreakBefore w:val="0"/>
        <w:widowControl w:val="0"/>
        <w:kinsoku w:val="0"/>
        <w:wordWrap/>
        <w:overflowPunct/>
        <w:topLinePunct w:val="0"/>
        <w:autoSpaceDE w:val="0"/>
        <w:autoSpaceDN w:val="0"/>
        <w:bidi w:val="0"/>
        <w:adjustRightInd w:val="0"/>
        <w:snapToGrid w:val="0"/>
        <w:spacing w:line="360" w:lineRule="auto"/>
        <w:ind w:left="10" w:right="231" w:firstLine="460"/>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③</w:t>
      </w:r>
      <w:r>
        <w:rPr>
          <w:rFonts w:hint="eastAsia" w:ascii="宋体" w:hAnsi="宋体" w:eastAsia="宋体" w:cs="宋体"/>
          <w:color w:val="auto"/>
          <w:spacing w:val="0"/>
          <w:w w:val="100"/>
          <w:position w:val="0"/>
          <w:sz w:val="24"/>
          <w:szCs w:val="24"/>
          <w:highlight w:val="none"/>
        </w:rPr>
        <w:t>针对已完成治理的监测点，由中标供应商会同参建单位评估继续监测的必要性。若需继续开展监测的，由中标供应商编制单点监测方案设计报主管部门同意后利用原设备和库存旧设备继续开展监测。回收的监测设备和已在库的设备等由中标供应商负责管理。</w:t>
      </w:r>
    </w:p>
    <w:p w14:paraId="4DAC957A">
      <w:pPr>
        <w:keepNext w:val="0"/>
        <w:keepLines w:val="0"/>
        <w:pageBreakBefore w:val="0"/>
        <w:widowControl w:val="0"/>
        <w:kinsoku w:val="0"/>
        <w:wordWrap/>
        <w:overflowPunct/>
        <w:topLinePunct w:val="0"/>
        <w:autoSpaceDE w:val="0"/>
        <w:autoSpaceDN w:val="0"/>
        <w:bidi w:val="0"/>
        <w:adjustRightInd w:val="0"/>
        <w:snapToGrid w:val="0"/>
        <w:spacing w:line="360" w:lineRule="auto"/>
        <w:ind w:left="10" w:right="231" w:firstLine="460"/>
        <w:jc w:val="both"/>
        <w:textAlignment w:val="baseline"/>
        <w:rPr>
          <w:rFonts w:hint="default" w:ascii="宋体" w:hAnsi="宋体" w:eastAsia="宋体" w:cs="宋体"/>
          <w:color w:val="auto"/>
          <w:spacing w:val="0"/>
          <w:w w:val="100"/>
          <w:position w:val="0"/>
          <w:sz w:val="24"/>
          <w:szCs w:val="24"/>
          <w:highlight w:val="none"/>
          <w:lang w:val="en-US" w:eastAsia="zh-CN"/>
        </w:rPr>
      </w:pPr>
      <w:r>
        <w:rPr>
          <w:rFonts w:hint="default" w:ascii="宋体" w:hAnsi="宋体" w:eastAsia="宋体" w:cs="宋体"/>
          <w:color w:val="auto"/>
          <w:spacing w:val="0"/>
          <w:w w:val="100"/>
          <w:position w:val="0"/>
          <w:sz w:val="24"/>
          <w:szCs w:val="24"/>
          <w:highlight w:val="none"/>
          <w:lang w:val="en-US" w:eastAsia="zh-CN"/>
        </w:rPr>
        <w:t>④本项目不组织现场勘查，响应供应商需要勘查的请自行前往，所产生的费用由响应供应商自行承担。</w:t>
      </w:r>
    </w:p>
    <w:p w14:paraId="5728775A">
      <w:pPr>
        <w:keepNext w:val="0"/>
        <w:keepLines w:val="0"/>
        <w:pageBreakBefore w:val="0"/>
        <w:widowControl w:val="0"/>
        <w:kinsoku w:val="0"/>
        <w:wordWrap/>
        <w:overflowPunct/>
        <w:topLinePunct w:val="0"/>
        <w:autoSpaceDE w:val="0"/>
        <w:autoSpaceDN w:val="0"/>
        <w:bidi w:val="0"/>
        <w:adjustRightInd w:val="0"/>
        <w:snapToGrid w:val="0"/>
        <w:spacing w:line="360" w:lineRule="auto"/>
        <w:ind w:left="10" w:right="231" w:firstLine="46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default" w:ascii="宋体" w:hAnsi="宋体" w:eastAsia="宋体" w:cs="宋体"/>
          <w:color w:val="auto"/>
          <w:sz w:val="24"/>
          <w:szCs w:val="24"/>
          <w:highlight w:val="none"/>
        </w:rPr>
        <w:t>⑤</w:t>
      </w:r>
      <w:r>
        <w:rPr>
          <w:rFonts w:hint="default" w:ascii="宋体" w:hAnsi="宋体" w:eastAsia="宋体" w:cs="宋体"/>
          <w:color w:val="auto"/>
          <w:sz w:val="24"/>
          <w:szCs w:val="24"/>
          <w:highlight w:val="none"/>
          <w:lang w:val="en-US" w:eastAsia="zh-CN"/>
        </w:rPr>
        <w:t>成交</w:t>
      </w:r>
      <w:r>
        <w:rPr>
          <w:rFonts w:ascii="宋体" w:hAnsi="宋体" w:eastAsia="宋体" w:cs="宋体"/>
          <w:color w:val="auto"/>
          <w:sz w:val="24"/>
          <w:szCs w:val="24"/>
          <w:highlight w:val="none"/>
        </w:rPr>
        <w:t>供应商在本项目服务实施全过程中，须严格遵守《中华人民共和国保守国家秘密法》《地质资料管理条例》及地方自然资源部门保密管理相关规定。对项目涉及的地质灾害隐患点坐标、监测数据、点位分布图、区域地质资料、现场勘察信息、预警后台数据及招标人内部工作资料等全部涉密及敏感信息承担永久保密义务，未经招标人书面许可，不得向任何第三方泄露、复制、传播、转借或用于本项目以外任何用途。</w:t>
      </w:r>
    </w:p>
    <w:p w14:paraId="706BA41A">
      <w:pPr>
        <w:keepNext w:val="0"/>
        <w:keepLines w:val="0"/>
        <w:pageBreakBefore w:val="0"/>
        <w:widowControl w:val="0"/>
        <w:kinsoku w:val="0"/>
        <w:wordWrap/>
        <w:overflowPunct/>
        <w:topLinePunct w:val="0"/>
        <w:autoSpaceDE w:val="0"/>
        <w:autoSpaceDN w:val="0"/>
        <w:bidi w:val="0"/>
        <w:adjustRightInd w:val="0"/>
        <w:snapToGrid w:val="0"/>
        <w:spacing w:line="360" w:lineRule="auto"/>
        <w:ind w:left="10" w:right="231" w:firstLine="460"/>
        <w:jc w:val="both"/>
        <w:textAlignment w:val="baseline"/>
        <w:rPr>
          <w:rFonts w:hint="default" w:ascii="宋体" w:hAnsi="宋体" w:eastAsia="宋体" w:cs="宋体"/>
          <w:color w:val="auto"/>
          <w:spacing w:val="0"/>
          <w:w w:val="100"/>
          <w:position w:val="0"/>
          <w:sz w:val="24"/>
          <w:szCs w:val="24"/>
          <w:highlight w:val="none"/>
          <w:lang w:val="en-US" w:eastAsia="zh-CN"/>
        </w:rPr>
      </w:pPr>
    </w:p>
    <w:p w14:paraId="39FD44D2">
      <w:pPr>
        <w:keepNext w:val="0"/>
        <w:keepLines w:val="0"/>
        <w:pageBreakBefore w:val="0"/>
        <w:widowControl w:val="0"/>
        <w:kinsoku w:val="0"/>
        <w:wordWrap/>
        <w:overflowPunct/>
        <w:topLinePunct w:val="0"/>
        <w:autoSpaceDE w:val="0"/>
        <w:autoSpaceDN w:val="0"/>
        <w:bidi w:val="0"/>
        <w:adjustRightInd w:val="0"/>
        <w:snapToGrid w:val="0"/>
        <w:spacing w:line="360" w:lineRule="auto"/>
        <w:ind w:left="10" w:right="231" w:firstLine="460"/>
        <w:jc w:val="both"/>
        <w:textAlignment w:val="baseline"/>
        <w:rPr>
          <w:rFonts w:hint="eastAsia" w:ascii="宋体" w:hAnsi="宋体" w:eastAsia="宋体" w:cs="宋体"/>
          <w:color w:val="auto"/>
          <w:spacing w:val="0"/>
          <w:w w:val="100"/>
          <w:position w:val="0"/>
          <w:sz w:val="24"/>
          <w:szCs w:val="24"/>
          <w:highlight w:val="none"/>
        </w:rPr>
      </w:pPr>
    </w:p>
    <w:p w14:paraId="34F44ECF">
      <w:pPr>
        <w:keepNext w:val="0"/>
        <w:keepLines w:val="0"/>
        <w:pageBreakBefore w:val="0"/>
        <w:widowControl w:val="0"/>
        <w:kinsoku w:val="0"/>
        <w:wordWrap/>
        <w:overflowPunct/>
        <w:topLinePunct w:val="0"/>
        <w:autoSpaceDE w:val="0"/>
        <w:autoSpaceDN w:val="0"/>
        <w:bidi w:val="0"/>
        <w:adjustRightInd w:val="0"/>
        <w:snapToGrid w:val="0"/>
        <w:spacing w:line="360" w:lineRule="auto"/>
        <w:ind w:left="10" w:right="231" w:firstLine="460"/>
        <w:jc w:val="both"/>
        <w:textAlignment w:val="baseline"/>
        <w:rPr>
          <w:rFonts w:hint="eastAsia" w:ascii="宋体" w:hAnsi="宋体" w:eastAsia="宋体" w:cs="宋体"/>
          <w:color w:val="auto"/>
          <w:spacing w:val="0"/>
          <w:w w:val="100"/>
          <w:position w:val="0"/>
          <w:sz w:val="24"/>
          <w:szCs w:val="24"/>
          <w:highlight w:val="none"/>
        </w:rPr>
      </w:pPr>
    </w:p>
    <w:p w14:paraId="14A9A921">
      <w:pPr>
        <w:keepNext w:val="0"/>
        <w:keepLines w:val="0"/>
        <w:pageBreakBefore w:val="0"/>
        <w:widowControl w:val="0"/>
        <w:kinsoku w:val="0"/>
        <w:wordWrap/>
        <w:overflowPunct/>
        <w:topLinePunct w:val="0"/>
        <w:autoSpaceDE w:val="0"/>
        <w:autoSpaceDN w:val="0"/>
        <w:bidi w:val="0"/>
        <w:adjustRightInd w:val="0"/>
        <w:snapToGrid w:val="0"/>
        <w:spacing w:line="360" w:lineRule="auto"/>
        <w:ind w:left="10" w:right="231" w:firstLine="460"/>
        <w:jc w:val="both"/>
        <w:textAlignment w:val="baseline"/>
        <w:rPr>
          <w:rFonts w:hint="eastAsia" w:ascii="宋体" w:hAnsi="宋体" w:eastAsia="宋体" w:cs="宋体"/>
          <w:color w:val="auto"/>
          <w:spacing w:val="0"/>
          <w:w w:val="100"/>
          <w:position w:val="0"/>
          <w:sz w:val="24"/>
          <w:szCs w:val="24"/>
          <w:highlight w:val="none"/>
        </w:rPr>
      </w:pPr>
    </w:p>
    <w:p w14:paraId="4D2F5F5D">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sz w:val="24"/>
          <w:szCs w:val="24"/>
          <w:highlight w:val="none"/>
        </w:rPr>
        <w:sectPr>
          <w:pgSz w:w="11906" w:h="16838"/>
          <w:pgMar w:top="1417" w:right="1627" w:bottom="1417" w:left="1786" w:header="850" w:footer="1066" w:gutter="0"/>
          <w:pgBorders w:offsetFrom="page">
            <w:top w:val="none" w:sz="0" w:space="0"/>
            <w:left w:val="none" w:sz="0" w:space="0"/>
            <w:bottom w:val="none" w:sz="0" w:space="0"/>
            <w:right w:val="none" w:sz="0" w:space="0"/>
          </w:pgBorders>
          <w:pgNumType w:fmt="decimal"/>
          <w:cols w:space="0" w:num="1"/>
          <w:rtlGutter w:val="0"/>
          <w:docGrid w:linePitch="0" w:charSpace="0"/>
        </w:sectPr>
      </w:pPr>
    </w:p>
    <w:p w14:paraId="31AA6CC4">
      <w:pPr>
        <w:spacing w:before="78" w:line="220" w:lineRule="auto"/>
        <w:ind w:left="80"/>
        <w:rPr>
          <w:rFonts w:hint="eastAsia" w:ascii="宋体" w:hAnsi="宋体" w:eastAsia="宋体" w:cs="宋体"/>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lang w:val="en-US" w:eastAsia="zh-CN"/>
        </w:rPr>
        <w:t>5</w:t>
      </w:r>
      <w:r>
        <w:rPr>
          <w:rFonts w:hint="eastAsia" w:ascii="宋体" w:hAnsi="宋体" w:eastAsia="宋体" w:cs="宋体"/>
          <w:b/>
          <w:bCs/>
          <w:color w:val="auto"/>
          <w:spacing w:val="0"/>
          <w:w w:val="100"/>
          <w:position w:val="0"/>
          <w:sz w:val="24"/>
          <w:szCs w:val="24"/>
          <w:highlight w:val="none"/>
        </w:rPr>
        <w:t>．现有监测设备统计表</w:t>
      </w:r>
    </w:p>
    <w:tbl>
      <w:tblPr>
        <w:tblStyle w:val="2"/>
        <w:tblW w:w="827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541"/>
        <w:gridCol w:w="2781"/>
        <w:gridCol w:w="2209"/>
        <w:gridCol w:w="1748"/>
      </w:tblGrid>
      <w:tr w14:paraId="278F4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E5F30">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序号</w:t>
            </w:r>
          </w:p>
        </w:tc>
        <w:tc>
          <w:tcPr>
            <w:tcW w:w="2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BC6D2">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设备类型</w:t>
            </w:r>
          </w:p>
        </w:tc>
        <w:tc>
          <w:tcPr>
            <w:tcW w:w="2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C1F57">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单位</w:t>
            </w:r>
          </w:p>
        </w:tc>
        <w:tc>
          <w:tcPr>
            <w:tcW w:w="1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1F854">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数量</w:t>
            </w:r>
          </w:p>
        </w:tc>
      </w:tr>
      <w:tr w14:paraId="097AB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7B3D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2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A1F1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翻斗式雨量计</w:t>
            </w:r>
          </w:p>
        </w:tc>
        <w:tc>
          <w:tcPr>
            <w:tcW w:w="2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6D9B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1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3AC7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186</w:t>
            </w:r>
          </w:p>
        </w:tc>
      </w:tr>
      <w:tr w14:paraId="183F1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A2C3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2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E9D0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裂缝计</w:t>
            </w:r>
          </w:p>
        </w:tc>
        <w:tc>
          <w:tcPr>
            <w:tcW w:w="2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A8BC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1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5E1B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150</w:t>
            </w:r>
          </w:p>
        </w:tc>
      </w:tr>
      <w:tr w14:paraId="3493C6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E9F2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2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5E58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倾角计</w:t>
            </w:r>
          </w:p>
        </w:tc>
        <w:tc>
          <w:tcPr>
            <w:tcW w:w="2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1488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1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356B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444</w:t>
            </w:r>
          </w:p>
        </w:tc>
      </w:tr>
      <w:tr w14:paraId="5097C2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FF32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2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110B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GNSS</w:t>
            </w:r>
          </w:p>
        </w:tc>
        <w:tc>
          <w:tcPr>
            <w:tcW w:w="2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F550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1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802B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r>
      <w:tr w14:paraId="52094D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E16D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c>
          <w:tcPr>
            <w:tcW w:w="2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2605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土壤含水率</w:t>
            </w:r>
          </w:p>
        </w:tc>
        <w:tc>
          <w:tcPr>
            <w:tcW w:w="2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4C76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1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216E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24</w:t>
            </w:r>
          </w:p>
        </w:tc>
      </w:tr>
      <w:tr w14:paraId="43BD5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9EA4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c>
          <w:tcPr>
            <w:tcW w:w="2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A2B2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预警喇叭</w:t>
            </w:r>
          </w:p>
        </w:tc>
        <w:tc>
          <w:tcPr>
            <w:tcW w:w="2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3B27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1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0A25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206</w:t>
            </w:r>
          </w:p>
        </w:tc>
      </w:tr>
      <w:tr w14:paraId="54BDE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4071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c>
          <w:tcPr>
            <w:tcW w:w="2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216A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合计</w:t>
            </w:r>
          </w:p>
        </w:tc>
        <w:tc>
          <w:tcPr>
            <w:tcW w:w="2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7C012">
            <w:pPr>
              <w:jc w:val="center"/>
              <w:rPr>
                <w:rFonts w:hint="eastAsia" w:ascii="宋体" w:hAnsi="宋体" w:eastAsia="宋体" w:cs="宋体"/>
                <w:i w:val="0"/>
                <w:iCs w:val="0"/>
                <w:color w:val="auto"/>
                <w:sz w:val="24"/>
                <w:szCs w:val="24"/>
                <w:highlight w:val="none"/>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BFD2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1022</w:t>
            </w:r>
          </w:p>
        </w:tc>
      </w:tr>
    </w:tbl>
    <w:p w14:paraId="06EAB061">
      <w:pPr>
        <w:spacing w:before="115" w:line="310" w:lineRule="auto"/>
        <w:ind w:left="77" w:right="72" w:hanging="1"/>
        <w:rPr>
          <w:rFonts w:hint="eastAsia" w:ascii="宋体" w:hAnsi="宋体" w:eastAsia="宋体" w:cs="宋体"/>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rPr>
        <w:t>注：以上要求为采购最低需求，供应商必须全部满足基本服务要求或优于基本服务要求，否则视为无效响应。</w:t>
      </w:r>
    </w:p>
    <w:p w14:paraId="0E44E059">
      <w:pPr>
        <w:spacing w:line="310" w:lineRule="auto"/>
        <w:rPr>
          <w:rFonts w:hint="eastAsia" w:ascii="宋体" w:hAnsi="宋体" w:eastAsia="宋体" w:cs="宋体"/>
          <w:color w:val="auto"/>
          <w:spacing w:val="0"/>
          <w:w w:val="100"/>
          <w:position w:val="0"/>
          <w:sz w:val="24"/>
          <w:szCs w:val="24"/>
          <w:highlight w:val="none"/>
        </w:rPr>
        <w:sectPr>
          <w:pgSz w:w="11906" w:h="16838"/>
          <w:pgMar w:top="1417" w:right="1627" w:bottom="1417" w:left="1786" w:header="850" w:footer="1066" w:gutter="0"/>
          <w:pgBorders w:offsetFrom="page">
            <w:top w:val="none" w:sz="0" w:space="0"/>
            <w:left w:val="none" w:sz="0" w:space="0"/>
            <w:bottom w:val="none" w:sz="0" w:space="0"/>
            <w:right w:val="none" w:sz="0" w:space="0"/>
          </w:pgBorders>
          <w:pgNumType w:fmt="decimal"/>
          <w:cols w:space="0" w:num="1"/>
          <w:rtlGutter w:val="0"/>
          <w:docGrid w:linePitch="0" w:charSpace="0"/>
        </w:sectPr>
      </w:pPr>
    </w:p>
    <w:p w14:paraId="63BC4F0E">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spacing w:val="0"/>
          <w:w w:val="100"/>
          <w:position w:val="0"/>
          <w:sz w:val="24"/>
          <w:szCs w:val="24"/>
          <w:highlight w:val="none"/>
          <w:lang w:eastAsia="zh-CN"/>
        </w:rPr>
      </w:pPr>
      <w:r>
        <w:rPr>
          <w:rFonts w:hint="eastAsia" w:ascii="宋体" w:hAnsi="宋体" w:eastAsia="宋体" w:cs="宋体"/>
          <w:b/>
          <w:bCs/>
          <w:color w:val="auto"/>
          <w:spacing w:val="0"/>
          <w:w w:val="100"/>
          <w:position w:val="0"/>
          <w:sz w:val="24"/>
          <w:szCs w:val="24"/>
          <w:highlight w:val="none"/>
          <w:lang w:eastAsia="zh-CN"/>
        </w:rPr>
        <w:t>（二） 商务条款</w:t>
      </w:r>
    </w:p>
    <w:p w14:paraId="74BF0463">
      <w:pPr>
        <w:spacing w:before="94" w:line="219" w:lineRule="auto"/>
        <w:ind w:left="523"/>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rPr>
        <w:t>1、服务地点：</w:t>
      </w:r>
      <w:r>
        <w:rPr>
          <w:rFonts w:hint="eastAsia" w:ascii="宋体" w:hAnsi="宋体" w:eastAsia="宋体" w:cs="宋体"/>
          <w:color w:val="auto"/>
          <w:spacing w:val="0"/>
          <w:w w:val="100"/>
          <w:position w:val="0"/>
          <w:sz w:val="24"/>
          <w:szCs w:val="24"/>
          <w:highlight w:val="none"/>
        </w:rPr>
        <w:t>所有的服务在采购人指定地点完成。</w:t>
      </w:r>
    </w:p>
    <w:p w14:paraId="50EF9718">
      <w:pPr>
        <w:spacing w:before="117" w:line="219" w:lineRule="auto"/>
        <w:ind w:left="508"/>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rPr>
        <w:t>2、服务期限：</w:t>
      </w:r>
    </w:p>
    <w:p w14:paraId="4451D136">
      <w:pPr>
        <w:spacing w:before="114" w:line="308" w:lineRule="auto"/>
        <w:ind w:left="26" w:right="37" w:firstLine="481"/>
        <w:jc w:val="both"/>
        <w:rPr>
          <w:rFonts w:hint="eastAsia" w:ascii="宋体" w:hAnsi="宋体" w:eastAsia="宋体" w:cs="宋体"/>
          <w:color w:val="auto"/>
          <w:spacing w:val="0"/>
          <w:w w:val="100"/>
          <w:position w:val="0"/>
          <w:sz w:val="24"/>
          <w:szCs w:val="24"/>
          <w:highlight w:val="none"/>
          <w:u w:val="none"/>
        </w:rPr>
      </w:pPr>
      <w:r>
        <w:rPr>
          <w:rFonts w:hint="eastAsia" w:ascii="宋体" w:hAnsi="宋体" w:eastAsia="宋体" w:cs="宋体"/>
          <w:color w:val="auto"/>
          <w:spacing w:val="0"/>
          <w:w w:val="100"/>
          <w:position w:val="0"/>
          <w:sz w:val="24"/>
          <w:szCs w:val="24"/>
          <w:highlight w:val="none"/>
          <w:u w:val="none"/>
        </w:rPr>
        <w:t xml:space="preserve">2.1 </w:t>
      </w:r>
      <w:r>
        <w:rPr>
          <w:rFonts w:hint="eastAsia" w:ascii="宋体" w:hAnsi="宋体" w:eastAsia="宋体" w:cs="宋体"/>
          <w:color w:val="auto"/>
          <w:spacing w:val="0"/>
          <w:w w:val="100"/>
          <w:position w:val="0"/>
          <w:sz w:val="24"/>
          <w:szCs w:val="24"/>
          <w:highlight w:val="none"/>
          <w:u w:val="none"/>
          <w:lang w:val="en-US" w:eastAsia="zh-CN"/>
        </w:rPr>
        <w:t>自合同签订之日起，服务期限一年；中标供应商需确保与后续运维单位交接期间监测设备正常在线，保证监测数据的连续性，中标供应商不可单方面提前结束服务</w:t>
      </w:r>
      <w:r>
        <w:rPr>
          <w:rFonts w:hint="eastAsia" w:ascii="宋体" w:hAnsi="宋体" w:eastAsia="宋体" w:cs="宋体"/>
          <w:color w:val="auto"/>
          <w:spacing w:val="0"/>
          <w:w w:val="100"/>
          <w:position w:val="0"/>
          <w:sz w:val="24"/>
          <w:szCs w:val="24"/>
          <w:highlight w:val="none"/>
          <w:u w:val="none"/>
        </w:rPr>
        <w:t>。</w:t>
      </w:r>
    </w:p>
    <w:p w14:paraId="61831558">
      <w:pPr>
        <w:spacing w:line="307" w:lineRule="auto"/>
        <w:ind w:left="23" w:right="97" w:firstLine="484"/>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2.2 中标供应商所提供货物/服务的质量、性能不符合合同规定标准的，采购人有权拒收；由此产生的一切经济损失由中标供应商承担。</w:t>
      </w:r>
    </w:p>
    <w:p w14:paraId="0A10807A">
      <w:pPr>
        <w:spacing w:before="1" w:line="219" w:lineRule="auto"/>
        <w:ind w:left="510"/>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rPr>
        <w:t>3、付款方式：</w:t>
      </w:r>
    </w:p>
    <w:p w14:paraId="1CCE4109">
      <w:pPr>
        <w:spacing w:line="307" w:lineRule="auto"/>
        <w:ind w:left="23" w:right="97" w:firstLine="484"/>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3.1 合同签订后15个工作日内采购人向中标人支付合同当年运维金额的</w:t>
      </w: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rPr>
        <w:t>0%，运行维护至</w:t>
      </w:r>
      <w:r>
        <w:rPr>
          <w:rFonts w:hint="eastAsia" w:ascii="宋体" w:hAnsi="宋体" w:eastAsia="宋体" w:cs="宋体"/>
          <w:color w:val="auto"/>
          <w:spacing w:val="0"/>
          <w:w w:val="100"/>
          <w:position w:val="0"/>
          <w:sz w:val="24"/>
          <w:szCs w:val="24"/>
          <w:highlight w:val="none"/>
          <w:lang w:val="en-US" w:eastAsia="zh-CN"/>
        </w:rPr>
        <w:t>2026年12月</w:t>
      </w:r>
      <w:r>
        <w:rPr>
          <w:rFonts w:hint="eastAsia" w:ascii="宋体" w:hAnsi="宋体" w:eastAsia="宋体" w:cs="宋体"/>
          <w:color w:val="auto"/>
          <w:spacing w:val="0"/>
          <w:w w:val="100"/>
          <w:position w:val="0"/>
          <w:sz w:val="24"/>
          <w:szCs w:val="24"/>
          <w:highlight w:val="none"/>
        </w:rPr>
        <w:t>底采购人向中标人支付运维金额的</w:t>
      </w: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rPr>
        <w:t>0%，验收通过后采购人向中标人支付合同运维金额的</w:t>
      </w:r>
      <w:r>
        <w:rPr>
          <w:rFonts w:hint="eastAsia" w:ascii="宋体" w:hAnsi="宋体" w:eastAsia="宋体" w:cs="宋体"/>
          <w:color w:val="auto"/>
          <w:spacing w:val="0"/>
          <w:w w:val="100"/>
          <w:position w:val="0"/>
          <w:sz w:val="24"/>
          <w:szCs w:val="24"/>
          <w:highlight w:val="none"/>
          <w:lang w:val="en-US" w:eastAsia="zh-CN"/>
        </w:rPr>
        <w:t>20</w:t>
      </w:r>
      <w:r>
        <w:rPr>
          <w:rFonts w:hint="eastAsia" w:ascii="宋体" w:hAnsi="宋体" w:eastAsia="宋体" w:cs="宋体"/>
          <w:color w:val="auto"/>
          <w:spacing w:val="0"/>
          <w:w w:val="100"/>
          <w:position w:val="0"/>
          <w:sz w:val="24"/>
          <w:szCs w:val="24"/>
          <w:highlight w:val="none"/>
        </w:rPr>
        <w:t>%。采购人付款前，中标供应商须开具合法、等额的发票，否则采购人有权拒绝付款并无需承担违约责任。</w:t>
      </w:r>
    </w:p>
    <w:p w14:paraId="78746E7D">
      <w:pPr>
        <w:spacing w:line="308" w:lineRule="auto"/>
        <w:ind w:left="31" w:right="157" w:firstLine="479"/>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3.2 中标人在与采购人签订采购合同时需向采购人缴纳合同总价的</w:t>
      </w:r>
      <w:r>
        <w:rPr>
          <w:rFonts w:hint="eastAsia" w:ascii="宋体" w:hAnsi="宋体" w:eastAsia="宋体" w:cs="宋体"/>
          <w:color w:val="auto"/>
          <w:spacing w:val="0"/>
          <w:w w:val="100"/>
          <w:position w:val="0"/>
          <w:sz w:val="24"/>
          <w:szCs w:val="24"/>
          <w:highlight w:val="none"/>
          <w:lang w:val="en-US" w:eastAsia="zh-CN"/>
        </w:rPr>
        <w:t>10</w:t>
      </w:r>
      <w:r>
        <w:rPr>
          <w:rFonts w:hint="eastAsia" w:ascii="宋体" w:hAnsi="宋体" w:eastAsia="宋体" w:cs="宋体"/>
          <w:color w:val="auto"/>
          <w:spacing w:val="0"/>
          <w:w w:val="100"/>
          <w:position w:val="0"/>
          <w:sz w:val="24"/>
          <w:szCs w:val="24"/>
          <w:highlight w:val="none"/>
        </w:rPr>
        <w:t>%的履约保证金，项目最终验收通过后15个工作日内返还履约保证金。</w:t>
      </w:r>
    </w:p>
    <w:p w14:paraId="0C1B6BF3">
      <w:pPr>
        <w:spacing w:before="3" w:line="307" w:lineRule="auto"/>
        <w:ind w:left="24" w:right="157" w:firstLine="480"/>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rPr>
        <w:t>4</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b/>
          <w:bCs/>
          <w:color w:val="auto"/>
          <w:spacing w:val="0"/>
          <w:w w:val="100"/>
          <w:position w:val="0"/>
          <w:sz w:val="24"/>
          <w:szCs w:val="24"/>
          <w:highlight w:val="none"/>
        </w:rPr>
        <w:t>报价方式：</w:t>
      </w:r>
      <w:r>
        <w:rPr>
          <w:rFonts w:hint="eastAsia" w:ascii="宋体" w:hAnsi="宋体" w:eastAsia="宋体" w:cs="宋体"/>
          <w:color w:val="auto"/>
          <w:spacing w:val="0"/>
          <w:w w:val="100"/>
          <w:position w:val="0"/>
          <w:sz w:val="24"/>
          <w:szCs w:val="24"/>
          <w:highlight w:val="none"/>
        </w:rPr>
        <w:t>以人民币报价，完成本项目所需的货款、设计费、税款、运输费、装卸费、保险费、关税、验收费、质保售后、技术服务等一切与本项目履约有关的费用均应列入总报价。采购人不另支付任何费用。</w:t>
      </w:r>
    </w:p>
    <w:p w14:paraId="341EA0F5">
      <w:pPr>
        <w:spacing w:line="219" w:lineRule="auto"/>
        <w:ind w:left="485"/>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rPr>
        <w:t>5、项目验收：</w:t>
      </w:r>
    </w:p>
    <w:p w14:paraId="58DA3B54">
      <w:pPr>
        <w:spacing w:before="137" w:line="323" w:lineRule="auto"/>
        <w:ind w:right="126" w:firstLine="485"/>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5.1 成交供应商完成工作量后，由采购人组织相关部门及专家成立验收小组。验收的标准是成交供应商提交的成果必须符合项目要求和合同约定的要求。依据是项目的采购文件、合同约定以及相关技术标准和规范。在成果验收阶段，验收小组将对成交供应商提交的最终成果进行全面评估，确保其符合项目要求和技术标准，并进行必要的修改和完善。如果项目未能通过验收，则被视为不合格，需要进行修改完善直至符合要求。</w:t>
      </w:r>
    </w:p>
    <w:p w14:paraId="477598EF">
      <w:pPr>
        <w:spacing w:before="1" w:line="218" w:lineRule="auto"/>
        <w:ind w:left="485"/>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5.2 成交供应商须为验收提供必需的设备、工具及其他便利条件。</w:t>
      </w:r>
    </w:p>
    <w:p w14:paraId="411352D6">
      <w:pPr>
        <w:spacing w:before="135" w:line="219" w:lineRule="auto"/>
        <w:ind w:left="485"/>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5.3 验收所产生的费用全部由成交供应商承担。</w:t>
      </w:r>
    </w:p>
    <w:p w14:paraId="21D66B61">
      <w:pPr>
        <w:spacing w:before="135" w:line="220" w:lineRule="auto"/>
        <w:ind w:left="482"/>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rPr>
        <w:t>6、售后服务要求：</w:t>
      </w:r>
    </w:p>
    <w:p w14:paraId="33490D01">
      <w:pPr>
        <w:spacing w:before="137" w:line="324" w:lineRule="auto"/>
        <w:ind w:left="3" w:right="126" w:firstLine="479"/>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6.1 服务期内，成交供应商负责对其提供的产品进行更换，对维护过程中必要的设备进行更换，不再收取任何费用，但人为因素，自然因素</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如火灾、地震等）造成的故障除外。成交供应商需对本次所采购的服务内容免费培训。</w:t>
      </w:r>
    </w:p>
    <w:p w14:paraId="21FEFDEC">
      <w:pPr>
        <w:spacing w:before="78" w:line="323" w:lineRule="auto"/>
        <w:ind w:right="237" w:firstLine="481"/>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6.2 本项目服务方式均为成交供应商上门服务，即成交供应商派人员到采购人指定地点服务，由此产生的一切费用均由成交供应商承担。</w:t>
      </w:r>
    </w:p>
    <w:p w14:paraId="1D93338F">
      <w:pPr>
        <w:spacing w:line="323" w:lineRule="auto"/>
        <w:ind w:left="2" w:right="117" w:firstLine="480"/>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6.3 服务保证期内服务要求：服务保证期内提供 24 小时应急服务，接到用户单位售后通知</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含电话）后到场时间不超过8小时。</w:t>
      </w:r>
    </w:p>
    <w:p w14:paraId="0C0F7844">
      <w:pPr>
        <w:spacing w:line="323" w:lineRule="auto"/>
        <w:ind w:right="212" w:firstLine="482"/>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6.4 服务期内成交供应商负责购买拟派出的现场技术服务人员的人身意外保险。一切非采购方原因引起的安全事故及纠纷，一切责任由成交供应商负责，与采购人无关。</w:t>
      </w:r>
    </w:p>
    <w:p w14:paraId="71BBBE5F">
      <w:pPr>
        <w:spacing w:line="323" w:lineRule="auto"/>
        <w:ind w:left="1" w:firstLine="484"/>
        <w:jc w:val="both"/>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b/>
          <w:bCs/>
          <w:color w:val="auto"/>
          <w:spacing w:val="0"/>
          <w:w w:val="100"/>
          <w:position w:val="0"/>
          <w:sz w:val="24"/>
          <w:szCs w:val="24"/>
          <w:highlight w:val="none"/>
        </w:rPr>
        <w:t>7、误期赔偿费：</w:t>
      </w:r>
      <w:r>
        <w:rPr>
          <w:rFonts w:hint="eastAsia" w:ascii="宋体" w:hAnsi="宋体" w:eastAsia="宋体" w:cs="宋体"/>
          <w:color w:val="auto"/>
          <w:spacing w:val="0"/>
          <w:w w:val="100"/>
          <w:position w:val="0"/>
          <w:sz w:val="24"/>
          <w:szCs w:val="24"/>
          <w:highlight w:val="none"/>
        </w:rPr>
        <w:t>除不可抗力情况外，如果成交供应商没有按照合同规定的时间交货和提供服务，采购人应在不影响合同项下的其他补救措施的情况下，从合同价中扣除误期赔偿费。每延误一天的赔偿费按服务费用的0.1%计收，直至提供服务为止。误期赔偿费的最高限额为合同价格的</w:t>
      </w: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rPr>
        <w:t>%。一旦达到误期赔偿费的最高限额，采购人可考虑终止合同</w:t>
      </w:r>
      <w:r>
        <w:rPr>
          <w:rFonts w:ascii="宋体" w:hAnsi="宋体" w:eastAsia="宋体" w:cs="宋体"/>
          <w:color w:val="auto"/>
          <w:sz w:val="24"/>
          <w:szCs w:val="24"/>
          <w:highlight w:val="none"/>
        </w:rPr>
        <w:t>并追索损失。</w:t>
      </w:r>
    </w:p>
    <w:p w14:paraId="1E401207">
      <w:pPr>
        <w:spacing w:line="220" w:lineRule="auto"/>
        <w:ind w:left="479"/>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rPr>
        <w:t>8、其他要求：</w:t>
      </w:r>
    </w:p>
    <w:p w14:paraId="05BFF562">
      <w:pPr>
        <w:spacing w:line="323" w:lineRule="auto"/>
        <w:ind w:left="1" w:firstLine="484"/>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8.1本项目所有取得的工作或研究成果的知识产权归采购人和中标人共同所有。</w:t>
      </w:r>
    </w:p>
    <w:p w14:paraId="58A7B651">
      <w:pPr>
        <w:spacing w:line="323" w:lineRule="auto"/>
        <w:ind w:left="1" w:firstLine="484"/>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8.2中标供应商应保证所交付的工作或研究成果免受第三方提出侵犯其知识产权(专利权、商标权、版权等</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的起诉。因侵害他人知识产权而产生的法律责任，全部由中标供应商承担。</w:t>
      </w:r>
    </w:p>
    <w:p w14:paraId="2ABAB22C">
      <w:r>
        <w:rPr>
          <w:rFonts w:hint="eastAsia" w:ascii="宋体" w:hAnsi="宋体" w:eastAsia="宋体" w:cs="宋体"/>
          <w:color w:val="auto"/>
          <w:spacing w:val="0"/>
          <w:w w:val="100"/>
          <w:position w:val="0"/>
          <w:sz w:val="24"/>
          <w:szCs w:val="24"/>
          <w:highlight w:val="none"/>
          <w:lang w:val="en-US" w:eastAsia="zh-CN"/>
        </w:rPr>
        <w:t>8.3</w:t>
      </w:r>
      <w:r>
        <w:rPr>
          <w:rFonts w:hint="eastAsia" w:ascii="宋体" w:hAnsi="宋体" w:eastAsia="宋体" w:cs="宋体"/>
          <w:color w:val="auto"/>
          <w:spacing w:val="0"/>
          <w:w w:val="100"/>
          <w:position w:val="0"/>
          <w:sz w:val="24"/>
          <w:szCs w:val="24"/>
          <w:highlight w:val="none"/>
        </w:rPr>
        <w:t>成交供应商应在合同签订后按采购人要求，与原运维单位完成项目运维交接，包括但不限于技术文档、账号权限、资产清单、历史数据、现场值守等内容，确保项目平稳过渡、正常运行。交接过程中所产生的人员、交通、协调、资料整理及其他相关费用均由成交供应商自行承担，采购人不承担任何相关费用。</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D7D44F1"/>
    <w:rsid w:val="6D7D44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 w:type="paragraph" w:customStyle="1" w:styleId="5">
    <w:name w:val="Table Text"/>
    <w:basedOn w:val="1"/>
    <w:semiHidden/>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2026-05-11T03:33:00Z</dcterms:created>
  <dc:creator>admin</dc:creator>
  <cp:lastModifiedBy>admin</cp:lastModifiedBy>
  <dcterms:modified xsi:type="dcterms:W3CDTF">2026-05-11T03:33:27Z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BD6225765BB64BF78943EFA7DE808D61_11</vt:lpwstr>
  </property>
  <property fmtid="{D5CDD505-2E9C-101B-9397-08002B2CF9AE}" pid="4" name="KSOTemplateDocerSaveRecord">
    <vt:lpwstr>eyJoZGlkIjoiZTNiMmJjMGUyMDNhMGI0MjllZTc4OTE3ODRjOTBjMWQiLCJ1c2VySWQiOiIyNTgwMjQ5MjkifQ==</vt:lpwstr>
  </property>
</Properties>
</file>