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23857">
      <w:pPr>
        <w:pStyle w:val="2"/>
        <w:keepNext w:val="0"/>
        <w:keepLines w:val="0"/>
        <w:pageBreakBefore w:val="0"/>
        <w:widowControl w:val="0"/>
        <w:kinsoku/>
        <w:wordWrap/>
        <w:overflowPunct/>
        <w:topLinePunct w:val="0"/>
        <w:autoSpaceDE w:val="0"/>
        <w:autoSpaceDN w:val="0"/>
        <w:bidi w:val="0"/>
        <w:adjustRightInd/>
        <w:snapToGrid/>
        <w:spacing w:line="500" w:lineRule="exact"/>
        <w:ind w:firstLine="360" w:firstLineChars="100"/>
        <w:jc w:val="center"/>
        <w:textAlignment w:val="auto"/>
        <w:rPr>
          <w:rFonts w:hint="eastAsia" w:ascii="宋体" w:hAnsi="宋体" w:cs="宋体"/>
          <w:color w:val="auto"/>
          <w:sz w:val="36"/>
          <w:szCs w:val="36"/>
          <w:highlight w:val="none"/>
          <w:lang w:val="en-US" w:eastAsia="zh-CN"/>
        </w:rPr>
      </w:pPr>
      <w:r>
        <w:rPr>
          <w:rFonts w:hint="eastAsia" w:ascii="宋体" w:hAnsi="宋体" w:cs="宋体"/>
          <w:color w:val="auto"/>
          <w:sz w:val="36"/>
          <w:szCs w:val="36"/>
          <w:highlight w:val="none"/>
          <w:lang w:val="en-US" w:eastAsia="zh-CN"/>
        </w:rPr>
        <w:t>万安县2022年国土绿化试点示范抚育管护项目</w:t>
      </w:r>
    </w:p>
    <w:p w14:paraId="5E23E222">
      <w:pPr>
        <w:keepNext w:val="0"/>
        <w:keepLines w:val="0"/>
        <w:pageBreakBefore w:val="0"/>
        <w:widowControl w:val="0"/>
        <w:kinsoku/>
        <w:wordWrap/>
        <w:overflowPunct/>
        <w:topLinePunct w:val="0"/>
        <w:bidi w:val="0"/>
        <w:adjustRightInd/>
        <w:snapToGrid/>
        <w:spacing w:line="500" w:lineRule="exact"/>
        <w:jc w:val="center"/>
        <w:textAlignment w:val="auto"/>
        <w:rPr>
          <w:rFonts w:hint="default"/>
          <w:sz w:val="36"/>
          <w:szCs w:val="36"/>
          <w:lang w:val="en-US" w:eastAsia="zh-CN"/>
        </w:rPr>
      </w:pPr>
      <w:r>
        <w:rPr>
          <w:rFonts w:hint="eastAsia" w:ascii="宋体" w:hAnsi="宋体" w:cs="宋体"/>
          <w:color w:val="auto"/>
          <w:sz w:val="36"/>
          <w:szCs w:val="36"/>
          <w:highlight w:val="none"/>
          <w:lang w:val="en-US" w:eastAsia="zh-CN"/>
        </w:rPr>
        <w:t>采购需求</w:t>
      </w:r>
    </w:p>
    <w:p w14:paraId="55065557">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1"/>
        <w:rPr>
          <w:rFonts w:hint="eastAsia" w:ascii="宋体" w:hAnsi="宋体" w:eastAsia="宋体" w:cs="宋体"/>
          <w:b/>
          <w:bCs/>
          <w:color w:val="auto"/>
          <w:sz w:val="24"/>
          <w:szCs w:val="24"/>
          <w:highlight w:val="none"/>
          <w:lang w:val="en-US" w:eastAsia="zh-CN"/>
        </w:rPr>
      </w:pPr>
      <w:bookmarkStart w:id="0" w:name="_Toc19615"/>
      <w:bookmarkStart w:id="1" w:name="_Toc12082"/>
      <w:r>
        <w:rPr>
          <w:rFonts w:hint="eastAsia" w:ascii="宋体" w:hAnsi="宋体" w:eastAsia="宋体" w:cs="宋体"/>
          <w:b/>
          <w:bCs/>
          <w:color w:val="auto"/>
          <w:sz w:val="24"/>
          <w:szCs w:val="24"/>
          <w:highlight w:val="none"/>
          <w:lang w:val="en-US" w:eastAsia="zh-CN"/>
        </w:rPr>
        <w:t>一、采购需求：</w:t>
      </w:r>
      <w:bookmarkEnd w:id="0"/>
      <w:bookmarkEnd w:id="1"/>
    </w:p>
    <w:p w14:paraId="672F9F7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（一）建设内容和规模</w:t>
      </w:r>
    </w:p>
    <w:p w14:paraId="08676D92">
      <w:pPr>
        <w:pStyle w:val="9"/>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万安县革命老区国土绿化试点示范项目</w:t>
      </w:r>
      <w:r>
        <w:rPr>
          <w:rFonts w:hint="eastAsia" w:ascii="宋体" w:hAnsi="宋体" w:eastAsia="宋体" w:cs="宋体"/>
          <w:snapToGrid/>
          <w:color w:val="auto"/>
          <w:kern w:val="2"/>
          <w:sz w:val="24"/>
          <w:szCs w:val="24"/>
          <w:highlight w:val="none"/>
          <w:lang w:val="en-US" w:eastAsia="zh-CN"/>
        </w:rPr>
        <w:t>幼林抚育</w:t>
      </w:r>
      <w:r>
        <w:rPr>
          <w:rFonts w:hint="eastAsia" w:ascii="宋体" w:hAnsi="宋体" w:cs="宋体"/>
          <w:snapToGrid/>
          <w:color w:val="auto"/>
          <w:kern w:val="2"/>
          <w:sz w:val="24"/>
          <w:szCs w:val="24"/>
          <w:highlight w:val="none"/>
          <w:lang w:val="en-US" w:eastAsia="zh-CN"/>
        </w:rPr>
        <w:t>管护</w:t>
      </w:r>
      <w:r>
        <w:rPr>
          <w:rFonts w:hint="eastAsia" w:ascii="宋体" w:hAnsi="宋体" w:eastAsia="宋体" w:cs="宋体"/>
          <w:snapToGrid/>
          <w:color w:val="auto"/>
          <w:kern w:val="2"/>
          <w:sz w:val="24"/>
          <w:szCs w:val="24"/>
          <w:highlight w:val="none"/>
        </w:rPr>
        <w:t>实施总面积42523亩，其中丘陵山地森林质量精准提升工程营造林</w:t>
      </w:r>
      <w:r>
        <w:rPr>
          <w:rFonts w:hint="eastAsia" w:ascii="宋体" w:hAnsi="宋体" w:eastAsia="宋体" w:cs="宋体"/>
          <w:snapToGrid/>
          <w:color w:val="auto"/>
          <w:kern w:val="2"/>
          <w:sz w:val="24"/>
          <w:szCs w:val="24"/>
          <w:highlight w:val="none"/>
          <w:lang w:val="en-US" w:eastAsia="zh-CN"/>
        </w:rPr>
        <w:t>幼林抚育</w:t>
      </w:r>
      <w:r>
        <w:rPr>
          <w:rFonts w:hint="eastAsia" w:ascii="宋体" w:hAnsi="宋体" w:cs="宋体"/>
          <w:snapToGrid/>
          <w:color w:val="auto"/>
          <w:kern w:val="2"/>
          <w:sz w:val="24"/>
          <w:szCs w:val="24"/>
          <w:highlight w:val="none"/>
          <w:lang w:val="en-US" w:eastAsia="zh-CN"/>
        </w:rPr>
        <w:t>管护</w:t>
      </w:r>
      <w:r>
        <w:rPr>
          <w:rFonts w:hint="eastAsia" w:ascii="宋体" w:hAnsi="宋体" w:eastAsia="宋体" w:cs="宋体"/>
          <w:snapToGrid/>
          <w:color w:val="auto"/>
          <w:kern w:val="2"/>
          <w:sz w:val="24"/>
          <w:szCs w:val="24"/>
          <w:highlight w:val="none"/>
        </w:rPr>
        <w:t>29285亩，包括人工造林</w:t>
      </w:r>
      <w:r>
        <w:rPr>
          <w:rFonts w:hint="eastAsia" w:ascii="宋体" w:hAnsi="宋体" w:eastAsia="宋体" w:cs="宋体"/>
          <w:snapToGrid/>
          <w:color w:val="auto"/>
          <w:kern w:val="2"/>
          <w:sz w:val="24"/>
          <w:szCs w:val="24"/>
          <w:highlight w:val="none"/>
          <w:lang w:val="en-US" w:eastAsia="zh-CN"/>
        </w:rPr>
        <w:t>幼林抚育</w:t>
      </w:r>
      <w:r>
        <w:rPr>
          <w:rFonts w:hint="eastAsia" w:ascii="宋体" w:hAnsi="宋体" w:cs="宋体"/>
          <w:snapToGrid/>
          <w:color w:val="auto"/>
          <w:kern w:val="2"/>
          <w:sz w:val="24"/>
          <w:szCs w:val="24"/>
          <w:highlight w:val="none"/>
          <w:lang w:val="en-US" w:eastAsia="zh-CN"/>
        </w:rPr>
        <w:t>管护</w:t>
      </w:r>
      <w:r>
        <w:rPr>
          <w:rFonts w:hint="eastAsia" w:ascii="宋体" w:hAnsi="宋体" w:eastAsia="宋体" w:cs="宋体"/>
          <w:snapToGrid/>
          <w:color w:val="auto"/>
          <w:kern w:val="2"/>
          <w:sz w:val="24"/>
          <w:szCs w:val="24"/>
          <w:highlight w:val="none"/>
        </w:rPr>
        <w:t>5011亩，更替修复</w:t>
      </w:r>
      <w:r>
        <w:rPr>
          <w:rFonts w:hint="eastAsia" w:ascii="宋体" w:hAnsi="宋体" w:eastAsia="宋体" w:cs="宋体"/>
          <w:snapToGrid/>
          <w:color w:val="auto"/>
          <w:kern w:val="2"/>
          <w:sz w:val="24"/>
          <w:szCs w:val="24"/>
          <w:highlight w:val="none"/>
          <w:lang w:val="en-US" w:eastAsia="zh-CN"/>
        </w:rPr>
        <w:t>幼林抚育</w:t>
      </w:r>
      <w:r>
        <w:rPr>
          <w:rFonts w:hint="eastAsia" w:ascii="宋体" w:hAnsi="宋体" w:cs="宋体"/>
          <w:snapToGrid/>
          <w:color w:val="auto"/>
          <w:kern w:val="2"/>
          <w:sz w:val="24"/>
          <w:szCs w:val="24"/>
          <w:highlight w:val="none"/>
          <w:lang w:val="en-US" w:eastAsia="zh-CN"/>
        </w:rPr>
        <w:t>管护</w:t>
      </w:r>
      <w:r>
        <w:rPr>
          <w:rFonts w:hint="eastAsia" w:ascii="宋体" w:hAnsi="宋体" w:eastAsia="宋体" w:cs="宋体"/>
          <w:snapToGrid/>
          <w:color w:val="auto"/>
          <w:kern w:val="2"/>
          <w:sz w:val="24"/>
          <w:szCs w:val="24"/>
          <w:highlight w:val="none"/>
        </w:rPr>
        <w:t>7943亩，补植修复</w:t>
      </w:r>
      <w:r>
        <w:rPr>
          <w:rFonts w:hint="eastAsia" w:ascii="宋体" w:hAnsi="宋体" w:eastAsia="宋体" w:cs="宋体"/>
          <w:snapToGrid/>
          <w:color w:val="auto"/>
          <w:kern w:val="2"/>
          <w:sz w:val="24"/>
          <w:szCs w:val="24"/>
          <w:highlight w:val="none"/>
          <w:lang w:val="en-US" w:eastAsia="zh-CN"/>
        </w:rPr>
        <w:t>幼林抚育</w:t>
      </w:r>
      <w:r>
        <w:rPr>
          <w:rFonts w:hint="eastAsia" w:ascii="宋体" w:hAnsi="宋体" w:cs="宋体"/>
          <w:snapToGrid/>
          <w:color w:val="auto"/>
          <w:kern w:val="2"/>
          <w:sz w:val="24"/>
          <w:szCs w:val="24"/>
          <w:highlight w:val="none"/>
          <w:lang w:val="en-US" w:eastAsia="zh-CN"/>
        </w:rPr>
        <w:t>管护</w:t>
      </w:r>
      <w:r>
        <w:rPr>
          <w:rFonts w:hint="eastAsia" w:ascii="宋体" w:hAnsi="宋体" w:eastAsia="宋体" w:cs="宋体"/>
          <w:snapToGrid/>
          <w:color w:val="auto"/>
          <w:kern w:val="2"/>
          <w:sz w:val="24"/>
          <w:szCs w:val="24"/>
          <w:highlight w:val="none"/>
        </w:rPr>
        <w:t>10272亩，抚育修复</w:t>
      </w:r>
      <w:r>
        <w:rPr>
          <w:rFonts w:hint="eastAsia" w:ascii="宋体" w:hAnsi="宋体" w:eastAsia="宋体" w:cs="宋体"/>
          <w:snapToGrid/>
          <w:color w:val="auto"/>
          <w:kern w:val="2"/>
          <w:sz w:val="24"/>
          <w:szCs w:val="24"/>
          <w:highlight w:val="none"/>
          <w:lang w:val="en-US" w:eastAsia="zh-CN"/>
        </w:rPr>
        <w:t>幼林抚育</w:t>
      </w:r>
      <w:r>
        <w:rPr>
          <w:rFonts w:hint="eastAsia" w:ascii="宋体" w:hAnsi="宋体" w:cs="宋体"/>
          <w:snapToGrid/>
          <w:color w:val="auto"/>
          <w:kern w:val="2"/>
          <w:sz w:val="24"/>
          <w:szCs w:val="24"/>
          <w:highlight w:val="none"/>
          <w:lang w:val="en-US" w:eastAsia="zh-CN"/>
        </w:rPr>
        <w:t>管护</w:t>
      </w:r>
      <w:r>
        <w:rPr>
          <w:rFonts w:hint="eastAsia" w:ascii="宋体" w:hAnsi="宋体" w:eastAsia="宋体" w:cs="宋体"/>
          <w:snapToGrid/>
          <w:color w:val="auto"/>
          <w:kern w:val="2"/>
          <w:sz w:val="24"/>
          <w:szCs w:val="24"/>
          <w:highlight w:val="none"/>
        </w:rPr>
        <w:t>6059亩；油茶资源高质量培育建设工程</w:t>
      </w:r>
      <w:r>
        <w:rPr>
          <w:rFonts w:hint="eastAsia" w:ascii="宋体" w:hAnsi="宋体" w:eastAsia="宋体" w:cs="宋体"/>
          <w:snapToGrid/>
          <w:color w:val="auto"/>
          <w:kern w:val="2"/>
          <w:sz w:val="24"/>
          <w:szCs w:val="24"/>
          <w:highlight w:val="none"/>
          <w:lang w:val="en-US" w:eastAsia="zh-CN"/>
        </w:rPr>
        <w:t>幼林抚育</w:t>
      </w:r>
      <w:r>
        <w:rPr>
          <w:rFonts w:hint="eastAsia" w:ascii="宋体" w:hAnsi="宋体" w:cs="宋体"/>
          <w:snapToGrid/>
          <w:color w:val="auto"/>
          <w:kern w:val="2"/>
          <w:sz w:val="24"/>
          <w:szCs w:val="24"/>
          <w:highlight w:val="none"/>
          <w:lang w:val="en-US" w:eastAsia="zh-CN"/>
        </w:rPr>
        <w:t>管护</w:t>
      </w:r>
      <w:r>
        <w:rPr>
          <w:rFonts w:hint="eastAsia" w:ascii="宋体" w:hAnsi="宋体" w:eastAsia="宋体" w:cs="宋体"/>
          <w:snapToGrid/>
          <w:color w:val="auto"/>
          <w:kern w:val="2"/>
          <w:sz w:val="24"/>
          <w:szCs w:val="24"/>
          <w:highlight w:val="none"/>
        </w:rPr>
        <w:t>13238亩，包括油茶新造</w:t>
      </w:r>
      <w:r>
        <w:rPr>
          <w:rFonts w:hint="eastAsia" w:ascii="宋体" w:hAnsi="宋体" w:eastAsia="宋体" w:cs="宋体"/>
          <w:snapToGrid/>
          <w:color w:val="auto"/>
          <w:kern w:val="2"/>
          <w:sz w:val="24"/>
          <w:szCs w:val="24"/>
          <w:highlight w:val="none"/>
          <w:lang w:val="en-US" w:eastAsia="zh-CN"/>
        </w:rPr>
        <w:t>幼林抚育</w:t>
      </w:r>
      <w:r>
        <w:rPr>
          <w:rFonts w:hint="eastAsia" w:ascii="宋体" w:hAnsi="宋体" w:cs="宋体"/>
          <w:snapToGrid/>
          <w:color w:val="auto"/>
          <w:kern w:val="2"/>
          <w:sz w:val="24"/>
          <w:szCs w:val="24"/>
          <w:highlight w:val="none"/>
          <w:lang w:val="en-US" w:eastAsia="zh-CN"/>
        </w:rPr>
        <w:t>管护</w:t>
      </w:r>
      <w:r>
        <w:rPr>
          <w:rFonts w:hint="eastAsia" w:ascii="宋体" w:hAnsi="宋体" w:eastAsia="宋体" w:cs="宋体"/>
          <w:snapToGrid/>
          <w:color w:val="auto"/>
          <w:kern w:val="2"/>
          <w:sz w:val="24"/>
          <w:szCs w:val="24"/>
          <w:highlight w:val="none"/>
        </w:rPr>
        <w:t>3012亩，油茶改造</w:t>
      </w:r>
      <w:r>
        <w:rPr>
          <w:rFonts w:hint="eastAsia" w:ascii="宋体" w:hAnsi="宋体" w:eastAsia="宋体" w:cs="宋体"/>
          <w:snapToGrid/>
          <w:color w:val="auto"/>
          <w:kern w:val="2"/>
          <w:sz w:val="24"/>
          <w:szCs w:val="24"/>
          <w:highlight w:val="none"/>
          <w:lang w:val="en-US" w:eastAsia="zh-CN"/>
        </w:rPr>
        <w:t>幼林抚育</w:t>
      </w:r>
      <w:r>
        <w:rPr>
          <w:rFonts w:hint="eastAsia" w:ascii="宋体" w:hAnsi="宋体" w:cs="宋体"/>
          <w:snapToGrid/>
          <w:color w:val="auto"/>
          <w:kern w:val="2"/>
          <w:sz w:val="24"/>
          <w:szCs w:val="24"/>
          <w:highlight w:val="none"/>
          <w:lang w:val="en-US" w:eastAsia="zh-CN"/>
        </w:rPr>
        <w:t>管护</w:t>
      </w:r>
      <w:r>
        <w:rPr>
          <w:rFonts w:hint="eastAsia" w:ascii="宋体" w:hAnsi="宋体" w:eastAsia="宋体" w:cs="宋体"/>
          <w:snapToGrid/>
          <w:color w:val="auto"/>
          <w:kern w:val="2"/>
          <w:sz w:val="24"/>
          <w:szCs w:val="24"/>
          <w:highlight w:val="none"/>
        </w:rPr>
        <w:t>10226亩。</w:t>
      </w:r>
      <w:r>
        <w:rPr>
          <w:rFonts w:hint="eastAsia" w:ascii="宋体" w:hAnsi="宋体" w:eastAsia="宋体" w:cs="宋体"/>
          <w:color w:val="auto"/>
          <w:sz w:val="24"/>
          <w:szCs w:val="24"/>
          <w:highlight w:val="none"/>
          <w:lang w:val="en-US" w:eastAsia="zh-CN"/>
        </w:rPr>
        <w:t>各乡镇场分布明细详见</w:t>
      </w:r>
      <w:r>
        <w:rPr>
          <w:rFonts w:hint="eastAsia"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作业设计</w:t>
      </w:r>
      <w:r>
        <w:rPr>
          <w:rFonts w:hint="eastAsia"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w:t>
      </w:r>
    </w:p>
    <w:p w14:paraId="56E9E36B">
      <w:pPr>
        <w:pStyle w:val="4"/>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241" w:firstLineChars="1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（二）建设目标</w:t>
      </w:r>
    </w:p>
    <w:p w14:paraId="6ABA543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以确保造林成果为核心，通过系统、科学的抚育管理，促进幼林健康生长，优化林分结构，提升森林质量和生态稳定性，实现“造一片、活一片、成林一片、效益一片”的最终目的，为森林资源的可持续经营和多功能效益发挥奠定坚实基础。</w:t>
      </w:r>
    </w:p>
    <w:p w14:paraId="7A749C98">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both"/>
        <w:textAlignment w:val="auto"/>
        <w:outlineLvl w:val="1"/>
        <w:rPr>
          <w:rFonts w:hint="eastAsia" w:ascii="宋体" w:hAnsi="宋体" w:eastAsia="宋体" w:cs="宋体"/>
          <w:b/>
          <w:bCs/>
          <w:snapToGrid/>
          <w:color w:val="auto"/>
          <w:kern w:val="2"/>
          <w:sz w:val="24"/>
          <w:szCs w:val="24"/>
          <w:highlight w:val="none"/>
          <w:lang w:val="en-US" w:eastAsia="zh-CN"/>
        </w:rPr>
      </w:pPr>
      <w:bookmarkStart w:id="2" w:name="_Toc15618"/>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snapToGrid/>
          <w:color w:val="auto"/>
          <w:kern w:val="2"/>
          <w:sz w:val="24"/>
          <w:szCs w:val="24"/>
          <w:highlight w:val="none"/>
        </w:rPr>
        <w:t>森林质量精准提升小班幼林抚育</w:t>
      </w:r>
      <w:bookmarkEnd w:id="2"/>
      <w:r>
        <w:rPr>
          <w:rFonts w:hint="eastAsia" w:ascii="宋体" w:hAnsi="宋体" w:cs="宋体"/>
          <w:b/>
          <w:bCs/>
          <w:snapToGrid/>
          <w:color w:val="auto"/>
          <w:kern w:val="2"/>
          <w:sz w:val="24"/>
          <w:szCs w:val="24"/>
          <w:highlight w:val="none"/>
          <w:lang w:val="en-US" w:eastAsia="zh-CN"/>
        </w:rPr>
        <w:t>管护</w:t>
      </w:r>
    </w:p>
    <w:p w14:paraId="69AEFF7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snapToGrid/>
          <w:color w:val="auto"/>
          <w:kern w:val="2"/>
          <w:sz w:val="24"/>
          <w:szCs w:val="24"/>
          <w:highlight w:val="none"/>
          <w:lang w:val="en-US" w:eastAsia="zh-CN"/>
        </w:rPr>
        <w:t>幼林抚育</w:t>
      </w:r>
      <w:r>
        <w:rPr>
          <w:rFonts w:hint="eastAsia" w:ascii="宋体" w:hAnsi="宋体" w:eastAsia="宋体" w:cs="宋体"/>
          <w:snapToGrid/>
          <w:color w:val="auto"/>
          <w:kern w:val="2"/>
          <w:sz w:val="24"/>
          <w:szCs w:val="24"/>
          <w:highlight w:val="none"/>
        </w:rPr>
        <w:t>方式</w:t>
      </w:r>
    </w:p>
    <w:p w14:paraId="41788A2D">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统筹山水林田湖草沙系统治理，</w:t>
      </w:r>
      <w:r>
        <w:rPr>
          <w:rFonts w:hint="eastAsia" w:ascii="宋体" w:hAnsi="宋体" w:eastAsia="宋体" w:cs="宋体"/>
          <w:snapToGrid/>
          <w:color w:val="auto"/>
          <w:kern w:val="2"/>
          <w:sz w:val="24"/>
          <w:szCs w:val="24"/>
          <w:highlight w:val="none"/>
          <w:lang w:val="en-US" w:eastAsia="zh-CN"/>
        </w:rPr>
        <w:t>对实施了</w:t>
      </w:r>
      <w:r>
        <w:rPr>
          <w:rFonts w:hint="eastAsia" w:ascii="宋体" w:hAnsi="宋体" w:eastAsia="宋体" w:cs="宋体"/>
          <w:snapToGrid/>
          <w:color w:val="auto"/>
          <w:kern w:val="2"/>
          <w:sz w:val="24"/>
          <w:szCs w:val="24"/>
          <w:highlight w:val="none"/>
        </w:rPr>
        <w:t>人工造林、更替修复、补植修复、抚育修复方式</w:t>
      </w:r>
      <w:r>
        <w:rPr>
          <w:rFonts w:hint="eastAsia" w:ascii="宋体" w:hAnsi="宋体" w:eastAsia="宋体" w:cs="宋体"/>
          <w:snapToGrid/>
          <w:color w:val="auto"/>
          <w:kern w:val="2"/>
          <w:sz w:val="24"/>
          <w:szCs w:val="24"/>
          <w:highlight w:val="none"/>
          <w:lang w:val="en-US" w:eastAsia="zh-CN"/>
        </w:rPr>
        <w:t>的山场进行抚育</w:t>
      </w:r>
      <w:r>
        <w:rPr>
          <w:rFonts w:hint="eastAsia" w:ascii="宋体" w:hAnsi="宋体" w:eastAsia="宋体" w:cs="宋体"/>
          <w:snapToGrid/>
          <w:color w:val="auto"/>
          <w:kern w:val="2"/>
          <w:sz w:val="24"/>
          <w:szCs w:val="24"/>
          <w:highlight w:val="none"/>
        </w:rPr>
        <w:t>。</w:t>
      </w:r>
    </w:p>
    <w:p w14:paraId="0ACF502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lang w:val="en-US" w:eastAsia="zh-CN"/>
        </w:rPr>
        <w:t>2.</w:t>
      </w:r>
      <w:r>
        <w:rPr>
          <w:rFonts w:hint="eastAsia" w:ascii="宋体" w:hAnsi="宋体" w:eastAsia="宋体" w:cs="宋体"/>
          <w:snapToGrid/>
          <w:color w:val="auto"/>
          <w:kern w:val="2"/>
          <w:sz w:val="24"/>
          <w:szCs w:val="24"/>
          <w:highlight w:val="none"/>
        </w:rPr>
        <w:t>绿化模式幼林抚育</w:t>
      </w:r>
    </w:p>
    <w:p w14:paraId="07A8BD0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w:t>
      </w:r>
      <w:r>
        <w:rPr>
          <w:rFonts w:hint="eastAsia" w:ascii="宋体" w:hAnsi="宋体" w:eastAsia="宋体" w:cs="宋体"/>
          <w:snapToGrid/>
          <w:color w:val="auto"/>
          <w:kern w:val="2"/>
          <w:sz w:val="24"/>
          <w:szCs w:val="24"/>
          <w:highlight w:val="none"/>
          <w:lang w:val="en-US" w:eastAsia="zh-CN"/>
        </w:rPr>
        <w:t>1</w:t>
      </w:r>
      <w:r>
        <w:rPr>
          <w:rFonts w:hint="eastAsia" w:ascii="宋体" w:hAnsi="宋体" w:eastAsia="宋体" w:cs="宋体"/>
          <w:snapToGrid/>
          <w:color w:val="auto"/>
          <w:kern w:val="2"/>
          <w:sz w:val="24"/>
          <w:szCs w:val="24"/>
          <w:highlight w:val="none"/>
        </w:rPr>
        <w:t>）幼林抚育：幼林抚育主要措施有</w:t>
      </w:r>
      <w:r>
        <w:rPr>
          <w:rFonts w:hint="eastAsia" w:ascii="宋体" w:hAnsi="宋体" w:cs="宋体"/>
          <w:snapToGrid/>
          <w:color w:val="auto"/>
          <w:kern w:val="2"/>
          <w:sz w:val="24"/>
          <w:szCs w:val="24"/>
          <w:highlight w:val="none"/>
          <w:lang w:val="en-US" w:eastAsia="zh-CN"/>
        </w:rPr>
        <w:t>割灌、</w:t>
      </w:r>
      <w:r>
        <w:rPr>
          <w:rFonts w:hint="eastAsia" w:ascii="宋体" w:hAnsi="宋体" w:eastAsia="宋体" w:cs="宋体"/>
          <w:snapToGrid/>
          <w:color w:val="auto"/>
          <w:kern w:val="2"/>
          <w:sz w:val="24"/>
          <w:szCs w:val="24"/>
          <w:highlight w:val="none"/>
        </w:rPr>
        <w:t>锄草、松 (培) 土、除萌、施肥等，幼林抚育要适时，抚育时保持生物多样性和防止水土流失，只清除影响幼树生长的杂草杂灌，保留混生的阔叶树和植被带，用清除的杂草和周边的表土培蔸，增强植株的抗旱、抗风能力。</w:t>
      </w:r>
    </w:p>
    <w:p w14:paraId="553598FD">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cs="宋体"/>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rPr>
        <w:t>（</w:t>
      </w:r>
      <w:r>
        <w:rPr>
          <w:rFonts w:hint="eastAsia" w:ascii="宋体" w:hAnsi="宋体" w:eastAsia="宋体" w:cs="宋体"/>
          <w:snapToGrid/>
          <w:color w:val="auto"/>
          <w:kern w:val="2"/>
          <w:sz w:val="24"/>
          <w:szCs w:val="24"/>
          <w:highlight w:val="none"/>
          <w:lang w:val="en-US" w:eastAsia="zh-CN"/>
        </w:rPr>
        <w:t>2</w:t>
      </w:r>
      <w:r>
        <w:rPr>
          <w:rFonts w:hint="eastAsia" w:ascii="宋体" w:hAnsi="宋体" w:eastAsia="宋体" w:cs="宋体"/>
          <w:snapToGrid/>
          <w:color w:val="auto"/>
          <w:kern w:val="2"/>
          <w:sz w:val="24"/>
          <w:szCs w:val="24"/>
          <w:highlight w:val="none"/>
        </w:rPr>
        <w:t>）</w:t>
      </w:r>
      <w:r>
        <w:rPr>
          <w:rFonts w:hint="eastAsia" w:ascii="宋体" w:hAnsi="宋体" w:cs="宋体"/>
          <w:snapToGrid/>
          <w:color w:val="auto"/>
          <w:kern w:val="2"/>
          <w:sz w:val="24"/>
          <w:szCs w:val="24"/>
          <w:highlight w:val="none"/>
          <w:lang w:val="en-US" w:eastAsia="zh-CN"/>
        </w:rPr>
        <w:t>施肥：追肥一次，施复合肥，复合肥约每株300g.</w:t>
      </w:r>
    </w:p>
    <w:p w14:paraId="71BE2612">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cs="宋体"/>
          <w:snapToGrid/>
          <w:color w:val="auto"/>
          <w:kern w:val="2"/>
          <w:sz w:val="24"/>
          <w:szCs w:val="24"/>
          <w:highlight w:val="none"/>
          <w:lang w:val="en-US" w:eastAsia="zh-CN"/>
        </w:rPr>
        <w:t>(3)</w:t>
      </w:r>
      <w:r>
        <w:rPr>
          <w:rFonts w:hint="eastAsia" w:ascii="宋体" w:hAnsi="宋体" w:eastAsia="宋体" w:cs="宋体"/>
          <w:snapToGrid/>
          <w:color w:val="auto"/>
          <w:kern w:val="2"/>
          <w:sz w:val="24"/>
          <w:szCs w:val="24"/>
          <w:highlight w:val="none"/>
          <w:lang w:val="en-US" w:eastAsia="zh-CN"/>
        </w:rPr>
        <w:t>补</w:t>
      </w:r>
      <w:r>
        <w:rPr>
          <w:rFonts w:hint="eastAsia" w:ascii="宋体" w:hAnsi="宋体" w:eastAsia="宋体" w:cs="宋体"/>
          <w:snapToGrid/>
          <w:color w:val="auto"/>
          <w:kern w:val="2"/>
          <w:sz w:val="24"/>
          <w:szCs w:val="24"/>
          <w:highlight w:val="none"/>
        </w:rPr>
        <w:t>植：栽植时间以雨后阴天或小雨天进行为宜</w:t>
      </w:r>
      <w:r>
        <w:rPr>
          <w:rFonts w:hint="eastAsia" w:ascii="宋体" w:hAnsi="宋体" w:cs="宋体"/>
          <w:snapToGrid/>
          <w:color w:val="auto"/>
          <w:kern w:val="2"/>
          <w:sz w:val="24"/>
          <w:szCs w:val="24"/>
          <w:highlight w:val="none"/>
          <w:lang w:eastAsia="zh-CN"/>
        </w:rPr>
        <w:t>，</w:t>
      </w:r>
      <w:r>
        <w:rPr>
          <w:rFonts w:hint="eastAsia" w:ascii="宋体" w:hAnsi="宋体" w:cs="宋体"/>
          <w:snapToGrid/>
          <w:color w:val="auto"/>
          <w:kern w:val="2"/>
          <w:sz w:val="24"/>
          <w:szCs w:val="24"/>
          <w:highlight w:val="none"/>
          <w:lang w:val="en-US" w:eastAsia="zh-CN"/>
        </w:rPr>
        <w:t>使用两年生及以上容器苗。</w:t>
      </w:r>
      <w:r>
        <w:rPr>
          <w:rFonts w:hint="eastAsia" w:ascii="宋体" w:hAnsi="宋体" w:eastAsia="宋体" w:cs="宋体"/>
          <w:snapToGrid/>
          <w:color w:val="auto"/>
          <w:kern w:val="2"/>
          <w:sz w:val="24"/>
          <w:szCs w:val="24"/>
          <w:highlight w:val="none"/>
        </w:rPr>
        <w:t>栽植时，如果苗木为塑料容器袋的，种植前必须将塑料袋底撕破 ，栽植时要压紧，注意不能直接踩在营养土上面，以免踩碎营养土，影响成活率，必须从营养土外侧向内压紧；栽植时，如果苗木为裸根苗，应扶正苗木，居于穴中央，使根系舒展，做到“深栽、不窝根、压实”，然后培土压紧踩实、覆土。</w:t>
      </w:r>
    </w:p>
    <w:p w14:paraId="23179A5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w:t>
      </w:r>
      <w:r>
        <w:rPr>
          <w:rFonts w:hint="eastAsia" w:ascii="宋体" w:hAnsi="宋体" w:cs="宋体"/>
          <w:snapToGrid/>
          <w:color w:val="auto"/>
          <w:kern w:val="2"/>
          <w:sz w:val="24"/>
          <w:szCs w:val="24"/>
          <w:highlight w:val="none"/>
          <w:lang w:val="en-US" w:eastAsia="zh-CN"/>
        </w:rPr>
        <w:t>4</w:t>
      </w:r>
      <w:r>
        <w:rPr>
          <w:rFonts w:hint="eastAsia" w:ascii="宋体" w:hAnsi="宋体" w:eastAsia="宋体" w:cs="宋体"/>
          <w:snapToGrid/>
          <w:color w:val="auto"/>
          <w:kern w:val="2"/>
          <w:sz w:val="24"/>
          <w:szCs w:val="24"/>
          <w:highlight w:val="none"/>
        </w:rPr>
        <w:t>）</w:t>
      </w:r>
      <w:r>
        <w:rPr>
          <w:rFonts w:hint="eastAsia" w:ascii="宋体" w:hAnsi="宋体" w:eastAsia="宋体" w:cs="宋体"/>
          <w:snapToGrid/>
          <w:color w:val="auto"/>
          <w:kern w:val="2"/>
          <w:sz w:val="24"/>
          <w:szCs w:val="24"/>
          <w:highlight w:val="none"/>
          <w:lang w:val="en-US" w:eastAsia="zh-CN"/>
        </w:rPr>
        <w:t>补植</w:t>
      </w:r>
      <w:r>
        <w:rPr>
          <w:rFonts w:hint="eastAsia" w:ascii="宋体" w:hAnsi="宋体" w:eastAsia="宋体" w:cs="宋体"/>
          <w:snapToGrid/>
          <w:color w:val="auto"/>
          <w:kern w:val="2"/>
          <w:sz w:val="24"/>
          <w:szCs w:val="24"/>
          <w:highlight w:val="none"/>
        </w:rPr>
        <w:t>密度：项目根据各绿化模式综合确定，</w:t>
      </w:r>
      <w:r>
        <w:rPr>
          <w:rFonts w:hint="eastAsia" w:ascii="宋体" w:hAnsi="宋体" w:eastAsia="宋体" w:cs="宋体"/>
          <w:snapToGrid/>
          <w:color w:val="auto"/>
          <w:kern w:val="2"/>
          <w:sz w:val="24"/>
          <w:szCs w:val="24"/>
          <w:highlight w:val="none"/>
          <w:lang w:val="en-US" w:eastAsia="zh-CN"/>
        </w:rPr>
        <w:t>人工造林和更替修复</w:t>
      </w:r>
      <w:r>
        <w:rPr>
          <w:rFonts w:hint="eastAsia" w:ascii="宋体" w:hAnsi="宋体" w:cs="宋体"/>
          <w:snapToGrid/>
          <w:color w:val="auto"/>
          <w:kern w:val="2"/>
          <w:sz w:val="24"/>
          <w:szCs w:val="24"/>
          <w:highlight w:val="none"/>
          <w:lang w:val="en-US" w:eastAsia="zh-CN"/>
        </w:rPr>
        <w:t>平均每亩</w:t>
      </w:r>
      <w:r>
        <w:rPr>
          <w:rFonts w:hint="eastAsia" w:ascii="宋体" w:hAnsi="宋体" w:eastAsia="宋体" w:cs="宋体"/>
          <w:snapToGrid/>
          <w:color w:val="auto"/>
          <w:kern w:val="2"/>
          <w:sz w:val="24"/>
          <w:szCs w:val="24"/>
          <w:highlight w:val="none"/>
          <w:lang w:val="en-US" w:eastAsia="zh-CN"/>
        </w:rPr>
        <w:t>补植10株、补植修复</w:t>
      </w:r>
      <w:r>
        <w:rPr>
          <w:rFonts w:hint="eastAsia" w:ascii="宋体" w:hAnsi="宋体" w:cs="宋体"/>
          <w:snapToGrid/>
          <w:color w:val="auto"/>
          <w:kern w:val="2"/>
          <w:sz w:val="24"/>
          <w:szCs w:val="24"/>
          <w:highlight w:val="none"/>
          <w:lang w:val="en-US" w:eastAsia="zh-CN"/>
        </w:rPr>
        <w:t>平均每亩</w:t>
      </w:r>
      <w:r>
        <w:rPr>
          <w:rFonts w:hint="eastAsia" w:ascii="宋体" w:hAnsi="宋体" w:eastAsia="宋体" w:cs="宋体"/>
          <w:snapToGrid/>
          <w:color w:val="auto"/>
          <w:kern w:val="2"/>
          <w:sz w:val="24"/>
          <w:szCs w:val="24"/>
          <w:highlight w:val="none"/>
          <w:lang w:val="en-US" w:eastAsia="zh-CN"/>
        </w:rPr>
        <w:t>补植6株、抚育修复</w:t>
      </w:r>
      <w:r>
        <w:rPr>
          <w:rFonts w:hint="eastAsia" w:ascii="宋体" w:hAnsi="宋体" w:cs="宋体"/>
          <w:snapToGrid/>
          <w:color w:val="auto"/>
          <w:kern w:val="2"/>
          <w:sz w:val="24"/>
          <w:szCs w:val="24"/>
          <w:highlight w:val="none"/>
          <w:lang w:val="en-US" w:eastAsia="zh-CN"/>
        </w:rPr>
        <w:t>平均每亩</w:t>
      </w:r>
      <w:r>
        <w:rPr>
          <w:rFonts w:hint="eastAsia" w:ascii="宋体" w:hAnsi="宋体" w:eastAsia="宋体" w:cs="宋体"/>
          <w:snapToGrid/>
          <w:color w:val="auto"/>
          <w:kern w:val="2"/>
          <w:sz w:val="24"/>
          <w:szCs w:val="24"/>
          <w:highlight w:val="none"/>
          <w:lang w:val="en-US" w:eastAsia="zh-CN"/>
        </w:rPr>
        <w:t>补植1株</w:t>
      </w:r>
      <w:r>
        <w:rPr>
          <w:rFonts w:hint="eastAsia" w:ascii="宋体" w:hAnsi="宋体" w:eastAsia="宋体" w:cs="宋体"/>
          <w:snapToGrid/>
          <w:color w:val="auto"/>
          <w:kern w:val="2"/>
          <w:sz w:val="24"/>
          <w:szCs w:val="24"/>
          <w:highlight w:val="none"/>
        </w:rPr>
        <w:t>。</w:t>
      </w:r>
    </w:p>
    <w:p w14:paraId="3E5511D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w:t>
      </w:r>
      <w:r>
        <w:rPr>
          <w:rFonts w:hint="eastAsia" w:ascii="宋体" w:hAnsi="宋体" w:cs="宋体"/>
          <w:snapToGrid/>
          <w:color w:val="auto"/>
          <w:kern w:val="2"/>
          <w:sz w:val="24"/>
          <w:szCs w:val="24"/>
          <w:highlight w:val="none"/>
          <w:lang w:val="en-US" w:eastAsia="zh-CN"/>
        </w:rPr>
        <w:t>5</w:t>
      </w:r>
      <w:r>
        <w:rPr>
          <w:rFonts w:hint="eastAsia" w:ascii="宋体" w:hAnsi="宋体" w:eastAsia="宋体" w:cs="宋体"/>
          <w:snapToGrid/>
          <w:color w:val="auto"/>
          <w:kern w:val="2"/>
          <w:sz w:val="24"/>
          <w:szCs w:val="24"/>
          <w:highlight w:val="none"/>
        </w:rPr>
        <w:t>）质量要求：要求</w:t>
      </w:r>
      <w:r>
        <w:rPr>
          <w:rFonts w:hint="eastAsia" w:ascii="宋体" w:hAnsi="宋体" w:cs="宋体"/>
          <w:snapToGrid/>
          <w:color w:val="auto"/>
          <w:kern w:val="2"/>
          <w:sz w:val="24"/>
          <w:szCs w:val="24"/>
          <w:highlight w:val="none"/>
          <w:lang w:val="en-US" w:eastAsia="zh-CN"/>
        </w:rPr>
        <w:t>补植苗木</w:t>
      </w:r>
      <w:r>
        <w:rPr>
          <w:rFonts w:hint="eastAsia" w:ascii="宋体" w:hAnsi="宋体" w:eastAsia="宋体" w:cs="宋体"/>
          <w:snapToGrid/>
          <w:color w:val="auto"/>
          <w:kern w:val="2"/>
          <w:sz w:val="24"/>
          <w:szCs w:val="24"/>
          <w:highlight w:val="none"/>
        </w:rPr>
        <w:t>成活率应达90%及以上，苗木规格等符合</w:t>
      </w:r>
      <w:r>
        <w:rPr>
          <w:rFonts w:hint="eastAsia" w:ascii="宋体" w:hAnsi="宋体" w:cs="宋体"/>
          <w:snapToGrid/>
          <w:color w:val="auto"/>
          <w:kern w:val="2"/>
          <w:sz w:val="24"/>
          <w:szCs w:val="24"/>
          <w:highlight w:val="none"/>
          <w:lang w:eastAsia="zh-CN"/>
        </w:rPr>
        <w:t>《</w:t>
      </w:r>
      <w:r>
        <w:rPr>
          <w:rFonts w:hint="eastAsia" w:ascii="宋体" w:hAnsi="宋体" w:cs="宋体"/>
          <w:snapToGrid/>
          <w:color w:val="auto"/>
          <w:kern w:val="2"/>
          <w:sz w:val="24"/>
          <w:szCs w:val="24"/>
          <w:highlight w:val="none"/>
          <w:lang w:val="en-US" w:eastAsia="zh-CN"/>
        </w:rPr>
        <w:t>作业设计</w:t>
      </w:r>
      <w:r>
        <w:rPr>
          <w:rFonts w:hint="eastAsia" w:ascii="宋体" w:hAnsi="宋体" w:cs="宋体"/>
          <w:snapToGrid/>
          <w:color w:val="auto"/>
          <w:kern w:val="2"/>
          <w:sz w:val="24"/>
          <w:szCs w:val="24"/>
          <w:highlight w:val="none"/>
          <w:lang w:eastAsia="zh-CN"/>
        </w:rPr>
        <w:t>》</w:t>
      </w:r>
      <w:r>
        <w:rPr>
          <w:rFonts w:hint="eastAsia" w:ascii="宋体" w:hAnsi="宋体" w:cs="宋体"/>
          <w:snapToGrid/>
          <w:color w:val="auto"/>
          <w:kern w:val="2"/>
          <w:sz w:val="24"/>
          <w:szCs w:val="24"/>
          <w:highlight w:val="none"/>
          <w:lang w:val="en-US" w:eastAsia="zh-CN"/>
        </w:rPr>
        <w:t>及</w:t>
      </w:r>
      <w:r>
        <w:rPr>
          <w:rFonts w:hint="eastAsia" w:ascii="宋体" w:hAnsi="宋体" w:eastAsia="宋体" w:cs="宋体"/>
          <w:snapToGrid/>
          <w:color w:val="auto"/>
          <w:kern w:val="2"/>
          <w:sz w:val="24"/>
          <w:szCs w:val="24"/>
          <w:highlight w:val="none"/>
        </w:rPr>
        <w:t>技术方案要求。</w:t>
      </w:r>
    </w:p>
    <w:p w14:paraId="53591E6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w:t>
      </w:r>
      <w:r>
        <w:rPr>
          <w:rFonts w:hint="eastAsia" w:ascii="宋体" w:hAnsi="宋体" w:cs="宋体"/>
          <w:snapToGrid/>
          <w:color w:val="auto"/>
          <w:kern w:val="2"/>
          <w:sz w:val="24"/>
          <w:szCs w:val="24"/>
          <w:highlight w:val="none"/>
          <w:lang w:val="en-US" w:eastAsia="zh-CN"/>
        </w:rPr>
        <w:t>6</w:t>
      </w:r>
      <w:r>
        <w:rPr>
          <w:rFonts w:hint="eastAsia" w:ascii="宋体" w:hAnsi="宋体" w:eastAsia="宋体" w:cs="宋体"/>
          <w:snapToGrid/>
          <w:color w:val="auto"/>
          <w:kern w:val="2"/>
          <w:sz w:val="24"/>
          <w:szCs w:val="24"/>
          <w:highlight w:val="none"/>
        </w:rPr>
        <w:t>）管护措施：项目建设期间或建设期完成后应加强项目区护林防火、森林病虫害防治等工作，明确管护主体、落实专职管护人员，签订管护责任合同，明确责、权、利，确保建设成效。</w:t>
      </w:r>
    </w:p>
    <w:p w14:paraId="76E8A91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outlineLvl w:val="1"/>
        <w:rPr>
          <w:rFonts w:hint="eastAsia" w:ascii="宋体" w:hAnsi="宋体" w:eastAsia="宋体" w:cs="宋体"/>
          <w:b/>
          <w:bCs/>
          <w:snapToGrid/>
          <w:color w:val="auto"/>
          <w:kern w:val="2"/>
          <w:sz w:val="24"/>
          <w:szCs w:val="24"/>
          <w:highlight w:val="none"/>
        </w:rPr>
      </w:pPr>
      <w:bookmarkStart w:id="3" w:name="_Toc15197"/>
      <w:r>
        <w:rPr>
          <w:rFonts w:hint="eastAsia" w:ascii="宋体" w:hAnsi="宋体" w:eastAsia="宋体" w:cs="宋体"/>
          <w:color w:val="auto"/>
          <w:sz w:val="24"/>
          <w:szCs w:val="24"/>
          <w:highlight w:val="none"/>
          <w:lang w:val="en-US" w:eastAsia="zh-CN"/>
        </w:rPr>
        <w:t>3.</w:t>
      </w:r>
      <w:r>
        <w:rPr>
          <w:rFonts w:hint="eastAsia" w:ascii="宋体" w:hAnsi="宋体" w:eastAsia="宋体" w:cs="宋体"/>
          <w:b/>
          <w:bCs/>
          <w:snapToGrid/>
          <w:color w:val="auto"/>
          <w:kern w:val="2"/>
          <w:sz w:val="24"/>
          <w:szCs w:val="24"/>
          <w:highlight w:val="none"/>
        </w:rPr>
        <w:t>油茶资源高质量培育小班幼林抚育</w:t>
      </w:r>
      <w:bookmarkEnd w:id="3"/>
    </w:p>
    <w:p w14:paraId="4FF276E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3.1油茶新造幼林抚育</w:t>
      </w:r>
    </w:p>
    <w:p w14:paraId="6CBFAB1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w:t>
      </w:r>
      <w:r>
        <w:rPr>
          <w:rFonts w:hint="eastAsia" w:ascii="宋体" w:hAnsi="宋体" w:eastAsia="宋体" w:cs="宋体"/>
          <w:snapToGrid/>
          <w:color w:val="auto"/>
          <w:kern w:val="2"/>
          <w:sz w:val="24"/>
          <w:szCs w:val="24"/>
          <w:highlight w:val="none"/>
          <w:lang w:val="en-US" w:eastAsia="zh-CN"/>
        </w:rPr>
        <w:t>1）</w:t>
      </w:r>
      <w:r>
        <w:rPr>
          <w:rFonts w:hint="eastAsia" w:ascii="宋体" w:hAnsi="宋体" w:eastAsia="宋体" w:cs="宋体"/>
          <w:color w:val="auto"/>
          <w:sz w:val="24"/>
          <w:szCs w:val="24"/>
          <w:highlight w:val="none"/>
        </w:rPr>
        <w:t>幼林抚育：幼林抚育主要措施有</w:t>
      </w:r>
      <w:r>
        <w:rPr>
          <w:rFonts w:hint="eastAsia" w:ascii="宋体" w:hAnsi="宋体" w:cs="宋体"/>
          <w:snapToGrid/>
          <w:color w:val="auto"/>
          <w:kern w:val="2"/>
          <w:sz w:val="24"/>
          <w:szCs w:val="24"/>
          <w:highlight w:val="none"/>
          <w:lang w:val="en-US" w:eastAsia="zh-CN"/>
        </w:rPr>
        <w:t>割灌、</w:t>
      </w:r>
      <w:r>
        <w:rPr>
          <w:rFonts w:hint="eastAsia" w:ascii="宋体" w:hAnsi="宋体" w:eastAsia="宋体" w:cs="宋体"/>
          <w:color w:val="auto"/>
          <w:sz w:val="24"/>
          <w:szCs w:val="24"/>
          <w:highlight w:val="none"/>
        </w:rPr>
        <w:t>锄草、松 (培) 土、施肥等，幼林抚育要适时，抚育时保持生物多样性和防止水土流失，用清除的杂草和周边的表土培蔸，增强植株的抗旱、抗风能力。</w:t>
      </w:r>
    </w:p>
    <w:p w14:paraId="7CE0BCD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w:t>
      </w:r>
      <w:r>
        <w:rPr>
          <w:rFonts w:hint="eastAsia" w:ascii="宋体" w:hAnsi="宋体" w:eastAsia="宋体" w:cs="宋体"/>
          <w:snapToGrid/>
          <w:color w:val="auto"/>
          <w:kern w:val="2"/>
          <w:sz w:val="24"/>
          <w:szCs w:val="24"/>
          <w:highlight w:val="none"/>
          <w:lang w:val="en-US" w:eastAsia="zh-CN"/>
        </w:rPr>
        <w:t>2</w:t>
      </w:r>
      <w:r>
        <w:rPr>
          <w:rFonts w:hint="eastAsia" w:ascii="宋体" w:hAnsi="宋体" w:eastAsia="宋体" w:cs="宋体"/>
          <w:snapToGrid/>
          <w:color w:val="auto"/>
          <w:kern w:val="2"/>
          <w:sz w:val="24"/>
          <w:szCs w:val="24"/>
          <w:highlight w:val="none"/>
        </w:rPr>
        <w:t>）</w:t>
      </w:r>
      <w:r>
        <w:rPr>
          <w:rFonts w:hint="eastAsia" w:ascii="宋体" w:hAnsi="宋体" w:cs="宋体"/>
          <w:color w:val="auto"/>
          <w:sz w:val="24"/>
          <w:szCs w:val="24"/>
          <w:highlight w:val="none"/>
          <w:lang w:val="en-US" w:eastAsia="zh-CN"/>
        </w:rPr>
        <w:t>追肥：</w:t>
      </w:r>
      <w:r>
        <w:rPr>
          <w:rFonts w:hint="eastAsia" w:ascii="宋体" w:hAnsi="宋体" w:eastAsia="宋体" w:cs="宋体"/>
          <w:color w:val="auto"/>
          <w:sz w:val="24"/>
          <w:szCs w:val="24"/>
          <w:highlight w:val="none"/>
        </w:rPr>
        <w:t>追肥一次，施复合肥，复合肥约每株</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0g。</w:t>
      </w:r>
    </w:p>
    <w:p w14:paraId="3F8EFC2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w:t>
      </w:r>
      <w:r>
        <w:rPr>
          <w:rFonts w:hint="eastAsia" w:ascii="宋体" w:hAnsi="宋体" w:cs="宋体"/>
          <w:snapToGrid/>
          <w:color w:val="auto"/>
          <w:kern w:val="2"/>
          <w:sz w:val="24"/>
          <w:szCs w:val="24"/>
          <w:highlight w:val="none"/>
          <w:lang w:val="en-US" w:eastAsia="zh-CN"/>
        </w:rPr>
        <w:t>3</w:t>
      </w:r>
      <w:r>
        <w:rPr>
          <w:rFonts w:hint="eastAsia" w:ascii="宋体" w:hAnsi="宋体" w:eastAsia="宋体" w:cs="宋体"/>
          <w:snapToGrid/>
          <w:color w:val="auto"/>
          <w:kern w:val="2"/>
          <w:sz w:val="24"/>
          <w:szCs w:val="24"/>
          <w:highlight w:val="none"/>
        </w:rPr>
        <w:t>）</w:t>
      </w:r>
      <w:r>
        <w:rPr>
          <w:rFonts w:hint="eastAsia" w:ascii="宋体" w:hAnsi="宋体" w:eastAsia="宋体" w:cs="宋体"/>
          <w:snapToGrid/>
          <w:color w:val="auto"/>
          <w:kern w:val="2"/>
          <w:sz w:val="24"/>
          <w:szCs w:val="24"/>
          <w:highlight w:val="none"/>
          <w:lang w:val="en-US" w:eastAsia="zh-CN"/>
        </w:rPr>
        <w:t>补植</w:t>
      </w:r>
      <w:r>
        <w:rPr>
          <w:rFonts w:hint="eastAsia" w:ascii="宋体" w:hAnsi="宋体" w:eastAsia="宋体" w:cs="宋体"/>
          <w:snapToGrid/>
          <w:color w:val="auto"/>
          <w:kern w:val="2"/>
          <w:sz w:val="24"/>
          <w:szCs w:val="24"/>
          <w:highlight w:val="none"/>
        </w:rPr>
        <w:t>：根据立地条件和经营目标等综合确定</w:t>
      </w:r>
      <w:r>
        <w:rPr>
          <w:rFonts w:hint="eastAsia" w:ascii="宋体" w:hAnsi="宋体" w:cs="宋体"/>
          <w:snapToGrid/>
          <w:color w:val="auto"/>
          <w:kern w:val="2"/>
          <w:sz w:val="24"/>
          <w:szCs w:val="24"/>
          <w:highlight w:val="none"/>
          <w:lang w:val="en-US" w:eastAsia="zh-CN"/>
        </w:rPr>
        <w:t>平均每亩</w:t>
      </w:r>
      <w:r>
        <w:rPr>
          <w:rFonts w:hint="eastAsia" w:ascii="宋体" w:hAnsi="宋体" w:eastAsia="宋体" w:cs="宋体"/>
          <w:snapToGrid/>
          <w:color w:val="auto"/>
          <w:kern w:val="2"/>
          <w:sz w:val="24"/>
          <w:szCs w:val="24"/>
          <w:highlight w:val="none"/>
          <w:lang w:val="en-US" w:eastAsia="zh-CN"/>
        </w:rPr>
        <w:t>补</w:t>
      </w:r>
      <w:r>
        <w:rPr>
          <w:rFonts w:hint="eastAsia" w:ascii="宋体" w:hAnsi="宋体" w:eastAsia="宋体" w:cs="宋体"/>
          <w:snapToGrid/>
          <w:color w:val="auto"/>
          <w:kern w:val="2"/>
          <w:sz w:val="24"/>
          <w:szCs w:val="24"/>
          <w:highlight w:val="none"/>
        </w:rPr>
        <w:t>植密度</w:t>
      </w:r>
      <w:r>
        <w:rPr>
          <w:rFonts w:hint="eastAsia" w:ascii="宋体" w:hAnsi="宋体" w:eastAsia="宋体" w:cs="宋体"/>
          <w:snapToGrid/>
          <w:color w:val="auto"/>
          <w:kern w:val="2"/>
          <w:sz w:val="24"/>
          <w:szCs w:val="24"/>
          <w:highlight w:val="none"/>
          <w:lang w:val="en-US" w:eastAsia="zh-CN"/>
        </w:rPr>
        <w:t>7</w:t>
      </w:r>
      <w:r>
        <w:rPr>
          <w:rFonts w:hint="eastAsia" w:ascii="宋体" w:hAnsi="宋体" w:eastAsia="宋体" w:cs="宋体"/>
          <w:snapToGrid/>
          <w:color w:val="auto"/>
          <w:kern w:val="2"/>
          <w:sz w:val="24"/>
          <w:szCs w:val="24"/>
          <w:highlight w:val="none"/>
        </w:rPr>
        <w:t>株</w:t>
      </w: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lang w:val="en-US" w:eastAsia="zh-CN"/>
        </w:rPr>
        <w:t>苗木</w:t>
      </w:r>
      <w:r>
        <w:rPr>
          <w:rFonts w:hint="eastAsia" w:ascii="宋体" w:hAnsi="宋体" w:eastAsia="宋体" w:cs="宋体"/>
          <w:snapToGrid/>
          <w:color w:val="auto"/>
          <w:kern w:val="2"/>
          <w:sz w:val="24"/>
          <w:szCs w:val="24"/>
          <w:highlight w:val="none"/>
          <w:lang w:eastAsia="zh-CN"/>
        </w:rPr>
        <w:t>良种使用3年</w:t>
      </w:r>
      <w:r>
        <w:rPr>
          <w:rFonts w:hint="eastAsia" w:ascii="宋体" w:hAnsi="宋体" w:cs="宋体"/>
          <w:snapToGrid/>
          <w:color w:val="auto"/>
          <w:kern w:val="2"/>
          <w:sz w:val="24"/>
          <w:szCs w:val="24"/>
          <w:highlight w:val="none"/>
          <w:lang w:eastAsia="zh-CN"/>
        </w:rPr>
        <w:t>（</w:t>
      </w:r>
      <w:r>
        <w:rPr>
          <w:rFonts w:hint="eastAsia" w:ascii="宋体" w:hAnsi="宋体" w:cs="宋体"/>
          <w:snapToGrid/>
          <w:color w:val="auto"/>
          <w:kern w:val="2"/>
          <w:sz w:val="24"/>
          <w:szCs w:val="24"/>
          <w:highlight w:val="none"/>
          <w:lang w:val="en-US" w:eastAsia="zh-CN"/>
        </w:rPr>
        <w:t>含</w:t>
      </w:r>
      <w:r>
        <w:rPr>
          <w:rFonts w:hint="eastAsia" w:ascii="宋体" w:hAnsi="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lang w:eastAsia="zh-CN"/>
        </w:rPr>
        <w:t>生以上容器苗，3年生容器苗苗高需≥6</w:t>
      </w:r>
      <w:r>
        <w:rPr>
          <w:rFonts w:hint="eastAsia" w:ascii="宋体" w:hAnsi="宋体" w:cs="宋体"/>
          <w:snapToGrid/>
          <w:color w:val="auto"/>
          <w:kern w:val="2"/>
          <w:sz w:val="24"/>
          <w:szCs w:val="24"/>
          <w:highlight w:val="none"/>
          <w:lang w:val="en-US" w:eastAsia="zh-CN"/>
        </w:rPr>
        <w:t>5</w:t>
      </w:r>
      <w:r>
        <w:rPr>
          <w:rFonts w:hint="eastAsia" w:ascii="宋体" w:hAnsi="宋体" w:eastAsia="宋体" w:cs="宋体"/>
          <w:snapToGrid/>
          <w:color w:val="auto"/>
          <w:kern w:val="2"/>
          <w:sz w:val="24"/>
          <w:szCs w:val="24"/>
          <w:highlight w:val="none"/>
          <w:lang w:eastAsia="zh-CN"/>
        </w:rPr>
        <w:t xml:space="preserve"> 厘米，地径需≥0.</w:t>
      </w:r>
      <w:r>
        <w:rPr>
          <w:rFonts w:hint="eastAsia" w:ascii="宋体" w:hAnsi="宋体" w:cs="宋体"/>
          <w:snapToGrid/>
          <w:color w:val="auto"/>
          <w:kern w:val="2"/>
          <w:sz w:val="24"/>
          <w:szCs w:val="24"/>
          <w:highlight w:val="none"/>
          <w:lang w:val="en-US" w:eastAsia="zh-CN"/>
        </w:rPr>
        <w:t>75</w:t>
      </w:r>
      <w:r>
        <w:rPr>
          <w:rFonts w:hint="eastAsia" w:ascii="宋体" w:hAnsi="宋体" w:eastAsia="宋体" w:cs="宋体"/>
          <w:snapToGrid/>
          <w:color w:val="auto"/>
          <w:kern w:val="2"/>
          <w:sz w:val="24"/>
          <w:szCs w:val="24"/>
          <w:highlight w:val="none"/>
          <w:lang w:eastAsia="zh-CN"/>
        </w:rPr>
        <w:t xml:space="preserve"> 厘米，一级分枝在三个以上。苗木要求根团完整，侧根须根发达并与基质紧密结合，生长健壮，无检疫对象。</w:t>
      </w:r>
      <w:r>
        <w:rPr>
          <w:rFonts w:hint="eastAsia" w:ascii="宋体" w:hAnsi="宋体" w:eastAsia="宋体" w:cs="宋体"/>
          <w:snapToGrid/>
          <w:color w:val="auto"/>
          <w:kern w:val="2"/>
          <w:sz w:val="24"/>
          <w:szCs w:val="24"/>
          <w:highlight w:val="none"/>
        </w:rPr>
        <w:t>。</w:t>
      </w:r>
    </w:p>
    <w:p w14:paraId="166C176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3.2</w:t>
      </w:r>
      <w:r>
        <w:rPr>
          <w:rFonts w:hint="eastAsia" w:ascii="宋体" w:hAnsi="宋体" w:eastAsia="宋体" w:cs="宋体"/>
          <w:snapToGrid/>
          <w:color w:val="auto"/>
          <w:kern w:val="2"/>
          <w:sz w:val="24"/>
          <w:szCs w:val="24"/>
          <w:highlight w:val="none"/>
          <w:lang w:val="en-US" w:eastAsia="zh-CN"/>
        </w:rPr>
        <w:t>油茶</w:t>
      </w:r>
      <w:r>
        <w:rPr>
          <w:rFonts w:hint="eastAsia" w:ascii="宋体" w:hAnsi="宋体" w:eastAsia="宋体" w:cs="宋体"/>
          <w:snapToGrid/>
          <w:color w:val="auto"/>
          <w:kern w:val="2"/>
          <w:sz w:val="24"/>
          <w:szCs w:val="24"/>
          <w:highlight w:val="none"/>
        </w:rPr>
        <w:t>抚育改造幼林抚育</w:t>
      </w:r>
    </w:p>
    <w:p w14:paraId="3950D1D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lang w:val="en-US" w:eastAsia="zh-CN"/>
        </w:rPr>
        <w:t>1</w:t>
      </w: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rPr>
        <w:t>砍杂清理：采取</w:t>
      </w:r>
      <w:r>
        <w:rPr>
          <w:rFonts w:hint="eastAsia" w:ascii="宋体" w:hAnsi="宋体" w:eastAsia="宋体" w:cs="宋体"/>
          <w:snapToGrid/>
          <w:color w:val="auto"/>
          <w:kern w:val="2"/>
          <w:sz w:val="24"/>
          <w:szCs w:val="24"/>
          <w:highlight w:val="none"/>
          <w:lang w:val="en-US" w:eastAsia="zh-CN"/>
        </w:rPr>
        <w:t>全面砍杂</w:t>
      </w:r>
      <w:r>
        <w:rPr>
          <w:rFonts w:hint="eastAsia" w:ascii="宋体" w:hAnsi="宋体" w:eastAsia="宋体" w:cs="宋体"/>
          <w:snapToGrid/>
          <w:color w:val="auto"/>
          <w:kern w:val="2"/>
          <w:sz w:val="24"/>
          <w:szCs w:val="24"/>
          <w:highlight w:val="none"/>
        </w:rPr>
        <w:t>清理。</w:t>
      </w:r>
    </w:p>
    <w:p w14:paraId="76A6FDF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lang w:val="en-US" w:eastAsia="zh-CN"/>
        </w:rPr>
        <w:t>2</w:t>
      </w:r>
      <w:r>
        <w:rPr>
          <w:rFonts w:hint="eastAsia" w:ascii="宋体" w:hAnsi="宋体" w:eastAsia="宋体" w:cs="宋体"/>
          <w:snapToGrid/>
          <w:color w:val="auto"/>
          <w:kern w:val="2"/>
          <w:sz w:val="24"/>
          <w:szCs w:val="24"/>
          <w:highlight w:val="none"/>
          <w:lang w:eastAsia="zh-CN"/>
        </w:rPr>
        <w:t>）良种选择：</w:t>
      </w:r>
      <w:r>
        <w:rPr>
          <w:rFonts w:hint="eastAsia" w:ascii="宋体" w:hAnsi="宋体" w:cs="宋体"/>
          <w:snapToGrid/>
          <w:color w:val="auto"/>
          <w:kern w:val="2"/>
          <w:sz w:val="24"/>
          <w:szCs w:val="24"/>
          <w:highlight w:val="none"/>
          <w:lang w:val="en-US" w:eastAsia="zh-CN"/>
        </w:rPr>
        <w:t>苗木</w:t>
      </w:r>
      <w:r>
        <w:rPr>
          <w:rFonts w:hint="eastAsia" w:ascii="宋体" w:hAnsi="宋体" w:eastAsia="宋体" w:cs="宋体"/>
          <w:snapToGrid/>
          <w:color w:val="auto"/>
          <w:kern w:val="2"/>
          <w:sz w:val="24"/>
          <w:szCs w:val="24"/>
          <w:highlight w:val="none"/>
          <w:lang w:eastAsia="zh-CN"/>
        </w:rPr>
        <w:t>良种使用3年</w:t>
      </w:r>
      <w:r>
        <w:rPr>
          <w:rFonts w:hint="eastAsia" w:ascii="宋体" w:hAnsi="宋体" w:cs="宋体"/>
          <w:snapToGrid/>
          <w:color w:val="auto"/>
          <w:kern w:val="2"/>
          <w:sz w:val="24"/>
          <w:szCs w:val="24"/>
          <w:highlight w:val="none"/>
          <w:lang w:eastAsia="zh-CN"/>
        </w:rPr>
        <w:t>（</w:t>
      </w:r>
      <w:r>
        <w:rPr>
          <w:rFonts w:hint="eastAsia" w:ascii="宋体" w:hAnsi="宋体" w:cs="宋体"/>
          <w:snapToGrid/>
          <w:color w:val="auto"/>
          <w:kern w:val="2"/>
          <w:sz w:val="24"/>
          <w:szCs w:val="24"/>
          <w:highlight w:val="none"/>
          <w:lang w:val="en-US" w:eastAsia="zh-CN"/>
        </w:rPr>
        <w:t>含</w:t>
      </w:r>
      <w:r>
        <w:rPr>
          <w:rFonts w:hint="eastAsia" w:ascii="宋体" w:hAnsi="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lang w:eastAsia="zh-CN"/>
        </w:rPr>
        <w:t>生以上容器苗，3年生容器苗苗高需≥6</w:t>
      </w:r>
      <w:r>
        <w:rPr>
          <w:rFonts w:hint="eastAsia" w:ascii="宋体" w:hAnsi="宋体" w:cs="宋体"/>
          <w:snapToGrid/>
          <w:color w:val="auto"/>
          <w:kern w:val="2"/>
          <w:sz w:val="24"/>
          <w:szCs w:val="24"/>
          <w:highlight w:val="none"/>
          <w:lang w:val="en-US" w:eastAsia="zh-CN"/>
        </w:rPr>
        <w:t>5</w:t>
      </w:r>
      <w:r>
        <w:rPr>
          <w:rFonts w:hint="eastAsia" w:ascii="宋体" w:hAnsi="宋体" w:eastAsia="宋体" w:cs="宋体"/>
          <w:snapToGrid/>
          <w:color w:val="auto"/>
          <w:kern w:val="2"/>
          <w:sz w:val="24"/>
          <w:szCs w:val="24"/>
          <w:highlight w:val="none"/>
          <w:lang w:eastAsia="zh-CN"/>
        </w:rPr>
        <w:t>厘米，地径需≥0.</w:t>
      </w:r>
      <w:r>
        <w:rPr>
          <w:rFonts w:hint="eastAsia" w:ascii="宋体" w:hAnsi="宋体" w:cs="宋体"/>
          <w:snapToGrid/>
          <w:color w:val="auto"/>
          <w:kern w:val="2"/>
          <w:sz w:val="24"/>
          <w:szCs w:val="24"/>
          <w:highlight w:val="none"/>
          <w:lang w:val="en-US" w:eastAsia="zh-CN"/>
        </w:rPr>
        <w:t>75</w:t>
      </w:r>
      <w:r>
        <w:rPr>
          <w:rFonts w:hint="eastAsia" w:ascii="宋体" w:hAnsi="宋体" w:eastAsia="宋体" w:cs="宋体"/>
          <w:snapToGrid/>
          <w:color w:val="auto"/>
          <w:kern w:val="2"/>
          <w:sz w:val="24"/>
          <w:szCs w:val="24"/>
          <w:highlight w:val="none"/>
          <w:lang w:eastAsia="zh-CN"/>
        </w:rPr>
        <w:t xml:space="preserve"> 厘米，一级分枝在三个以上。苗木要求根团完整，侧根须根发达并与基质紧密结合，生长健壮，无检疫对象。</w:t>
      </w:r>
    </w:p>
    <w:p w14:paraId="5F0BDDE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w:t>
      </w:r>
      <w:r>
        <w:rPr>
          <w:rFonts w:hint="eastAsia" w:ascii="宋体" w:hAnsi="宋体" w:eastAsia="宋体" w:cs="宋体"/>
          <w:snapToGrid/>
          <w:color w:val="auto"/>
          <w:kern w:val="2"/>
          <w:sz w:val="24"/>
          <w:szCs w:val="24"/>
          <w:highlight w:val="none"/>
          <w:lang w:val="en-US" w:eastAsia="zh-CN"/>
        </w:rPr>
        <w:t>3</w:t>
      </w:r>
      <w:r>
        <w:rPr>
          <w:rFonts w:hint="eastAsia" w:ascii="宋体" w:hAnsi="宋体" w:eastAsia="宋体" w:cs="宋体"/>
          <w:snapToGrid/>
          <w:color w:val="auto"/>
          <w:kern w:val="2"/>
          <w:sz w:val="24"/>
          <w:szCs w:val="24"/>
          <w:highlight w:val="none"/>
        </w:rPr>
        <w:t>）补植密度：根据</w:t>
      </w:r>
      <w:r>
        <w:rPr>
          <w:rFonts w:hint="eastAsia" w:ascii="宋体" w:hAnsi="宋体" w:eastAsia="宋体" w:cs="宋体"/>
          <w:snapToGrid/>
          <w:color w:val="auto"/>
          <w:kern w:val="2"/>
          <w:sz w:val="24"/>
          <w:szCs w:val="24"/>
          <w:highlight w:val="none"/>
          <w:lang w:val="en-US" w:eastAsia="zh-CN"/>
        </w:rPr>
        <w:t>山场</w:t>
      </w:r>
      <w:r>
        <w:rPr>
          <w:rFonts w:hint="eastAsia" w:ascii="宋体" w:hAnsi="宋体" w:eastAsia="宋体" w:cs="宋体"/>
          <w:snapToGrid/>
          <w:color w:val="auto"/>
          <w:kern w:val="2"/>
          <w:sz w:val="24"/>
          <w:szCs w:val="24"/>
          <w:highlight w:val="none"/>
        </w:rPr>
        <w:t>确定</w:t>
      </w:r>
      <w:r>
        <w:rPr>
          <w:rFonts w:hint="eastAsia" w:ascii="宋体" w:hAnsi="宋体" w:cs="宋体"/>
          <w:snapToGrid/>
          <w:color w:val="auto"/>
          <w:kern w:val="2"/>
          <w:sz w:val="24"/>
          <w:szCs w:val="24"/>
          <w:highlight w:val="none"/>
          <w:lang w:val="en-US" w:eastAsia="zh-CN"/>
        </w:rPr>
        <w:t>平均每亩</w:t>
      </w:r>
      <w:r>
        <w:rPr>
          <w:rFonts w:hint="eastAsia" w:ascii="宋体" w:hAnsi="宋体" w:eastAsia="宋体" w:cs="宋体"/>
          <w:snapToGrid/>
          <w:color w:val="auto"/>
          <w:kern w:val="2"/>
          <w:sz w:val="24"/>
          <w:szCs w:val="24"/>
          <w:highlight w:val="none"/>
        </w:rPr>
        <w:t>补植</w:t>
      </w:r>
      <w:r>
        <w:rPr>
          <w:rFonts w:hint="eastAsia" w:ascii="宋体" w:hAnsi="宋体" w:eastAsia="宋体" w:cs="宋体"/>
          <w:snapToGrid/>
          <w:color w:val="auto"/>
          <w:kern w:val="2"/>
          <w:sz w:val="24"/>
          <w:szCs w:val="24"/>
          <w:highlight w:val="none"/>
          <w:lang w:val="en-US" w:eastAsia="zh-CN"/>
        </w:rPr>
        <w:t>1</w:t>
      </w:r>
      <w:r>
        <w:rPr>
          <w:rFonts w:hint="eastAsia" w:ascii="宋体" w:hAnsi="宋体" w:eastAsia="宋体" w:cs="宋体"/>
          <w:snapToGrid/>
          <w:color w:val="auto"/>
          <w:kern w:val="2"/>
          <w:sz w:val="24"/>
          <w:szCs w:val="24"/>
          <w:highlight w:val="none"/>
        </w:rPr>
        <w:t>株。</w:t>
      </w:r>
    </w:p>
    <w:p w14:paraId="2487E213">
      <w:pPr>
        <w:pStyle w:val="4"/>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rPr>
        <w:t>（</w:t>
      </w:r>
      <w:r>
        <w:rPr>
          <w:rFonts w:hint="eastAsia" w:ascii="宋体" w:hAnsi="宋体" w:eastAsia="宋体" w:cs="宋体"/>
          <w:snapToGrid/>
          <w:color w:val="auto"/>
          <w:kern w:val="2"/>
          <w:sz w:val="24"/>
          <w:szCs w:val="24"/>
          <w:highlight w:val="none"/>
          <w:lang w:val="en-US" w:eastAsia="zh-CN"/>
        </w:rPr>
        <w:t>4</w:t>
      </w:r>
      <w:r>
        <w:rPr>
          <w:rFonts w:hint="eastAsia" w:ascii="宋体" w:hAnsi="宋体" w:eastAsia="宋体" w:cs="宋体"/>
          <w:snapToGrid/>
          <w:color w:val="auto"/>
          <w:kern w:val="2"/>
          <w:sz w:val="24"/>
          <w:szCs w:val="24"/>
          <w:highlight w:val="none"/>
        </w:rPr>
        <w:t>）幼林抚育：</w:t>
      </w:r>
      <w:r>
        <w:rPr>
          <w:rFonts w:hint="eastAsia" w:ascii="宋体" w:hAnsi="宋体" w:eastAsia="宋体" w:cs="宋体"/>
          <w:snapToGrid/>
          <w:color w:val="auto"/>
          <w:kern w:val="2"/>
          <w:sz w:val="24"/>
          <w:szCs w:val="24"/>
          <w:highlight w:val="none"/>
          <w:lang w:val="en-US" w:eastAsia="zh-CN"/>
        </w:rPr>
        <w:t>对幼苗</w:t>
      </w:r>
      <w:r>
        <w:rPr>
          <w:rFonts w:hint="eastAsia" w:ascii="宋体" w:hAnsi="宋体" w:eastAsia="宋体" w:cs="宋体"/>
          <w:snapToGrid/>
          <w:color w:val="auto"/>
          <w:kern w:val="2"/>
          <w:sz w:val="24"/>
          <w:szCs w:val="24"/>
          <w:highlight w:val="none"/>
        </w:rPr>
        <w:t>主要措施有松 (培) 土、施肥等，幼林抚育要适时，抚育时保持生物多样性和防止水土流失，用清除的杂草和周边的表土培蔸，增强植株的抗旱、抗风能力。</w:t>
      </w:r>
    </w:p>
    <w:p w14:paraId="1E5155E8">
      <w:pPr>
        <w:pStyle w:val="4"/>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napToGrid/>
          <w:color w:val="auto"/>
          <w:kern w:val="2"/>
          <w:sz w:val="24"/>
          <w:szCs w:val="24"/>
          <w:highlight w:val="none"/>
          <w:lang w:eastAsia="zh-CN"/>
        </w:rPr>
      </w:pPr>
      <w:r>
        <w:rPr>
          <w:rFonts w:hint="eastAsia" w:ascii="宋体" w:hAnsi="宋体" w:cs="宋体"/>
          <w:snapToGrid/>
          <w:color w:val="auto"/>
          <w:kern w:val="2"/>
          <w:sz w:val="24"/>
          <w:szCs w:val="24"/>
          <w:highlight w:val="none"/>
          <w:lang w:eastAsia="zh-CN"/>
        </w:rPr>
        <w:t>（</w:t>
      </w:r>
      <w:r>
        <w:rPr>
          <w:rFonts w:hint="eastAsia" w:ascii="宋体" w:hAnsi="宋体" w:cs="宋体"/>
          <w:snapToGrid/>
          <w:color w:val="auto"/>
          <w:kern w:val="2"/>
          <w:sz w:val="24"/>
          <w:szCs w:val="24"/>
          <w:highlight w:val="none"/>
          <w:lang w:val="en-US" w:eastAsia="zh-CN"/>
        </w:rPr>
        <w:t>5</w:t>
      </w:r>
      <w:r>
        <w:rPr>
          <w:rFonts w:hint="eastAsia" w:ascii="宋体" w:hAnsi="宋体" w:cs="宋体"/>
          <w:snapToGrid/>
          <w:color w:val="auto"/>
          <w:kern w:val="2"/>
          <w:sz w:val="24"/>
          <w:szCs w:val="24"/>
          <w:highlight w:val="none"/>
          <w:lang w:eastAsia="zh-CN"/>
        </w:rPr>
        <w:t>）</w:t>
      </w:r>
      <w:r>
        <w:rPr>
          <w:rFonts w:hint="eastAsia" w:ascii="宋体" w:hAnsi="宋体" w:cs="宋体"/>
          <w:snapToGrid/>
          <w:color w:val="auto"/>
          <w:kern w:val="2"/>
          <w:sz w:val="24"/>
          <w:szCs w:val="24"/>
          <w:highlight w:val="none"/>
          <w:lang w:val="en-US" w:eastAsia="zh-CN"/>
        </w:rPr>
        <w:t>追肥：对幼苗</w:t>
      </w:r>
      <w:r>
        <w:rPr>
          <w:rFonts w:hint="eastAsia" w:ascii="宋体" w:hAnsi="宋体" w:eastAsia="宋体" w:cs="宋体"/>
          <w:snapToGrid/>
          <w:color w:val="auto"/>
          <w:kern w:val="2"/>
          <w:sz w:val="24"/>
          <w:szCs w:val="24"/>
          <w:highlight w:val="none"/>
        </w:rPr>
        <w:t>追肥一次，施复合肥，复合肥约每株250g。</w:t>
      </w:r>
      <w:r>
        <w:rPr>
          <w:rFonts w:hint="eastAsia" w:ascii="宋体" w:hAnsi="宋体" w:cs="宋体"/>
          <w:snapToGrid/>
          <w:color w:val="auto"/>
          <w:kern w:val="2"/>
          <w:sz w:val="24"/>
          <w:szCs w:val="24"/>
          <w:highlight w:val="none"/>
          <w:lang w:eastAsia="zh-CN"/>
        </w:rPr>
        <w:t>（</w:t>
      </w:r>
      <w:r>
        <w:rPr>
          <w:rFonts w:hint="eastAsia" w:ascii="宋体" w:hAnsi="宋体" w:cs="宋体"/>
          <w:snapToGrid/>
          <w:color w:val="auto"/>
          <w:kern w:val="2"/>
          <w:sz w:val="24"/>
          <w:szCs w:val="24"/>
          <w:highlight w:val="none"/>
          <w:lang w:val="en-US" w:eastAsia="zh-CN"/>
        </w:rPr>
        <w:t>详见作业设计要求实施。</w:t>
      </w:r>
      <w:r>
        <w:rPr>
          <w:rFonts w:hint="eastAsia" w:ascii="宋体" w:hAnsi="宋体" w:cs="宋体"/>
          <w:snapToGrid/>
          <w:color w:val="auto"/>
          <w:kern w:val="2"/>
          <w:sz w:val="24"/>
          <w:szCs w:val="24"/>
          <w:highlight w:val="none"/>
          <w:lang w:eastAsia="zh-CN"/>
        </w:rPr>
        <w:t>）</w:t>
      </w:r>
    </w:p>
    <w:p w14:paraId="009963B2">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宋体" w:hAnsi="宋体" w:eastAsia="宋体" w:cs="Times New Roman"/>
          <w:b/>
          <w:bCs/>
          <w:color w:val="auto"/>
          <w:sz w:val="24"/>
          <w:szCs w:val="24"/>
          <w:highlight w:val="none"/>
          <w:lang w:val="en-US" w:eastAsia="zh-CN"/>
        </w:rPr>
      </w:pPr>
      <w:r>
        <w:rPr>
          <w:rFonts w:hint="eastAsia" w:ascii="宋体" w:hAnsi="宋体" w:cs="宋体"/>
          <w:b/>
          <w:bCs/>
          <w:snapToGrid/>
          <w:color w:val="auto"/>
          <w:kern w:val="2"/>
          <w:sz w:val="24"/>
          <w:szCs w:val="24"/>
          <w:highlight w:val="none"/>
          <w:lang w:val="en-US" w:eastAsia="zh-CN"/>
        </w:rPr>
        <w:t>备注：</w:t>
      </w:r>
      <w:r>
        <w:rPr>
          <w:rFonts w:hint="eastAsia" w:ascii="宋体" w:hAnsi="宋体" w:eastAsia="宋体" w:cs="Times New Roman"/>
          <w:b/>
          <w:bCs/>
          <w:color w:val="auto"/>
          <w:sz w:val="24"/>
          <w:szCs w:val="24"/>
          <w:highlight w:val="none"/>
          <w:lang w:val="en-US" w:eastAsia="zh-CN"/>
        </w:rPr>
        <w:t>1.本招标文件提出的技术参数、服务内容及要求是最低限度的要求，投标人的技术方案</w:t>
      </w:r>
      <w:r>
        <w:rPr>
          <w:rFonts w:hint="eastAsia" w:ascii="宋体" w:hAnsi="宋体" w:cs="Times New Roman"/>
          <w:b/>
          <w:bCs/>
          <w:color w:val="auto"/>
          <w:sz w:val="24"/>
          <w:szCs w:val="24"/>
          <w:highlight w:val="none"/>
          <w:lang w:val="en-US" w:eastAsia="zh-CN"/>
        </w:rPr>
        <w:t>根据</w:t>
      </w:r>
      <w:r>
        <w:rPr>
          <w:rFonts w:hint="eastAsia" w:ascii="宋体" w:hAnsi="宋体" w:eastAsia="宋体" w:cs="宋体"/>
          <w:b/>
          <w:bCs/>
          <w:color w:val="auto"/>
          <w:spacing w:val="-6"/>
          <w:sz w:val="24"/>
          <w:szCs w:val="24"/>
          <w:highlight w:val="none"/>
        </w:rPr>
        <w:t>《作业设计》</w:t>
      </w:r>
      <w:r>
        <w:rPr>
          <w:rFonts w:hint="eastAsia" w:ascii="宋体" w:hAnsi="宋体" w:cs="宋体"/>
          <w:b/>
          <w:bCs/>
          <w:color w:val="auto"/>
          <w:spacing w:val="-6"/>
          <w:sz w:val="24"/>
          <w:szCs w:val="24"/>
          <w:highlight w:val="none"/>
          <w:lang w:val="en-US" w:eastAsia="zh-CN"/>
        </w:rPr>
        <w:t>编制，</w:t>
      </w:r>
      <w:r>
        <w:rPr>
          <w:rFonts w:hint="eastAsia" w:ascii="宋体" w:hAnsi="宋体" w:eastAsia="宋体" w:cs="Times New Roman"/>
          <w:b/>
          <w:bCs/>
          <w:color w:val="auto"/>
          <w:sz w:val="24"/>
          <w:szCs w:val="24"/>
          <w:highlight w:val="none"/>
          <w:lang w:val="en-US" w:eastAsia="zh-CN"/>
        </w:rPr>
        <w:t>应达到或优于本招标文件要求，且符合国家有关标准和规范要求。“第三章、采购需求及商务要求”均属于不允许负偏离的实质性要求和条件。</w:t>
      </w:r>
    </w:p>
    <w:p w14:paraId="0AA48215">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default"/>
          <w:b/>
          <w:bCs/>
          <w:color w:val="auto"/>
          <w:highlight w:val="none"/>
          <w:lang w:val="en-US" w:eastAsia="zh-CN"/>
        </w:rPr>
      </w:pPr>
      <w:r>
        <w:rPr>
          <w:rFonts w:hint="eastAsia" w:ascii="宋体" w:hAnsi="宋体" w:eastAsia="宋体" w:cs="Times New Roman"/>
          <w:b/>
          <w:bCs/>
          <w:color w:val="auto"/>
          <w:sz w:val="24"/>
          <w:szCs w:val="24"/>
          <w:highlight w:val="none"/>
          <w:lang w:val="en-US" w:eastAsia="zh-CN"/>
        </w:rPr>
        <w:t>2.本项目投标报价根据</w:t>
      </w:r>
      <w:r>
        <w:rPr>
          <w:rFonts w:hint="eastAsia" w:ascii="宋体" w:hAnsi="宋体" w:eastAsia="宋体" w:cs="宋体"/>
          <w:b/>
          <w:bCs/>
          <w:color w:val="auto"/>
          <w:spacing w:val="-6"/>
          <w:sz w:val="24"/>
          <w:szCs w:val="24"/>
          <w:highlight w:val="none"/>
        </w:rPr>
        <w:t>《作业设计》</w:t>
      </w:r>
      <w:r>
        <w:rPr>
          <w:rFonts w:hint="eastAsia" w:ascii="宋体" w:hAnsi="宋体" w:cs="Times New Roman"/>
          <w:b/>
          <w:bCs/>
          <w:color w:val="auto"/>
          <w:sz w:val="24"/>
          <w:szCs w:val="24"/>
          <w:highlight w:val="none"/>
          <w:lang w:val="en-US" w:eastAsia="zh-CN"/>
        </w:rPr>
        <w:t>要求</w:t>
      </w:r>
      <w:r>
        <w:rPr>
          <w:rFonts w:hint="eastAsia" w:ascii="宋体" w:hAnsi="宋体" w:eastAsia="宋体" w:cs="Times New Roman"/>
          <w:b/>
          <w:bCs/>
          <w:color w:val="auto"/>
          <w:sz w:val="24"/>
          <w:szCs w:val="24"/>
          <w:highlight w:val="none"/>
          <w:lang w:val="en-US" w:eastAsia="zh-CN"/>
        </w:rPr>
        <w:t>进行报价。（</w:t>
      </w:r>
      <w:r>
        <w:rPr>
          <w:rFonts w:hint="eastAsia" w:ascii="宋体" w:hAnsi="宋体" w:eastAsia="宋体" w:cs="宋体"/>
          <w:b/>
          <w:bCs/>
          <w:color w:val="auto"/>
          <w:spacing w:val="-6"/>
          <w:sz w:val="24"/>
          <w:szCs w:val="24"/>
          <w:highlight w:val="none"/>
        </w:rPr>
        <w:t>《作业设计》</w:t>
      </w:r>
      <w:r>
        <w:rPr>
          <w:rFonts w:hint="eastAsia" w:ascii="宋体" w:hAnsi="宋体" w:eastAsia="宋体" w:cs="Times New Roman"/>
          <w:b/>
          <w:bCs/>
          <w:color w:val="auto"/>
          <w:sz w:val="24"/>
          <w:szCs w:val="24"/>
          <w:highlight w:val="none"/>
          <w:lang w:val="en-US" w:eastAsia="zh-CN"/>
        </w:rPr>
        <w:t>详见招标文件附件）</w:t>
      </w:r>
    </w:p>
    <w:p w14:paraId="3FEBFCAD">
      <w:pPr>
        <w:keepNext w:val="0"/>
        <w:keepLines w:val="0"/>
        <w:pageBreakBefore w:val="0"/>
        <w:widowControl w:val="0"/>
        <w:shd w:val="clear" w:color="auto" w:fill="auto"/>
        <w:kinsoku/>
        <w:wordWrap/>
        <w:overflowPunct/>
        <w:topLinePunct w:val="0"/>
        <w:autoSpaceDE/>
        <w:autoSpaceDN/>
        <w:bidi w:val="0"/>
        <w:snapToGrid/>
        <w:spacing w:line="500" w:lineRule="exact"/>
        <w:ind w:firstLine="482" w:firstLineChars="200"/>
        <w:jc w:val="left"/>
        <w:textAlignment w:val="auto"/>
        <w:outlineLvl w:val="0"/>
        <w:rPr>
          <w:rFonts w:hAnsi="宋体" w:eastAsia="宋体" w:cs="宋体"/>
          <w:b/>
          <w:bCs/>
          <w:color w:val="auto"/>
          <w:sz w:val="24"/>
          <w:szCs w:val="24"/>
          <w:highlight w:val="none"/>
        </w:rPr>
      </w:pPr>
      <w:bookmarkStart w:id="4" w:name="_Toc26265"/>
      <w:bookmarkStart w:id="5" w:name="_Toc17835"/>
      <w:r>
        <w:rPr>
          <w:rFonts w:hint="eastAsia" w:hAnsi="宋体" w:eastAsia="宋体" w:cs="宋体"/>
          <w:b/>
          <w:bCs/>
          <w:color w:val="auto"/>
          <w:sz w:val="24"/>
          <w:szCs w:val="24"/>
          <w:highlight w:val="none"/>
        </w:rPr>
        <w:t>二、商务要求</w:t>
      </w:r>
      <w:bookmarkEnd w:id="4"/>
      <w:bookmarkEnd w:id="5"/>
    </w:p>
    <w:p w14:paraId="054918D8">
      <w:pPr>
        <w:keepNext w:val="0"/>
        <w:keepLines w:val="0"/>
        <w:pageBreakBefore w:val="0"/>
        <w:widowControl w:val="0"/>
        <w:shd w:val="clear" w:color="auto" w:fill="auto"/>
        <w:kinsoku/>
        <w:wordWrap/>
        <w:overflowPunct/>
        <w:topLinePunct w:val="0"/>
        <w:autoSpaceDE/>
        <w:autoSpaceDN/>
        <w:bidi w:val="0"/>
        <w:adjustRightInd w:val="0"/>
        <w:snapToGrid/>
        <w:spacing w:line="500" w:lineRule="exact"/>
        <w:ind w:firstLine="482" w:firstLineChars="200"/>
        <w:jc w:val="left"/>
        <w:textAlignment w:val="auto"/>
        <w:outlineLvl w:val="9"/>
        <w:rPr>
          <w:rFonts w:hAnsi="宋体" w:eastAsia="宋体" w:cs="宋体"/>
          <w:color w:val="auto"/>
          <w:sz w:val="24"/>
          <w:szCs w:val="24"/>
          <w:highlight w:val="none"/>
        </w:rPr>
      </w:pPr>
      <w:r>
        <w:rPr>
          <w:rFonts w:hint="eastAsia" w:hAnsi="宋体" w:eastAsia="宋体" w:cs="宋体"/>
          <w:b/>
          <w:bCs/>
          <w:color w:val="auto"/>
          <w:sz w:val="24"/>
          <w:szCs w:val="24"/>
          <w:highlight w:val="none"/>
        </w:rPr>
        <w:t>1.履行服务地点：</w:t>
      </w:r>
      <w:r>
        <w:rPr>
          <w:rFonts w:hint="eastAsia" w:hAnsi="宋体" w:cs="宋体"/>
          <w:color w:val="auto"/>
          <w:sz w:val="24"/>
          <w:szCs w:val="24"/>
          <w:highlight w:val="none"/>
          <w:lang w:val="en-US" w:eastAsia="zh-CN"/>
        </w:rPr>
        <w:t>万安县境内</w:t>
      </w:r>
      <w:r>
        <w:rPr>
          <w:rFonts w:hint="eastAsia" w:hAnsi="宋体" w:eastAsia="宋体" w:cs="宋体"/>
          <w:color w:val="auto"/>
          <w:sz w:val="24"/>
          <w:szCs w:val="24"/>
          <w:highlight w:val="none"/>
        </w:rPr>
        <w:t>。</w:t>
      </w:r>
    </w:p>
    <w:p w14:paraId="7AA56959">
      <w:pPr>
        <w:keepNext w:val="0"/>
        <w:keepLines w:val="0"/>
        <w:pageBreakBefore w:val="0"/>
        <w:widowControl w:val="0"/>
        <w:kinsoku/>
        <w:wordWrap/>
        <w:overflowPunct/>
        <w:topLinePunct w:val="0"/>
        <w:autoSpaceDE/>
        <w:autoSpaceDN/>
        <w:bidi w:val="0"/>
        <w:adjustRightInd w:val="0"/>
        <w:spacing w:line="360" w:lineRule="auto"/>
        <w:ind w:firstLine="482" w:firstLineChars="200"/>
        <w:jc w:val="left"/>
        <w:textAlignment w:val="auto"/>
        <w:outlineLvl w:val="9"/>
        <w:rPr>
          <w:rFonts w:hint="eastAsia" w:hAnsi="宋体" w:eastAsia="宋体" w:cs="宋体"/>
          <w:color w:val="auto"/>
          <w:sz w:val="24"/>
          <w:szCs w:val="24"/>
          <w:highlight w:val="none"/>
          <w:lang w:val="en-US" w:eastAsia="zh-CN"/>
        </w:rPr>
      </w:pPr>
      <w:r>
        <w:rPr>
          <w:rFonts w:hint="eastAsia" w:hAnsi="宋体" w:eastAsia="宋体" w:cs="宋体"/>
          <w:b/>
          <w:bCs/>
          <w:color w:val="auto"/>
          <w:sz w:val="24"/>
          <w:szCs w:val="24"/>
          <w:highlight w:val="none"/>
          <w:lang w:val="en-US" w:eastAsia="zh-CN"/>
        </w:rPr>
        <w:t>2</w:t>
      </w:r>
      <w:r>
        <w:rPr>
          <w:rFonts w:hint="eastAsia" w:hAnsi="宋体" w:eastAsia="宋体" w:cs="宋体"/>
          <w:b/>
          <w:bCs/>
          <w:color w:val="auto"/>
          <w:sz w:val="24"/>
          <w:szCs w:val="24"/>
          <w:highlight w:val="none"/>
        </w:rPr>
        <w:t>.</w:t>
      </w:r>
      <w:r>
        <w:rPr>
          <w:rFonts w:hint="eastAsia" w:hAnsi="宋体" w:eastAsia="宋体" w:cs="宋体"/>
          <w:b/>
          <w:bCs/>
          <w:color w:val="auto"/>
          <w:sz w:val="24"/>
          <w:szCs w:val="24"/>
          <w:highlight w:val="none"/>
          <w:lang w:val="en-US" w:eastAsia="zh-CN"/>
        </w:rPr>
        <w:t>服务</w:t>
      </w:r>
      <w:r>
        <w:rPr>
          <w:rFonts w:hint="eastAsia" w:hAnsi="宋体" w:eastAsia="宋体" w:cs="宋体"/>
          <w:b/>
          <w:bCs/>
          <w:color w:val="auto"/>
          <w:sz w:val="24"/>
          <w:szCs w:val="24"/>
          <w:highlight w:val="none"/>
        </w:rPr>
        <w:t>期</w:t>
      </w:r>
      <w:r>
        <w:rPr>
          <w:rFonts w:hint="eastAsia" w:hAnsi="宋体" w:eastAsia="宋体" w:cs="宋体"/>
          <w:b/>
          <w:bCs/>
          <w:color w:val="auto"/>
          <w:sz w:val="24"/>
          <w:szCs w:val="24"/>
          <w:highlight w:val="none"/>
          <w:lang w:val="en-US" w:eastAsia="zh-CN"/>
        </w:rPr>
        <w:t>限</w:t>
      </w:r>
      <w:r>
        <w:rPr>
          <w:rFonts w:hint="eastAsia" w:hAnsi="宋体" w:eastAsia="宋体" w:cs="宋体"/>
          <w:b/>
          <w:bCs/>
          <w:color w:val="auto"/>
          <w:sz w:val="24"/>
          <w:szCs w:val="24"/>
          <w:highlight w:val="none"/>
        </w:rPr>
        <w:t>：</w:t>
      </w:r>
      <w:r>
        <w:rPr>
          <w:rFonts w:hint="eastAsia" w:ascii="宋体" w:hAnsi="宋体" w:cs="宋体"/>
          <w:bCs/>
          <w:color w:val="auto"/>
          <w:kern w:val="0"/>
          <w:sz w:val="24"/>
          <w:szCs w:val="24"/>
          <w:highlight w:val="none"/>
          <w:lang w:val="en-US" w:eastAsia="zh-CN"/>
        </w:rPr>
        <w:t>2026年6月至2027年3月底（完成幼林抚育管护工作）</w:t>
      </w:r>
      <w:r>
        <w:rPr>
          <w:rFonts w:hint="eastAsia" w:ascii="宋体" w:hAnsi="宋体" w:eastAsia="宋体" w:cs="宋体"/>
          <w:bCs/>
          <w:color w:val="auto"/>
          <w:kern w:val="0"/>
          <w:sz w:val="24"/>
          <w:szCs w:val="24"/>
          <w:highlight w:val="none"/>
          <w:lang w:val="en-US" w:eastAsia="zh-CN"/>
        </w:rPr>
        <w:t>。</w:t>
      </w:r>
    </w:p>
    <w:p w14:paraId="192E191A">
      <w:pPr>
        <w:pStyle w:val="6"/>
        <w:keepNext w:val="0"/>
        <w:keepLines w:val="0"/>
        <w:pageBreakBefore w:val="0"/>
        <w:widowControl w:val="0"/>
        <w:kinsoku/>
        <w:wordWrap/>
        <w:overflowPunct/>
        <w:topLinePunct w:val="0"/>
        <w:autoSpaceDE/>
        <w:autoSpaceDN/>
        <w:bidi w:val="0"/>
        <w:adjustRightInd w:val="0"/>
        <w:spacing w:line="360" w:lineRule="auto"/>
        <w:ind w:right="630" w:rightChars="300" w:firstLine="482" w:firstLineChars="200"/>
        <w:textAlignment w:val="auto"/>
        <w:rPr>
          <w:rFonts w:hint="eastAsia" w:ascii="宋体" w:hAnsi="宋体" w:eastAsia="宋体" w:cs="宋体"/>
          <w:snapToGrid w:val="0"/>
          <w:color w:val="auto"/>
          <w:kern w:val="0"/>
          <w:sz w:val="24"/>
          <w:szCs w:val="21"/>
          <w:highlight w:val="none"/>
          <w:lang w:val="en-US" w:eastAsia="zh-CN" w:bidi="ar-SA"/>
        </w:rPr>
      </w:pPr>
      <w:r>
        <w:rPr>
          <w:rFonts w:hint="eastAsia" w:hAnsi="宋体" w:eastAsia="宋体" w:cs="宋体"/>
          <w:b/>
          <w:bCs/>
          <w:color w:val="auto"/>
          <w:sz w:val="24"/>
          <w:szCs w:val="24"/>
          <w:highlight w:val="none"/>
          <w:lang w:val="en-US" w:eastAsia="zh-CN"/>
        </w:rPr>
        <w:t>3.付款方式</w:t>
      </w:r>
      <w:r>
        <w:rPr>
          <w:rFonts w:hint="eastAsia" w:ascii="宋体" w:hAnsi="宋体" w:eastAsia="宋体" w:cs="Times New Roman"/>
          <w:color w:val="auto"/>
          <w:sz w:val="24"/>
          <w:szCs w:val="24"/>
          <w:highlight w:val="none"/>
          <w:lang w:val="en-US" w:eastAsia="zh-CN"/>
        </w:rPr>
        <w:t>：</w:t>
      </w:r>
      <w:r>
        <w:rPr>
          <w:rFonts w:hint="eastAsia" w:ascii="宋体" w:hAnsi="宋体" w:cs="宋体"/>
          <w:bCs/>
          <w:color w:val="auto"/>
          <w:kern w:val="0"/>
          <w:sz w:val="24"/>
          <w:szCs w:val="24"/>
          <w:highlight w:val="none"/>
          <w:lang w:val="en-US" w:eastAsia="zh-CN"/>
        </w:rPr>
        <w:t>①第一次付款：完成抚育管护工序并验收合格后支付合格工程量合同金额的40%；②第二次付款：完成补植和施肥并验收合格后支付剩余款项（不计利息）。</w:t>
      </w:r>
    </w:p>
    <w:p w14:paraId="630C23C7">
      <w:pPr>
        <w:keepNext w:val="0"/>
        <w:keepLines w:val="0"/>
        <w:pageBreakBefore w:val="0"/>
        <w:widowControl w:val="0"/>
        <w:kinsoku/>
        <w:wordWrap/>
        <w:overflowPunct/>
        <w:topLinePunct w:val="0"/>
        <w:autoSpaceDE/>
        <w:autoSpaceDN/>
        <w:bidi w:val="0"/>
        <w:adjustRightInd w:val="0"/>
        <w:spacing w:line="360" w:lineRule="auto"/>
        <w:ind w:firstLine="482" w:firstLineChars="200"/>
        <w:textAlignment w:val="auto"/>
        <w:rPr>
          <w:rFonts w:hint="eastAsia" w:hAnsi="宋体" w:eastAsia="宋体" w:cs="宋体"/>
          <w:color w:val="auto"/>
          <w:sz w:val="24"/>
          <w:szCs w:val="24"/>
          <w:highlight w:val="none"/>
        </w:rPr>
      </w:pPr>
      <w:r>
        <w:rPr>
          <w:rFonts w:hint="eastAsia" w:hAnsi="宋体" w:eastAsia="宋体" w:cs="宋体"/>
          <w:b/>
          <w:bCs/>
          <w:color w:val="auto"/>
          <w:sz w:val="24"/>
          <w:szCs w:val="24"/>
          <w:highlight w:val="none"/>
          <w:lang w:val="en-US" w:eastAsia="zh-CN"/>
        </w:rPr>
        <w:t>4.报价方式</w:t>
      </w:r>
      <w:r>
        <w:rPr>
          <w:rFonts w:hint="eastAsia" w:hAnsi="宋体" w:eastAsia="宋体" w:cs="宋体"/>
          <w:b/>
          <w:bCs/>
          <w:color w:val="auto"/>
          <w:sz w:val="24"/>
          <w:szCs w:val="24"/>
          <w:highlight w:val="none"/>
        </w:rPr>
        <w:t>：</w:t>
      </w:r>
      <w:r>
        <w:rPr>
          <w:rFonts w:hint="eastAsia" w:ascii="宋体" w:hAnsi="宋体"/>
          <w:color w:val="auto"/>
          <w:sz w:val="24"/>
          <w:szCs w:val="24"/>
          <w:highlight w:val="none"/>
          <w:lang w:eastAsia="zh-CN"/>
        </w:rPr>
        <w:t>投标人</w:t>
      </w:r>
      <w:r>
        <w:rPr>
          <w:rFonts w:hint="eastAsia" w:ascii="宋体" w:hAnsi="宋体"/>
          <w:color w:val="auto"/>
          <w:sz w:val="24"/>
          <w:szCs w:val="24"/>
          <w:highlight w:val="none"/>
        </w:rPr>
        <w:t>的投标报价应包含</w:t>
      </w:r>
      <w:r>
        <w:rPr>
          <w:rFonts w:hint="eastAsia" w:ascii="宋体" w:hAnsi="宋体"/>
          <w:color w:val="auto"/>
          <w:sz w:val="24"/>
          <w:szCs w:val="24"/>
          <w:highlight w:val="none"/>
          <w:lang w:eastAsia="zh-CN"/>
        </w:rPr>
        <w:t>投标人</w:t>
      </w:r>
      <w:r>
        <w:rPr>
          <w:rFonts w:hint="eastAsia" w:ascii="宋体" w:hAnsi="宋体"/>
          <w:color w:val="auto"/>
          <w:sz w:val="24"/>
          <w:szCs w:val="24"/>
          <w:highlight w:val="none"/>
        </w:rPr>
        <w:t>提供全部服务及伴随的一切费用，包括但不限于项目实施、技术服务、培训以及与之相关发生的所有税费、规费、保险费（如有）等</w:t>
      </w:r>
      <w:r>
        <w:rPr>
          <w:rFonts w:hint="eastAsia" w:ascii="宋体" w:hAnsi="宋体"/>
          <w:color w:val="auto"/>
          <w:sz w:val="24"/>
          <w:szCs w:val="24"/>
          <w:highlight w:val="none"/>
          <w:lang w:val="en-US" w:eastAsia="zh-CN"/>
        </w:rPr>
        <w:t>及</w:t>
      </w:r>
      <w:r>
        <w:rPr>
          <w:rFonts w:hint="eastAsia" w:ascii="宋体" w:hAnsi="宋体"/>
          <w:color w:val="auto"/>
          <w:sz w:val="24"/>
          <w:szCs w:val="24"/>
          <w:highlight w:val="none"/>
        </w:rPr>
        <w:t>招标文件中规定的</w:t>
      </w:r>
      <w:r>
        <w:rPr>
          <w:rFonts w:hint="eastAsia" w:ascii="宋体" w:hAnsi="宋体"/>
          <w:color w:val="auto"/>
          <w:sz w:val="24"/>
          <w:szCs w:val="24"/>
          <w:highlight w:val="none"/>
          <w:lang w:val="en-US" w:eastAsia="zh-CN"/>
        </w:rPr>
        <w:t>由</w:t>
      </w:r>
      <w:r>
        <w:rPr>
          <w:rFonts w:hint="eastAsia" w:ascii="宋体" w:hAnsi="宋体"/>
          <w:color w:val="auto"/>
          <w:sz w:val="24"/>
          <w:szCs w:val="24"/>
          <w:highlight w:val="none"/>
          <w:lang w:eastAsia="zh-CN"/>
        </w:rPr>
        <w:t>投标人</w:t>
      </w:r>
      <w:r>
        <w:rPr>
          <w:rFonts w:hint="eastAsia" w:ascii="宋体" w:hAnsi="宋体"/>
          <w:color w:val="auto"/>
          <w:sz w:val="24"/>
          <w:szCs w:val="24"/>
          <w:highlight w:val="none"/>
        </w:rPr>
        <w:t>应承担的费用。</w:t>
      </w:r>
      <w:r>
        <w:rPr>
          <w:rFonts w:hint="eastAsia" w:ascii="宋体" w:hAnsi="宋体"/>
          <w:color w:val="auto"/>
          <w:sz w:val="24"/>
          <w:szCs w:val="24"/>
          <w:highlight w:val="none"/>
          <w:lang w:eastAsia="zh-CN"/>
        </w:rPr>
        <w:t>投标人</w:t>
      </w:r>
      <w:r>
        <w:rPr>
          <w:rFonts w:hint="eastAsia" w:ascii="宋体" w:hAnsi="宋体"/>
          <w:color w:val="auto"/>
          <w:sz w:val="24"/>
          <w:szCs w:val="24"/>
          <w:highlight w:val="none"/>
        </w:rPr>
        <w:t>漏报或不报，采购人将视为有关费用已包括在本项目的其它单价及合价中而不予</w:t>
      </w:r>
      <w:r>
        <w:rPr>
          <w:rFonts w:hint="eastAsia" w:ascii="宋体" w:hAnsi="宋体"/>
          <w:color w:val="auto"/>
          <w:sz w:val="24"/>
          <w:szCs w:val="24"/>
          <w:highlight w:val="none"/>
          <w:lang w:val="en-US" w:eastAsia="zh-CN"/>
        </w:rPr>
        <w:t>另行</w:t>
      </w:r>
      <w:r>
        <w:rPr>
          <w:rFonts w:hint="eastAsia" w:ascii="宋体" w:hAnsi="宋体"/>
          <w:color w:val="auto"/>
          <w:sz w:val="24"/>
          <w:szCs w:val="24"/>
          <w:highlight w:val="none"/>
        </w:rPr>
        <w:t>支付。</w:t>
      </w:r>
    </w:p>
    <w:p w14:paraId="3E8CEB90">
      <w:pPr>
        <w:keepNext w:val="0"/>
        <w:keepLines w:val="0"/>
        <w:pageBreakBefore w:val="0"/>
        <w:tabs>
          <w:tab w:val="left" w:pos="1503"/>
        </w:tabs>
        <w:wordWrap/>
        <w:overflowPunct/>
        <w:topLinePunct w:val="0"/>
        <w:bidi w:val="0"/>
        <w:spacing w:before="1" w:line="520" w:lineRule="exact"/>
        <w:ind w:left="-461" w:right="379" w:firstLine="723" w:firstLineChars="300"/>
        <w:rPr>
          <w:rFonts w:hint="eastAsia" w:ascii="宋体" w:hAnsi="宋体" w:eastAsia="宋体" w:cs="宋体"/>
          <w:b/>
          <w:color w:val="auto"/>
          <w:spacing w:val="-6"/>
          <w:sz w:val="24"/>
          <w:szCs w:val="24"/>
          <w:highlight w:val="none"/>
        </w:rPr>
      </w:pPr>
      <w:r>
        <w:rPr>
          <w:rFonts w:hint="eastAsia" w:hAnsi="宋体" w:eastAsia="宋体" w:cs="宋体"/>
          <w:b/>
          <w:bCs/>
          <w:color w:val="auto"/>
          <w:sz w:val="24"/>
          <w:szCs w:val="24"/>
          <w:highlight w:val="none"/>
          <w:lang w:val="en-US" w:eastAsia="zh-CN"/>
        </w:rPr>
        <w:t>5.</w:t>
      </w:r>
      <w:r>
        <w:rPr>
          <w:rFonts w:hint="eastAsia" w:ascii="宋体" w:hAnsi="宋体" w:eastAsia="宋体" w:cs="宋体"/>
          <w:b/>
          <w:color w:val="auto"/>
          <w:spacing w:val="-6"/>
          <w:sz w:val="24"/>
          <w:szCs w:val="24"/>
          <w:highlight w:val="none"/>
        </w:rPr>
        <w:t>履约验收标准：</w:t>
      </w:r>
    </w:p>
    <w:p w14:paraId="2BA94167">
      <w:pPr>
        <w:keepNext w:val="0"/>
        <w:keepLines w:val="0"/>
        <w:pageBreakBefore w:val="0"/>
        <w:widowControl w:val="0"/>
        <w:tabs>
          <w:tab w:val="left" w:pos="1503"/>
        </w:tabs>
        <w:kinsoku/>
        <w:wordWrap/>
        <w:overflowPunct/>
        <w:topLinePunct w:val="0"/>
        <w:autoSpaceDE/>
        <w:autoSpaceDN/>
        <w:bidi w:val="0"/>
        <w:adjustRightInd/>
        <w:snapToGrid/>
        <w:spacing w:before="36" w:line="400" w:lineRule="exact"/>
        <w:ind w:left="-113" w:right="170" w:firstLine="456" w:firstLineChars="200"/>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（1）履约验收方式：采购人组织</w:t>
      </w:r>
      <w:r>
        <w:rPr>
          <w:rFonts w:hint="eastAsia" w:ascii="宋体" w:hAnsi="宋体" w:cs="宋体"/>
          <w:color w:val="auto"/>
          <w:spacing w:val="-6"/>
          <w:sz w:val="24"/>
          <w:szCs w:val="24"/>
          <w:highlight w:val="none"/>
          <w:lang w:val="en-US" w:eastAsia="zh-CN"/>
        </w:rPr>
        <w:t>两次</w:t>
      </w:r>
      <w:r>
        <w:rPr>
          <w:rFonts w:hint="eastAsia" w:ascii="宋体" w:hAnsi="宋体" w:eastAsia="宋体" w:cs="宋体"/>
          <w:color w:val="auto"/>
          <w:spacing w:val="-6"/>
          <w:sz w:val="24"/>
          <w:szCs w:val="24"/>
          <w:highlight w:val="none"/>
        </w:rPr>
        <w:t>验收，</w:t>
      </w:r>
      <w:r>
        <w:rPr>
          <w:rFonts w:hint="eastAsia" w:ascii="宋体" w:hAnsi="宋体" w:cs="宋体"/>
          <w:color w:val="auto"/>
          <w:spacing w:val="-6"/>
          <w:sz w:val="24"/>
          <w:szCs w:val="24"/>
          <w:highlight w:val="none"/>
          <w:lang w:val="en-US" w:eastAsia="zh-CN"/>
        </w:rPr>
        <w:t>抚育完成后组织第一次验收，补植、施肥后组织第二次验收，</w:t>
      </w:r>
      <w:r>
        <w:rPr>
          <w:rFonts w:hint="eastAsia" w:ascii="宋体" w:hAnsi="宋体" w:eastAsia="宋体" w:cs="宋体"/>
          <w:color w:val="auto"/>
          <w:spacing w:val="-6"/>
          <w:sz w:val="24"/>
          <w:szCs w:val="24"/>
          <w:highlight w:val="none"/>
        </w:rPr>
        <w:t>每个工序完工后由中标</w:t>
      </w:r>
      <w:r>
        <w:rPr>
          <w:rFonts w:hint="eastAsia" w:ascii="宋体" w:hAnsi="宋体" w:eastAsia="宋体" w:cs="宋体"/>
          <w:color w:val="auto"/>
          <w:spacing w:val="-6"/>
          <w:sz w:val="24"/>
          <w:szCs w:val="24"/>
          <w:highlight w:val="none"/>
          <w:lang w:val="en-US" w:eastAsia="zh-CN"/>
        </w:rPr>
        <w:t>方</w:t>
      </w:r>
      <w:r>
        <w:rPr>
          <w:rFonts w:hint="eastAsia" w:ascii="宋体" w:hAnsi="宋体" w:eastAsia="宋体" w:cs="宋体"/>
          <w:color w:val="auto"/>
          <w:spacing w:val="-6"/>
          <w:sz w:val="24"/>
          <w:szCs w:val="24"/>
          <w:highlight w:val="none"/>
        </w:rPr>
        <w:t>申请，根据《合同》、项目《作业设计》、相关验收规程和本项目采购服务要求，填写相关图表并对有关验收图表及文字材料签字确认后形成《验收报告》。</w:t>
      </w:r>
    </w:p>
    <w:p w14:paraId="3A18708A">
      <w:pPr>
        <w:keepNext w:val="0"/>
        <w:keepLines w:val="0"/>
        <w:pageBreakBefore w:val="0"/>
        <w:widowControl w:val="0"/>
        <w:tabs>
          <w:tab w:val="left" w:pos="1503"/>
        </w:tabs>
        <w:kinsoku/>
        <w:wordWrap/>
        <w:overflowPunct/>
        <w:topLinePunct w:val="0"/>
        <w:autoSpaceDE/>
        <w:autoSpaceDN/>
        <w:bidi w:val="0"/>
        <w:adjustRightInd/>
        <w:snapToGrid/>
        <w:spacing w:before="36" w:line="400" w:lineRule="exact"/>
        <w:ind w:left="-113" w:right="170" w:firstLine="456" w:firstLineChars="200"/>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（2）履约验收内容：依据招标文件采购内容进行验收。</w:t>
      </w:r>
    </w:p>
    <w:p w14:paraId="128A62F1">
      <w:pPr>
        <w:keepNext w:val="0"/>
        <w:keepLines w:val="0"/>
        <w:pageBreakBefore w:val="0"/>
        <w:widowControl w:val="0"/>
        <w:tabs>
          <w:tab w:val="left" w:pos="1503"/>
        </w:tabs>
        <w:kinsoku/>
        <w:wordWrap/>
        <w:overflowPunct/>
        <w:topLinePunct w:val="0"/>
        <w:autoSpaceDE/>
        <w:autoSpaceDN/>
        <w:bidi w:val="0"/>
        <w:adjustRightInd/>
        <w:snapToGrid/>
        <w:spacing w:before="36" w:line="400" w:lineRule="exact"/>
        <w:ind w:left="-113" w:right="170" w:firstLine="456" w:firstLineChars="200"/>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（3）履约验收标准：验收小组根据采购项目需求包括的每一项技术和商务要求的履约情况进行验收，</w:t>
      </w:r>
      <w:r>
        <w:rPr>
          <w:rFonts w:hint="eastAsia" w:ascii="宋体" w:hAnsi="宋体" w:cs="宋体"/>
          <w:color w:val="auto"/>
          <w:spacing w:val="-4"/>
          <w:sz w:val="24"/>
          <w:szCs w:val="24"/>
          <w:highlight w:val="none"/>
          <w:lang w:eastAsia="zh-CN"/>
        </w:rPr>
        <w:t>中标人</w:t>
      </w:r>
      <w:r>
        <w:rPr>
          <w:rFonts w:hint="eastAsia" w:ascii="宋体" w:hAnsi="宋体" w:eastAsia="宋体" w:cs="宋体"/>
          <w:color w:val="auto"/>
          <w:spacing w:val="-6"/>
          <w:sz w:val="24"/>
          <w:szCs w:val="24"/>
          <w:highlight w:val="none"/>
        </w:rPr>
        <w:t>履约事项全部符合采购项目需求及采购合同约定的事项，视为验收合格。</w:t>
      </w:r>
    </w:p>
    <w:p w14:paraId="5482AE79">
      <w:pPr>
        <w:keepNext w:val="0"/>
        <w:keepLines w:val="0"/>
        <w:pageBreakBefore w:val="0"/>
        <w:widowControl w:val="0"/>
        <w:tabs>
          <w:tab w:val="left" w:pos="1503"/>
        </w:tabs>
        <w:kinsoku/>
        <w:wordWrap/>
        <w:overflowPunct/>
        <w:topLinePunct w:val="0"/>
        <w:autoSpaceDE/>
        <w:autoSpaceDN/>
        <w:bidi w:val="0"/>
        <w:adjustRightInd/>
        <w:snapToGrid/>
        <w:spacing w:before="36" w:line="400" w:lineRule="exact"/>
        <w:ind w:left="-113" w:right="170" w:firstLine="456" w:firstLineChars="200"/>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（4）履约验收程序：①</w:t>
      </w:r>
      <w:r>
        <w:rPr>
          <w:rFonts w:hint="eastAsia" w:ascii="宋体" w:hAnsi="宋体" w:cs="宋体"/>
          <w:color w:val="auto"/>
          <w:spacing w:val="-4"/>
          <w:sz w:val="24"/>
          <w:szCs w:val="24"/>
          <w:highlight w:val="none"/>
          <w:lang w:eastAsia="zh-CN"/>
        </w:rPr>
        <w:t>中标人</w:t>
      </w:r>
      <w:r>
        <w:rPr>
          <w:rFonts w:hint="eastAsia" w:ascii="宋体" w:hAnsi="宋体" w:eastAsia="宋体" w:cs="宋体"/>
          <w:color w:val="auto"/>
          <w:spacing w:val="-6"/>
          <w:sz w:val="24"/>
          <w:szCs w:val="24"/>
          <w:highlight w:val="none"/>
        </w:rPr>
        <w:t>按照采购需求规定的技术要求和商务要求完成服务后根据相关文件要求填写相关图表并对有关验收图表及文字材料签字。②验收小组根据招标文件、投标文件及合同约定对每一项技术、服务、安全标准的履约情况进行验收，验收不通过的限期整改。③所有参与验收人员</w:t>
      </w:r>
      <w:r>
        <w:rPr>
          <w:rFonts w:hint="eastAsia" w:ascii="宋体" w:hAnsi="宋体" w:eastAsia="宋体" w:cs="宋体"/>
          <w:color w:val="auto"/>
          <w:spacing w:val="-6"/>
          <w:sz w:val="24"/>
          <w:szCs w:val="24"/>
          <w:highlight w:val="none"/>
          <w:lang w:val="en-US" w:eastAsia="zh-CN"/>
        </w:rPr>
        <w:t>须</w:t>
      </w:r>
      <w:r>
        <w:rPr>
          <w:rFonts w:hint="eastAsia" w:ascii="宋体" w:hAnsi="宋体" w:eastAsia="宋体" w:cs="宋体"/>
          <w:color w:val="auto"/>
          <w:spacing w:val="-6"/>
          <w:sz w:val="24"/>
          <w:szCs w:val="24"/>
          <w:highlight w:val="none"/>
        </w:rPr>
        <w:t>书面签字以示负责。</w:t>
      </w:r>
    </w:p>
    <w:p w14:paraId="12DA13B1">
      <w:pPr>
        <w:keepNext w:val="0"/>
        <w:keepLines w:val="0"/>
        <w:pageBreakBefore w:val="0"/>
        <w:widowControl w:val="0"/>
        <w:tabs>
          <w:tab w:val="left" w:pos="1503"/>
        </w:tabs>
        <w:kinsoku/>
        <w:wordWrap/>
        <w:overflowPunct/>
        <w:topLinePunct w:val="0"/>
        <w:autoSpaceDE/>
        <w:autoSpaceDN/>
        <w:bidi w:val="0"/>
        <w:adjustRightInd/>
        <w:snapToGrid/>
        <w:spacing w:before="36" w:line="400" w:lineRule="exact"/>
        <w:ind w:left="-113" w:right="170" w:firstLine="458" w:firstLineChars="200"/>
        <w:textAlignment w:val="auto"/>
        <w:rPr>
          <w:rFonts w:hint="eastAsia" w:ascii="宋体" w:hAnsi="宋体" w:eastAsia="宋体" w:cs="宋体"/>
          <w:b/>
          <w:color w:val="auto"/>
          <w:spacing w:val="-6"/>
          <w:sz w:val="24"/>
          <w:szCs w:val="24"/>
          <w:highlight w:val="none"/>
        </w:rPr>
      </w:pPr>
      <w:r>
        <w:rPr>
          <w:rFonts w:hint="eastAsia" w:ascii="宋体" w:hAnsi="宋体" w:eastAsia="宋体" w:cs="宋体"/>
          <w:b/>
          <w:color w:val="auto"/>
          <w:spacing w:val="-6"/>
          <w:sz w:val="24"/>
          <w:szCs w:val="24"/>
          <w:highlight w:val="none"/>
          <w:lang w:val="en-US" w:eastAsia="zh-CN"/>
        </w:rPr>
        <w:t>6.</w:t>
      </w:r>
      <w:r>
        <w:rPr>
          <w:rFonts w:hint="eastAsia" w:ascii="宋体" w:hAnsi="宋体" w:eastAsia="宋体" w:cs="宋体"/>
          <w:b/>
          <w:color w:val="auto"/>
          <w:spacing w:val="-6"/>
          <w:sz w:val="24"/>
          <w:szCs w:val="24"/>
          <w:highlight w:val="none"/>
        </w:rPr>
        <w:t>其它要求：</w:t>
      </w:r>
    </w:p>
    <w:p w14:paraId="4A12C49A">
      <w:pPr>
        <w:keepNext w:val="0"/>
        <w:keepLines w:val="0"/>
        <w:pageBreakBefore w:val="0"/>
        <w:tabs>
          <w:tab w:val="left" w:pos="1503"/>
        </w:tabs>
        <w:wordWrap/>
        <w:overflowPunct/>
        <w:topLinePunct w:val="0"/>
        <w:bidi w:val="0"/>
        <w:spacing w:before="1" w:line="520" w:lineRule="exact"/>
        <w:ind w:left="-461" w:right="379" w:firstLine="696" w:firstLineChars="3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w:t>
      </w:r>
      <w:r>
        <w:rPr>
          <w:rFonts w:hint="eastAsia" w:ascii="宋体" w:hAnsi="宋体" w:cs="宋体"/>
          <w:color w:val="auto"/>
          <w:spacing w:val="-4"/>
          <w:sz w:val="24"/>
          <w:szCs w:val="24"/>
          <w:highlight w:val="none"/>
          <w:lang w:eastAsia="zh-CN"/>
        </w:rPr>
        <w:t>中标人</w:t>
      </w:r>
      <w:r>
        <w:rPr>
          <w:rFonts w:hint="eastAsia" w:ascii="宋体" w:hAnsi="宋体" w:eastAsia="宋体" w:cs="宋体"/>
          <w:color w:val="auto"/>
          <w:spacing w:val="-4"/>
          <w:sz w:val="24"/>
          <w:szCs w:val="24"/>
          <w:highlight w:val="none"/>
        </w:rPr>
        <w:t>须为作业民工购买人身意外保险</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作业民工</w:t>
      </w:r>
      <w:r>
        <w:rPr>
          <w:rFonts w:hint="eastAsia" w:ascii="宋体" w:hAnsi="宋体" w:eastAsia="宋体" w:cs="宋体"/>
          <w:color w:val="auto"/>
          <w:spacing w:val="-4"/>
          <w:sz w:val="24"/>
          <w:szCs w:val="24"/>
          <w:highlight w:val="none"/>
          <w:lang w:val="en-US" w:eastAsia="zh-CN"/>
        </w:rPr>
        <w:t>人数不得低于</w:t>
      </w:r>
      <w:r>
        <w:rPr>
          <w:rFonts w:hint="eastAsia" w:ascii="宋体" w:hAnsi="宋体" w:cs="宋体"/>
          <w:color w:val="auto"/>
          <w:spacing w:val="-4"/>
          <w:sz w:val="24"/>
          <w:szCs w:val="24"/>
          <w:highlight w:val="none"/>
          <w:lang w:val="en-US" w:eastAsia="zh-CN"/>
        </w:rPr>
        <w:t>4</w:t>
      </w:r>
      <w:r>
        <w:rPr>
          <w:rFonts w:hint="eastAsia" w:ascii="宋体" w:hAnsi="宋体" w:eastAsia="宋体" w:cs="宋体"/>
          <w:color w:val="auto"/>
          <w:spacing w:val="-4"/>
          <w:sz w:val="24"/>
          <w:szCs w:val="24"/>
          <w:highlight w:val="none"/>
          <w:lang w:val="en-US" w:eastAsia="zh-CN"/>
        </w:rPr>
        <w:t>0人</w:t>
      </w:r>
      <w:r>
        <w:rPr>
          <w:rFonts w:hint="eastAsia" w:ascii="宋体" w:hAnsi="宋体" w:eastAsia="宋体" w:cs="宋体"/>
          <w:color w:val="auto"/>
          <w:spacing w:val="-4"/>
          <w:sz w:val="24"/>
          <w:szCs w:val="24"/>
          <w:highlight w:val="none"/>
        </w:rPr>
        <w:t>。</w:t>
      </w:r>
    </w:p>
    <w:p w14:paraId="7A709C51">
      <w:pPr>
        <w:keepNext w:val="0"/>
        <w:keepLines w:val="0"/>
        <w:pageBreakBefore w:val="0"/>
        <w:widowControl w:val="0"/>
        <w:tabs>
          <w:tab w:val="left" w:pos="1503"/>
        </w:tabs>
        <w:kinsoku/>
        <w:wordWrap/>
        <w:overflowPunct/>
        <w:topLinePunct w:val="0"/>
        <w:autoSpaceDE/>
        <w:autoSpaceDN/>
        <w:bidi w:val="0"/>
        <w:adjustRightInd/>
        <w:snapToGrid/>
        <w:spacing w:before="1" w:line="400" w:lineRule="exact"/>
        <w:ind w:left="-113" w:right="283" w:firstLine="464" w:firstLineChars="200"/>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cs="宋体"/>
          <w:color w:val="auto"/>
          <w:spacing w:val="-4"/>
          <w:sz w:val="24"/>
          <w:szCs w:val="24"/>
          <w:highlight w:val="none"/>
          <w:lang w:val="en-US" w:eastAsia="zh-CN"/>
        </w:rPr>
        <w:t>2</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20"/>
          <w:sz w:val="24"/>
          <w:szCs w:val="24"/>
          <w:highlight w:val="none"/>
        </w:rPr>
        <w:t>采购人与成交</w:t>
      </w:r>
      <w:r>
        <w:rPr>
          <w:rFonts w:hint="eastAsia" w:ascii="宋体" w:hAnsi="宋体" w:cs="宋体"/>
          <w:color w:val="auto"/>
          <w:spacing w:val="-20"/>
          <w:sz w:val="24"/>
          <w:szCs w:val="24"/>
          <w:highlight w:val="none"/>
          <w:lang w:val="en-US" w:eastAsia="zh-CN"/>
        </w:rPr>
        <w:t>人</w:t>
      </w:r>
      <w:r>
        <w:rPr>
          <w:rFonts w:hint="eastAsia" w:ascii="宋体" w:hAnsi="宋体" w:eastAsia="宋体" w:cs="宋体"/>
          <w:color w:val="auto"/>
          <w:spacing w:val="-20"/>
          <w:sz w:val="24"/>
          <w:szCs w:val="24"/>
          <w:highlight w:val="none"/>
        </w:rPr>
        <w:t>在合同签订前按采购合同金额的5%交纳履约保证金（履约保证金以银行转账（电汇）、支票、汇票、本票或者金融机构、担保机构出具的保函等非现金形式提交），履约保证金由采购人收取，项目竣工并验收合格后</w:t>
      </w:r>
      <w:r>
        <w:rPr>
          <w:rFonts w:hint="eastAsia" w:ascii="宋体" w:hAnsi="宋体" w:eastAsia="宋体" w:cs="宋体"/>
          <w:color w:val="auto"/>
          <w:spacing w:val="-20"/>
          <w:sz w:val="24"/>
          <w:szCs w:val="24"/>
          <w:highlight w:val="none"/>
          <w:lang w:val="en-US" w:eastAsia="zh-CN"/>
        </w:rPr>
        <w:t>一次性</w:t>
      </w:r>
      <w:r>
        <w:rPr>
          <w:rFonts w:hint="eastAsia" w:ascii="宋体" w:hAnsi="宋体" w:eastAsia="宋体" w:cs="宋体"/>
          <w:color w:val="auto"/>
          <w:spacing w:val="-20"/>
          <w:sz w:val="24"/>
          <w:szCs w:val="24"/>
          <w:highlight w:val="none"/>
        </w:rPr>
        <w:t>无息退还。</w:t>
      </w:r>
    </w:p>
    <w:p w14:paraId="35CD6D1D">
      <w:pPr>
        <w:keepNext w:val="0"/>
        <w:keepLines w:val="0"/>
        <w:pageBreakBefore w:val="0"/>
        <w:widowControl w:val="0"/>
        <w:tabs>
          <w:tab w:val="left" w:pos="1503"/>
        </w:tabs>
        <w:kinsoku/>
        <w:wordWrap/>
        <w:overflowPunct/>
        <w:topLinePunct w:val="0"/>
        <w:autoSpaceDE/>
        <w:autoSpaceDN/>
        <w:bidi w:val="0"/>
        <w:adjustRightInd/>
        <w:snapToGrid/>
        <w:spacing w:before="1" w:line="400" w:lineRule="exact"/>
        <w:ind w:left="-113" w:right="283" w:firstLine="466" w:firstLineChars="200"/>
        <w:textAlignment w:val="auto"/>
        <w:rPr>
          <w:rFonts w:hint="eastAsia" w:ascii="宋体" w:hAnsi="宋体" w:eastAsia="宋体" w:cs="宋体"/>
          <w:b/>
          <w:bCs/>
          <w:color w:val="auto"/>
          <w:spacing w:val="-4"/>
          <w:sz w:val="24"/>
          <w:szCs w:val="24"/>
          <w:highlight w:val="none"/>
        </w:rPr>
      </w:pPr>
      <w:r>
        <w:rPr>
          <w:rFonts w:hint="eastAsia" w:ascii="宋体" w:hAnsi="宋体" w:eastAsia="宋体" w:cs="宋体"/>
          <w:b/>
          <w:bCs/>
          <w:color w:val="auto"/>
          <w:spacing w:val="-4"/>
          <w:sz w:val="24"/>
          <w:szCs w:val="24"/>
          <w:highlight w:val="none"/>
        </w:rPr>
        <w:t>（</w:t>
      </w:r>
      <w:r>
        <w:rPr>
          <w:rFonts w:hint="eastAsia" w:ascii="宋体" w:hAnsi="宋体" w:cs="宋体"/>
          <w:b/>
          <w:bCs/>
          <w:color w:val="auto"/>
          <w:spacing w:val="-4"/>
          <w:sz w:val="24"/>
          <w:szCs w:val="24"/>
          <w:highlight w:val="none"/>
          <w:lang w:val="en-US" w:eastAsia="zh-CN"/>
        </w:rPr>
        <w:t>3</w:t>
      </w:r>
      <w:r>
        <w:rPr>
          <w:rFonts w:hint="eastAsia" w:ascii="宋体" w:hAnsi="宋体" w:eastAsia="宋体" w:cs="宋体"/>
          <w:b/>
          <w:bCs/>
          <w:color w:val="auto"/>
          <w:spacing w:val="-4"/>
          <w:sz w:val="24"/>
          <w:szCs w:val="24"/>
          <w:highlight w:val="none"/>
        </w:rPr>
        <w:t>）</w:t>
      </w:r>
      <w:r>
        <w:rPr>
          <w:rFonts w:hint="eastAsia" w:ascii="宋体" w:hAnsi="宋体" w:cs="宋体"/>
          <w:b/>
          <w:bCs/>
          <w:color w:val="auto"/>
          <w:spacing w:val="-4"/>
          <w:sz w:val="24"/>
          <w:szCs w:val="24"/>
          <w:highlight w:val="none"/>
          <w:lang w:eastAsia="zh-CN"/>
        </w:rPr>
        <w:t>投标人</w:t>
      </w:r>
      <w:r>
        <w:rPr>
          <w:rFonts w:hint="eastAsia" w:ascii="宋体" w:hAnsi="宋体" w:eastAsia="宋体" w:cs="宋体"/>
          <w:b/>
          <w:bCs/>
          <w:color w:val="auto"/>
          <w:spacing w:val="-4"/>
          <w:sz w:val="24"/>
          <w:szCs w:val="24"/>
          <w:highlight w:val="none"/>
        </w:rPr>
        <w:t>在投标文件中</w:t>
      </w:r>
      <w:r>
        <w:rPr>
          <w:rFonts w:hint="eastAsia" w:ascii="宋体" w:hAnsi="宋体" w:eastAsia="宋体" w:cs="宋体"/>
          <w:b/>
          <w:bCs/>
          <w:color w:val="auto"/>
          <w:spacing w:val="-4"/>
          <w:sz w:val="24"/>
          <w:szCs w:val="24"/>
          <w:highlight w:val="none"/>
          <w:lang w:val="en-US" w:eastAsia="zh-CN"/>
        </w:rPr>
        <w:t>须</w:t>
      </w:r>
      <w:r>
        <w:rPr>
          <w:rFonts w:hint="eastAsia" w:ascii="宋体" w:hAnsi="宋体" w:eastAsia="宋体" w:cs="宋体"/>
          <w:b/>
          <w:bCs/>
          <w:color w:val="auto"/>
          <w:spacing w:val="-4"/>
          <w:sz w:val="24"/>
          <w:szCs w:val="24"/>
          <w:highlight w:val="none"/>
        </w:rPr>
        <w:t>提供加盖</w:t>
      </w:r>
      <w:r>
        <w:rPr>
          <w:rFonts w:hint="eastAsia" w:ascii="宋体" w:hAnsi="宋体" w:cs="宋体"/>
          <w:b/>
          <w:bCs/>
          <w:color w:val="auto"/>
          <w:spacing w:val="-4"/>
          <w:sz w:val="24"/>
          <w:szCs w:val="24"/>
          <w:highlight w:val="none"/>
          <w:lang w:eastAsia="zh-CN"/>
        </w:rPr>
        <w:t>投标人</w:t>
      </w:r>
      <w:r>
        <w:rPr>
          <w:rFonts w:hint="eastAsia" w:ascii="宋体" w:hAnsi="宋体" w:eastAsia="宋体" w:cs="宋体"/>
          <w:b/>
          <w:bCs/>
          <w:color w:val="auto"/>
          <w:spacing w:val="-4"/>
          <w:sz w:val="24"/>
          <w:szCs w:val="24"/>
          <w:highlight w:val="none"/>
        </w:rPr>
        <w:t>公司公章的《安全生产</w:t>
      </w:r>
      <w:r>
        <w:rPr>
          <w:rFonts w:hint="eastAsia" w:ascii="宋体" w:hAnsi="宋体" w:eastAsia="宋体" w:cs="宋体"/>
          <w:b/>
          <w:bCs/>
          <w:color w:val="auto"/>
          <w:spacing w:val="-4"/>
          <w:sz w:val="24"/>
          <w:szCs w:val="24"/>
          <w:highlight w:val="none"/>
          <w:lang w:val="en-US" w:eastAsia="zh-CN"/>
        </w:rPr>
        <w:t>合同</w:t>
      </w:r>
      <w:r>
        <w:rPr>
          <w:rFonts w:hint="eastAsia" w:ascii="宋体" w:hAnsi="宋体" w:eastAsia="宋体" w:cs="宋体"/>
          <w:b/>
          <w:bCs/>
          <w:color w:val="auto"/>
          <w:spacing w:val="-4"/>
          <w:sz w:val="24"/>
          <w:szCs w:val="24"/>
          <w:highlight w:val="none"/>
        </w:rPr>
        <w:t>》</w:t>
      </w:r>
      <w:r>
        <w:rPr>
          <w:rFonts w:hint="eastAsia" w:ascii="宋体" w:hAnsi="宋体" w:eastAsia="宋体" w:cs="宋体"/>
          <w:b/>
          <w:bCs/>
          <w:color w:val="auto"/>
          <w:spacing w:val="-4"/>
          <w:sz w:val="24"/>
          <w:szCs w:val="24"/>
          <w:highlight w:val="none"/>
          <w:lang w:val="en-US" w:eastAsia="zh-CN"/>
        </w:rPr>
        <w:t>和</w:t>
      </w:r>
      <w:r>
        <w:rPr>
          <w:rFonts w:hint="eastAsia" w:ascii="宋体" w:hAnsi="宋体" w:eastAsia="宋体" w:cs="宋体"/>
          <w:b/>
          <w:bCs/>
          <w:color w:val="auto"/>
          <w:spacing w:val="-4"/>
          <w:sz w:val="24"/>
          <w:szCs w:val="24"/>
          <w:highlight w:val="none"/>
        </w:rPr>
        <w:t>《</w:t>
      </w:r>
      <w:r>
        <w:rPr>
          <w:rFonts w:hint="eastAsia" w:ascii="宋体" w:hAnsi="宋体" w:eastAsia="宋体" w:cs="宋体"/>
          <w:b/>
          <w:bCs/>
          <w:color w:val="auto"/>
          <w:spacing w:val="-4"/>
          <w:sz w:val="24"/>
          <w:szCs w:val="24"/>
          <w:highlight w:val="none"/>
          <w:lang w:val="en-US" w:eastAsia="zh-CN"/>
        </w:rPr>
        <w:t>廉政合同</w:t>
      </w:r>
      <w:r>
        <w:rPr>
          <w:rFonts w:hint="eastAsia" w:ascii="宋体" w:hAnsi="宋体" w:eastAsia="宋体" w:cs="宋体"/>
          <w:b/>
          <w:bCs/>
          <w:color w:val="auto"/>
          <w:spacing w:val="-4"/>
          <w:sz w:val="24"/>
          <w:szCs w:val="24"/>
          <w:highlight w:val="none"/>
        </w:rPr>
        <w:t>》。</w:t>
      </w:r>
    </w:p>
    <w:p w14:paraId="5CBC712C">
      <w:pPr>
        <w:keepNext w:val="0"/>
        <w:keepLines w:val="0"/>
        <w:pageBreakBefore w:val="0"/>
        <w:widowControl w:val="0"/>
        <w:tabs>
          <w:tab w:val="left" w:pos="1503"/>
        </w:tabs>
        <w:kinsoku/>
        <w:wordWrap/>
        <w:overflowPunct/>
        <w:topLinePunct w:val="0"/>
        <w:autoSpaceDE/>
        <w:autoSpaceDN/>
        <w:bidi w:val="0"/>
        <w:adjustRightInd/>
        <w:snapToGrid/>
        <w:spacing w:before="1" w:line="400" w:lineRule="exact"/>
        <w:ind w:left="-113" w:right="283" w:firstLine="464" w:firstLineChars="200"/>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cs="宋体"/>
          <w:color w:val="auto"/>
          <w:spacing w:val="-4"/>
          <w:sz w:val="24"/>
          <w:szCs w:val="24"/>
          <w:highlight w:val="none"/>
          <w:lang w:val="en-US" w:eastAsia="zh-CN"/>
        </w:rPr>
        <w:t>4</w:t>
      </w:r>
      <w:r>
        <w:rPr>
          <w:rFonts w:hint="eastAsia" w:ascii="宋体" w:hAnsi="宋体" w:eastAsia="宋体" w:cs="宋体"/>
          <w:color w:val="auto"/>
          <w:spacing w:val="-4"/>
          <w:sz w:val="24"/>
          <w:szCs w:val="24"/>
          <w:highlight w:val="none"/>
        </w:rPr>
        <w:t>）因考</w:t>
      </w:r>
      <w:r>
        <w:rPr>
          <w:rFonts w:hint="eastAsia" w:ascii="宋体" w:hAnsi="宋体" w:cs="宋体"/>
          <w:color w:val="auto"/>
          <w:spacing w:val="-4"/>
          <w:sz w:val="24"/>
          <w:szCs w:val="24"/>
          <w:highlight w:val="none"/>
          <w:lang w:val="en-US" w:eastAsia="zh-CN"/>
        </w:rPr>
        <w:t>项目</w:t>
      </w:r>
      <w:r>
        <w:rPr>
          <w:rFonts w:hint="eastAsia" w:ascii="宋体" w:hAnsi="宋体" w:eastAsia="宋体" w:cs="宋体"/>
          <w:color w:val="auto"/>
          <w:spacing w:val="-4"/>
          <w:sz w:val="24"/>
          <w:szCs w:val="24"/>
          <w:highlight w:val="none"/>
        </w:rPr>
        <w:t>的特殊性，如遇突发意外情况，</w:t>
      </w:r>
      <w:r>
        <w:rPr>
          <w:rFonts w:hint="eastAsia" w:ascii="宋体" w:hAnsi="宋体" w:cs="宋体"/>
          <w:color w:val="auto"/>
          <w:spacing w:val="-4"/>
          <w:sz w:val="24"/>
          <w:szCs w:val="24"/>
          <w:highlight w:val="none"/>
          <w:lang w:eastAsia="zh-CN"/>
        </w:rPr>
        <w:t>投标人</w:t>
      </w:r>
      <w:r>
        <w:rPr>
          <w:rFonts w:hint="eastAsia" w:ascii="宋体" w:hAnsi="宋体" w:eastAsia="宋体" w:cs="宋体"/>
          <w:color w:val="auto"/>
          <w:spacing w:val="-4"/>
          <w:sz w:val="24"/>
          <w:szCs w:val="24"/>
          <w:highlight w:val="none"/>
        </w:rPr>
        <w:t>接到电话必须在4小时内</w:t>
      </w:r>
      <w:r>
        <w:rPr>
          <w:rFonts w:hint="eastAsia" w:ascii="宋体" w:hAnsi="宋体" w:eastAsia="宋体" w:cs="宋体"/>
          <w:color w:val="auto"/>
          <w:kern w:val="2"/>
          <w:sz w:val="21"/>
          <w:szCs w:val="21"/>
          <w:highlight w:val="none"/>
          <w:lang w:val="en-US" w:eastAsia="zh-CN" w:bidi="ar-SA"/>
        </w:rPr>
        <w:t>（含）</w:t>
      </w:r>
      <w:r>
        <w:rPr>
          <w:rFonts w:hint="eastAsia" w:ascii="宋体" w:hAnsi="宋体" w:eastAsia="宋体" w:cs="宋体"/>
          <w:color w:val="auto"/>
          <w:spacing w:val="-4"/>
          <w:sz w:val="24"/>
          <w:szCs w:val="24"/>
          <w:highlight w:val="none"/>
        </w:rPr>
        <w:t>作出响应并安排技术人员赶到现场解决突发情况。</w:t>
      </w:r>
      <w:r>
        <w:rPr>
          <w:rFonts w:hint="eastAsia"/>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如在实施过程中，未达到</w:t>
      </w:r>
      <w:r>
        <w:rPr>
          <w:rFonts w:hint="eastAsia" w:ascii="宋体" w:hAnsi="宋体" w:cs="宋体"/>
          <w:b/>
          <w:bCs/>
          <w:color w:val="auto"/>
          <w:sz w:val="24"/>
          <w:szCs w:val="24"/>
          <w:highlight w:val="none"/>
          <w:lang w:val="en-US" w:eastAsia="zh-CN"/>
        </w:rPr>
        <w:t>服务</w:t>
      </w:r>
      <w:r>
        <w:rPr>
          <w:rFonts w:hint="eastAsia" w:ascii="宋体" w:hAnsi="宋体" w:eastAsia="宋体" w:cs="宋体"/>
          <w:b/>
          <w:bCs/>
          <w:color w:val="auto"/>
          <w:sz w:val="24"/>
          <w:szCs w:val="24"/>
          <w:highlight w:val="none"/>
          <w:lang w:val="en-US" w:eastAsia="zh-CN"/>
        </w:rPr>
        <w:t>要求</w:t>
      </w:r>
      <w:r>
        <w:rPr>
          <w:rFonts w:hint="eastAsia" w:ascii="宋体" w:hAnsi="宋体" w:cs="宋体"/>
          <w:b/>
          <w:bCs/>
          <w:color w:val="auto"/>
          <w:sz w:val="24"/>
          <w:szCs w:val="24"/>
          <w:highlight w:val="none"/>
          <w:lang w:val="en-US" w:eastAsia="zh-CN"/>
        </w:rPr>
        <w:t>和投标</w:t>
      </w:r>
      <w:r>
        <w:rPr>
          <w:rFonts w:hint="eastAsia" w:ascii="宋体" w:hAnsi="宋体" w:eastAsia="宋体" w:cs="宋体"/>
          <w:b/>
          <w:bCs/>
          <w:color w:val="auto"/>
          <w:sz w:val="24"/>
          <w:szCs w:val="24"/>
          <w:highlight w:val="none"/>
          <w:lang w:val="en-US" w:eastAsia="zh-CN"/>
        </w:rPr>
        <w:t>承诺要求</w:t>
      </w:r>
      <w:r>
        <w:rPr>
          <w:rFonts w:hint="eastAsia" w:ascii="宋体" w:hAnsi="宋体" w:cs="宋体"/>
          <w:b/>
          <w:bCs/>
          <w:color w:val="auto"/>
          <w:sz w:val="24"/>
          <w:szCs w:val="24"/>
          <w:highlight w:val="none"/>
          <w:lang w:val="en-US" w:eastAsia="zh-CN"/>
        </w:rPr>
        <w:t>的</w:t>
      </w:r>
      <w:r>
        <w:rPr>
          <w:rFonts w:hint="eastAsia" w:ascii="宋体" w:hAnsi="宋体" w:eastAsia="宋体" w:cs="宋体"/>
          <w:b/>
          <w:bCs/>
          <w:color w:val="auto"/>
          <w:sz w:val="24"/>
          <w:szCs w:val="24"/>
          <w:highlight w:val="none"/>
          <w:lang w:val="en-US" w:eastAsia="zh-CN"/>
        </w:rPr>
        <w:t>，按1000元/次</w:t>
      </w:r>
      <w:r>
        <w:rPr>
          <w:rFonts w:hint="eastAsia" w:ascii="宋体" w:hAnsi="宋体" w:cs="宋体"/>
          <w:b/>
          <w:bCs/>
          <w:color w:val="auto"/>
          <w:sz w:val="24"/>
          <w:szCs w:val="24"/>
          <w:highlight w:val="none"/>
          <w:lang w:val="en-US" w:eastAsia="zh-CN"/>
        </w:rPr>
        <w:t>扣除服务费</w:t>
      </w:r>
      <w:r>
        <w:rPr>
          <w:rFonts w:hint="eastAsia" w:ascii="宋体" w:hAnsi="宋体" w:eastAsia="宋体" w:cs="宋体"/>
          <w:b/>
          <w:bCs/>
          <w:color w:val="auto"/>
          <w:sz w:val="24"/>
          <w:szCs w:val="24"/>
          <w:highlight w:val="none"/>
          <w:lang w:val="en-US" w:eastAsia="zh-CN"/>
        </w:rPr>
        <w:t>。</w:t>
      </w:r>
      <w:r>
        <w:rPr>
          <w:rFonts w:hint="eastAsia"/>
          <w:b/>
          <w:bCs/>
          <w:color w:val="auto"/>
          <w:sz w:val="24"/>
          <w:szCs w:val="24"/>
          <w:highlight w:val="none"/>
          <w:lang w:eastAsia="zh-CN"/>
        </w:rPr>
        <w:t>）</w:t>
      </w:r>
    </w:p>
    <w:p w14:paraId="1FCB6FA5">
      <w:pPr>
        <w:keepNext w:val="0"/>
        <w:keepLines w:val="0"/>
        <w:pageBreakBefore w:val="0"/>
        <w:widowControl w:val="0"/>
        <w:tabs>
          <w:tab w:val="left" w:pos="1503"/>
        </w:tabs>
        <w:kinsoku/>
        <w:wordWrap/>
        <w:overflowPunct/>
        <w:topLinePunct w:val="0"/>
        <w:autoSpaceDE/>
        <w:autoSpaceDN/>
        <w:bidi w:val="0"/>
        <w:adjustRightInd/>
        <w:snapToGrid/>
        <w:spacing w:before="1" w:line="400" w:lineRule="exact"/>
        <w:ind w:left="-113" w:right="283" w:firstLine="464" w:firstLineChars="200"/>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cs="宋体"/>
          <w:color w:val="auto"/>
          <w:spacing w:val="-4"/>
          <w:sz w:val="24"/>
          <w:szCs w:val="24"/>
          <w:highlight w:val="none"/>
          <w:lang w:val="en-US" w:eastAsia="zh-CN"/>
        </w:rPr>
        <w:t>5</w:t>
      </w:r>
      <w:r>
        <w:rPr>
          <w:rFonts w:hint="eastAsia" w:ascii="宋体" w:hAnsi="宋体" w:eastAsia="宋体" w:cs="宋体"/>
          <w:color w:val="auto"/>
          <w:spacing w:val="-4"/>
          <w:sz w:val="24"/>
          <w:szCs w:val="24"/>
          <w:highlight w:val="none"/>
        </w:rPr>
        <w:t>）项目负责人职责：全权代表公司履行该项目采购服务要求的全部权利和义务；常驻采购单位施工现场，能随时与采购单位保持沟通联系；负责该项目的组织实施，配合检查、验收和提供相关材料等，相关法律责任由</w:t>
      </w:r>
      <w:r>
        <w:rPr>
          <w:rFonts w:hint="eastAsia" w:ascii="宋体" w:hAnsi="宋体" w:cs="宋体"/>
          <w:color w:val="auto"/>
          <w:spacing w:val="-4"/>
          <w:sz w:val="24"/>
          <w:szCs w:val="24"/>
          <w:highlight w:val="none"/>
          <w:lang w:eastAsia="zh-CN"/>
        </w:rPr>
        <w:t>中标人</w:t>
      </w:r>
      <w:r>
        <w:rPr>
          <w:rFonts w:hint="eastAsia" w:ascii="宋体" w:hAnsi="宋体" w:eastAsia="宋体" w:cs="宋体"/>
          <w:color w:val="auto"/>
          <w:spacing w:val="-4"/>
          <w:sz w:val="24"/>
          <w:szCs w:val="24"/>
          <w:highlight w:val="none"/>
        </w:rPr>
        <w:t>公司承担。</w:t>
      </w:r>
    </w:p>
    <w:p w14:paraId="276110B6">
      <w:pPr>
        <w:keepNext w:val="0"/>
        <w:keepLines w:val="0"/>
        <w:pageBreakBefore w:val="0"/>
        <w:widowControl w:val="0"/>
        <w:tabs>
          <w:tab w:val="left" w:pos="1503"/>
        </w:tabs>
        <w:kinsoku/>
        <w:wordWrap/>
        <w:overflowPunct/>
        <w:topLinePunct w:val="0"/>
        <w:autoSpaceDE/>
        <w:autoSpaceDN/>
        <w:bidi w:val="0"/>
        <w:adjustRightInd/>
        <w:snapToGrid/>
        <w:spacing w:before="1" w:line="400" w:lineRule="exact"/>
        <w:ind w:left="-113" w:right="283" w:firstLine="464" w:firstLineChars="200"/>
        <w:textAlignment w:val="auto"/>
        <w:rPr>
          <w:rFonts w:hint="default"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eastAsia="zh-CN"/>
        </w:rPr>
        <w:t>（</w:t>
      </w:r>
      <w:r>
        <w:rPr>
          <w:rFonts w:hint="eastAsia" w:ascii="宋体" w:hAnsi="宋体" w:cs="宋体"/>
          <w:color w:val="auto"/>
          <w:spacing w:val="-4"/>
          <w:sz w:val="24"/>
          <w:szCs w:val="24"/>
          <w:highlight w:val="none"/>
          <w:lang w:val="en-US" w:eastAsia="zh-CN"/>
        </w:rPr>
        <w:t>6</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lang w:val="en-US" w:eastAsia="zh-CN"/>
        </w:rPr>
        <w:t>本项目实施期间，须拟派技术人员</w:t>
      </w:r>
      <w:r>
        <w:rPr>
          <w:rFonts w:hint="default" w:ascii="Arial" w:hAnsi="Arial" w:eastAsia="宋体" w:cs="Arial"/>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val="en-US" w:eastAsia="zh-CN"/>
        </w:rPr>
        <w:t>1人驻场，须具有林业专业工程师初级（含以上）职称。（备注：林业专业是指申报林业专业</w:t>
      </w:r>
      <w:bookmarkStart w:id="6" w:name="_GoBack"/>
      <w:bookmarkEnd w:id="6"/>
      <w:r>
        <w:rPr>
          <w:rFonts w:hint="eastAsia" w:ascii="宋体" w:hAnsi="宋体" w:eastAsia="宋体" w:cs="宋体"/>
          <w:color w:val="auto"/>
          <w:spacing w:val="-4"/>
          <w:sz w:val="24"/>
          <w:szCs w:val="24"/>
          <w:highlight w:val="none"/>
          <w:lang w:val="en-US" w:eastAsia="zh-CN"/>
        </w:rPr>
        <w:t>职称</w:t>
      </w:r>
      <w:r>
        <w:rPr>
          <w:rFonts w:hint="default"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val="en-US" w:eastAsia="zh-CN"/>
        </w:rPr>
        <w:t>申报工程系列</w:t>
      </w:r>
      <w:r>
        <w:rPr>
          <w:rFonts w:hint="default"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val="en-US" w:eastAsia="zh-CN"/>
        </w:rPr>
        <w:t>申报专业所显示的范围即林业生态建设（系统申报更新之前称为森林培育）、林业资源保护、林业资源监测调查、林业资源利用、林业技术推广、数字林业建设均可。）</w:t>
      </w:r>
      <w:r>
        <w:rPr>
          <w:rFonts w:hint="eastAsia" w:ascii="宋体" w:hAnsi="宋体" w:cs="宋体"/>
          <w:color w:val="auto"/>
          <w:spacing w:val="-4"/>
          <w:sz w:val="24"/>
          <w:szCs w:val="24"/>
          <w:highlight w:val="none"/>
          <w:lang w:val="en-US" w:eastAsia="zh-CN"/>
        </w:rPr>
        <w:t>（</w:t>
      </w:r>
      <w:r>
        <w:rPr>
          <w:rFonts w:hint="eastAsia" w:ascii="宋体" w:hAnsi="宋体" w:eastAsia="宋体" w:cs="宋体"/>
          <w:b/>
          <w:color w:val="auto"/>
          <w:kern w:val="0"/>
          <w:sz w:val="24"/>
          <w:szCs w:val="24"/>
          <w:highlight w:val="none"/>
          <w:lang w:val="en-US" w:eastAsia="zh-CN" w:bidi="hi-IN"/>
        </w:rPr>
        <w:t>提供技术人员职称证书、身份证和劳动合同原件扫描件并加盖</w:t>
      </w:r>
      <w:r>
        <w:rPr>
          <w:rFonts w:hint="eastAsia" w:ascii="宋体" w:hAnsi="宋体" w:cs="宋体"/>
          <w:b/>
          <w:color w:val="auto"/>
          <w:kern w:val="0"/>
          <w:sz w:val="24"/>
          <w:szCs w:val="24"/>
          <w:highlight w:val="none"/>
          <w:lang w:val="en-US" w:eastAsia="zh-CN" w:bidi="hi-IN"/>
        </w:rPr>
        <w:t>投标人</w:t>
      </w:r>
      <w:r>
        <w:rPr>
          <w:rFonts w:hint="eastAsia" w:ascii="宋体" w:hAnsi="宋体" w:eastAsia="宋体" w:cs="宋体"/>
          <w:b/>
          <w:color w:val="auto"/>
          <w:kern w:val="0"/>
          <w:sz w:val="24"/>
          <w:szCs w:val="24"/>
          <w:highlight w:val="none"/>
          <w:lang w:val="en-US" w:eastAsia="zh-CN" w:bidi="hi-IN"/>
        </w:rPr>
        <w:t>公章</w:t>
      </w:r>
      <w:r>
        <w:rPr>
          <w:rFonts w:hint="eastAsia" w:ascii="宋体" w:hAnsi="宋体" w:eastAsia="宋体" w:cs="宋体"/>
          <w:b/>
          <w:color w:val="auto"/>
          <w:kern w:val="0"/>
          <w:sz w:val="24"/>
          <w:szCs w:val="24"/>
          <w:highlight w:val="none"/>
          <w:u w:val="none"/>
          <w:lang w:val="en-US" w:eastAsia="zh-CN" w:bidi="hi-IN"/>
        </w:rPr>
        <w:t>。</w:t>
      </w:r>
      <w:r>
        <w:rPr>
          <w:rFonts w:hint="eastAsia" w:ascii="宋体" w:hAnsi="宋体" w:cs="宋体"/>
          <w:color w:val="auto"/>
          <w:spacing w:val="-4"/>
          <w:sz w:val="24"/>
          <w:szCs w:val="24"/>
          <w:highlight w:val="none"/>
          <w:lang w:val="en-US" w:eastAsia="zh-CN"/>
        </w:rPr>
        <w:t>）</w:t>
      </w:r>
    </w:p>
    <w:p w14:paraId="5C11356B">
      <w:pPr>
        <w:pStyle w:val="6"/>
        <w:keepNext w:val="0"/>
        <w:keepLines w:val="0"/>
        <w:pageBreakBefore w:val="0"/>
        <w:widowControl w:val="0"/>
        <w:kinsoku/>
        <w:wordWrap/>
        <w:overflowPunct/>
        <w:topLinePunct w:val="0"/>
        <w:autoSpaceDE/>
        <w:autoSpaceDN/>
        <w:bidi w:val="0"/>
        <w:adjustRightInd w:val="0"/>
        <w:spacing w:line="400" w:lineRule="exact"/>
        <w:ind w:firstLine="482" w:firstLineChars="200"/>
        <w:textAlignment w:val="auto"/>
        <w:rPr>
          <w:rFonts w:hint="default" w:ascii="仿宋" w:hAnsi="仿宋" w:eastAsia="仿宋" w:cs="仿宋"/>
          <w:i w:val="0"/>
          <w:iCs w:val="0"/>
          <w:caps w:val="0"/>
          <w:color w:val="auto"/>
          <w:spacing w:val="0"/>
          <w:sz w:val="24"/>
          <w:szCs w:val="24"/>
          <w:highlight w:val="none"/>
          <w:shd w:val="clear" w:color="auto" w:fill="FFFFFF"/>
          <w:vertAlign w:val="baseline"/>
          <w:lang w:val="en-US"/>
        </w:rPr>
      </w:pPr>
      <w:r>
        <w:rPr>
          <w:rFonts w:hint="eastAsia" w:hAnsi="宋体" w:cs="宋体"/>
          <w:b/>
          <w:bCs/>
          <w:color w:val="auto"/>
          <w:sz w:val="24"/>
          <w:szCs w:val="24"/>
          <w:highlight w:val="none"/>
          <w:lang w:val="en-US" w:eastAsia="zh-CN"/>
        </w:rPr>
        <w:t>7</w:t>
      </w:r>
      <w:r>
        <w:rPr>
          <w:rFonts w:hint="eastAsia" w:hAnsi="宋体" w:eastAsia="宋体" w:cs="宋体"/>
          <w:b/>
          <w:bCs/>
          <w:color w:val="auto"/>
          <w:sz w:val="24"/>
          <w:szCs w:val="24"/>
          <w:highlight w:val="none"/>
          <w:lang w:val="en-US" w:eastAsia="zh-CN"/>
        </w:rPr>
        <w:t>.</w:t>
      </w:r>
      <w:r>
        <w:rPr>
          <w:rFonts w:hint="eastAsia" w:hAnsi="宋体" w:eastAsia="宋体" w:cs="宋体"/>
          <w:b/>
          <w:bCs/>
          <w:color w:val="auto"/>
          <w:sz w:val="24"/>
          <w:szCs w:val="24"/>
          <w:highlight w:val="none"/>
        </w:rPr>
        <w:t>采购人不组织踏勘现场</w:t>
      </w:r>
      <w:r>
        <w:rPr>
          <w:rFonts w:hint="eastAsia" w:hAnsi="宋体" w:eastAsia="宋体" w:cs="宋体"/>
          <w:b/>
          <w:bCs/>
          <w:color w:val="auto"/>
          <w:sz w:val="24"/>
          <w:szCs w:val="24"/>
          <w:highlight w:val="none"/>
          <w:lang w:eastAsia="zh-CN"/>
        </w:rPr>
        <w:t>：</w:t>
      </w:r>
      <w:r>
        <w:rPr>
          <w:rFonts w:hint="eastAsia" w:hAnsi="宋体" w:cs="宋体"/>
          <w:color w:val="auto"/>
          <w:sz w:val="24"/>
          <w:szCs w:val="24"/>
          <w:highlight w:val="none"/>
          <w:lang w:val="en-US" w:eastAsia="zh-CN"/>
        </w:rPr>
        <w:t>投标人</w:t>
      </w:r>
      <w:r>
        <w:rPr>
          <w:rFonts w:hint="eastAsia" w:hAnsi="宋体" w:eastAsia="宋体" w:cs="宋体"/>
          <w:color w:val="auto"/>
          <w:sz w:val="24"/>
          <w:szCs w:val="24"/>
          <w:highlight w:val="none"/>
        </w:rPr>
        <w:t>应自行安排时间进行实地考察。</w:t>
      </w:r>
      <w:r>
        <w:rPr>
          <w:rFonts w:hint="eastAsia" w:hAnsi="宋体" w:cs="宋体"/>
          <w:color w:val="auto"/>
          <w:sz w:val="24"/>
          <w:szCs w:val="24"/>
          <w:highlight w:val="none"/>
          <w:lang w:val="en-US" w:eastAsia="zh-CN"/>
        </w:rPr>
        <w:t>投标人</w:t>
      </w:r>
      <w:r>
        <w:rPr>
          <w:rFonts w:hint="eastAsia" w:hAnsi="宋体" w:eastAsia="宋体" w:cs="宋体"/>
          <w:color w:val="auto"/>
          <w:sz w:val="24"/>
          <w:szCs w:val="24"/>
          <w:highlight w:val="none"/>
        </w:rPr>
        <w:t>踏勘现场的费用自理，为投标报价取得依据。一旦成交，不得以不了解现场情况为理由而提出额外费用，采购单位将不予考虑。在现场考察过程中，响应服务商如果发生人身伤亡、财务或其它损失，不论何种原因造成，均由</w:t>
      </w:r>
      <w:r>
        <w:rPr>
          <w:rFonts w:hint="eastAsia" w:hAnsi="宋体" w:cs="宋体"/>
          <w:color w:val="auto"/>
          <w:sz w:val="24"/>
          <w:szCs w:val="24"/>
          <w:highlight w:val="none"/>
          <w:lang w:val="en-US" w:eastAsia="zh-CN"/>
        </w:rPr>
        <w:t>投标人</w:t>
      </w:r>
      <w:r>
        <w:rPr>
          <w:rFonts w:hint="eastAsia" w:hAnsi="宋体" w:eastAsia="宋体" w:cs="宋体"/>
          <w:color w:val="auto"/>
          <w:sz w:val="24"/>
          <w:szCs w:val="24"/>
          <w:highlight w:val="none"/>
        </w:rPr>
        <w:t>自负。</w:t>
      </w:r>
    </w:p>
    <w:p w14:paraId="164B8EC7">
      <w:pPr>
        <w:spacing w:line="360" w:lineRule="auto"/>
        <w:ind w:firstLine="480" w:firstLineChars="200"/>
      </w:pPr>
      <w:r>
        <w:rPr>
          <w:rFonts w:hint="eastAsia" w:ascii="宋体" w:hAnsi="宋体" w:cs="宋体"/>
          <w:b w:val="0"/>
          <w:bCs w:val="0"/>
          <w:color w:val="auto"/>
          <w:sz w:val="24"/>
          <w:szCs w:val="24"/>
          <w:highlight w:val="none"/>
          <w:lang w:val="en-US" w:eastAsia="zh-CN" w:bidi="ar-SA"/>
        </w:rPr>
        <w:t>8</w:t>
      </w:r>
      <w:r>
        <w:rPr>
          <w:rFonts w:hint="eastAsia" w:ascii="宋体" w:hAnsi="宋体" w:eastAsia="宋体" w:cs="宋体"/>
          <w:b w:val="0"/>
          <w:bCs w:val="0"/>
          <w:color w:val="auto"/>
          <w:sz w:val="24"/>
          <w:szCs w:val="24"/>
          <w:highlight w:val="none"/>
          <w:lang w:val="en-US" w:eastAsia="zh-CN" w:bidi="ar-SA"/>
        </w:rPr>
        <w:t>.其它未尽事宜，请与采购人联系。</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D62E4"/>
    <w:rsid w:val="446707BB"/>
    <w:rsid w:val="462C02CC"/>
    <w:rsid w:val="55946588"/>
    <w:rsid w:val="6B7B2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w:basedOn w:val="1"/>
    <w:next w:val="4"/>
    <w:qFormat/>
    <w:uiPriority w:val="0"/>
    <w:pPr>
      <w:ind w:firstLine="630"/>
    </w:pPr>
    <w:rPr>
      <w:sz w:val="32"/>
      <w:szCs w:val="20"/>
    </w:rPr>
  </w:style>
  <w:style w:type="paragraph" w:styleId="4">
    <w:name w:val="Body Text First Indent 2"/>
    <w:basedOn w:val="3"/>
    <w:next w:val="5"/>
    <w:qFormat/>
    <w:uiPriority w:val="99"/>
    <w:pPr>
      <w:spacing w:after="120"/>
      <w:ind w:left="420" w:leftChars="200" w:firstLine="420" w:firstLineChars="200"/>
    </w:pPr>
    <w:rPr>
      <w:rFonts w:ascii="Calibri" w:eastAsia="宋体"/>
      <w:sz w:val="21"/>
      <w:szCs w:val="22"/>
    </w:rPr>
  </w:style>
  <w:style w:type="paragraph" w:styleId="5">
    <w:name w:val="Block Text"/>
    <w:basedOn w:val="1"/>
    <w:qFormat/>
    <w:uiPriority w:val="0"/>
    <w:rPr>
      <w:rFonts w:eastAsia="宋体"/>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Body text|1"/>
    <w:basedOn w:val="1"/>
    <w:qFormat/>
    <w:uiPriority w:val="0"/>
    <w:pPr>
      <w:spacing w:line="442" w:lineRule="auto"/>
      <w:ind w:firstLine="400"/>
      <w:jc w:val="left"/>
    </w:pPr>
    <w:rPr>
      <w:rFonts w:ascii="宋体" w:hAnsi="宋体" w:eastAsia="宋体"/>
      <w:sz w:val="26"/>
      <w:szCs w:val="26"/>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2026-05-11T09:12:04Z</dcterms:created>
  <dc:creator>Administrator</dc:creator>
  <cp:lastModifiedBy>Administrator</cp:lastModifiedBy>
  <dcterms:modified xsi:type="dcterms:W3CDTF">2026-05-11T09:13:14Z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KSOTemplateDocerSaveRecord">
    <vt:lpwstr>eyJoZGlkIjoiYzEyMWFlYmU3ODIwNWVhMTZlYjkxYzQxYWI2YjUxODIiLCJ1c2VySWQiOiIyODQyMTAyNDEifQ==</vt:lpwstr>
  </property>
  <property fmtid="{D5CDD505-2E9C-101B-9397-08002B2CF9AE}" pid="4" name="ICV">
    <vt:lpwstr>7E2C3B8908074BE28F8D1BD2CD1F46D6_12</vt:lpwstr>
  </property>
</Properties>
</file>