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4BF4FEC">
      <w:pPr>
        <w:pStyle w:val="5"/>
        <w:ind w:firstLine="880"/>
        <w:jc w:val="center"/>
        <w:rPr>
          <w:rFonts w:hint="eastAsia" w:eastAsia="宋体"/>
          <w:color w:val="000000"/>
          <w:sz w:val="44"/>
          <w:szCs w:val="44"/>
          <w:lang w:eastAsia="zh-CN"/>
        </w:rPr>
      </w:pPr>
      <w:r>
        <w:rPr>
          <w:rFonts w:hint="eastAsia"/>
          <w:color w:val="000000"/>
          <w:sz w:val="36"/>
          <w:szCs w:val="36"/>
        </w:rPr>
        <w:t xml:space="preserve">设 计 </w:t>
      </w:r>
      <w:r>
        <w:rPr>
          <w:rFonts w:hint="eastAsia"/>
          <w:color w:val="000000"/>
          <w:sz w:val="36"/>
          <w:szCs w:val="36"/>
          <w:lang w:eastAsia="zh-CN"/>
        </w:rPr>
        <w:t>技</w:t>
      </w:r>
      <w:r>
        <w:rPr>
          <w:rFonts w:hint="eastAsia"/>
          <w:color w:val="000000"/>
          <w:sz w:val="36"/>
          <w:szCs w:val="36"/>
          <w:lang w:val="en-US" w:eastAsia="zh-CN"/>
        </w:rPr>
        <w:t xml:space="preserve"> </w:t>
      </w:r>
      <w:r>
        <w:rPr>
          <w:rFonts w:hint="eastAsia"/>
          <w:color w:val="000000"/>
          <w:sz w:val="36"/>
          <w:szCs w:val="36"/>
          <w:lang w:eastAsia="zh-CN"/>
        </w:rPr>
        <w:t>术</w:t>
      </w:r>
      <w:r>
        <w:rPr>
          <w:rFonts w:hint="eastAsia"/>
          <w:color w:val="000000"/>
          <w:sz w:val="36"/>
          <w:szCs w:val="36"/>
        </w:rPr>
        <w:t xml:space="preserve"> </w:t>
      </w:r>
      <w:r>
        <w:rPr>
          <w:rFonts w:hint="eastAsia"/>
          <w:color w:val="000000"/>
          <w:sz w:val="36"/>
          <w:szCs w:val="36"/>
          <w:lang w:eastAsia="zh-CN"/>
        </w:rPr>
        <w:t>条</w:t>
      </w:r>
      <w:r>
        <w:rPr>
          <w:rFonts w:hint="eastAsia"/>
          <w:color w:val="000000"/>
          <w:sz w:val="36"/>
          <w:szCs w:val="36"/>
          <w:lang w:val="en-US" w:eastAsia="zh-CN"/>
        </w:rPr>
        <w:t xml:space="preserve"> </w:t>
      </w:r>
      <w:r>
        <w:rPr>
          <w:rFonts w:hint="eastAsia"/>
          <w:color w:val="000000"/>
          <w:sz w:val="36"/>
          <w:szCs w:val="36"/>
          <w:lang w:eastAsia="zh-CN"/>
        </w:rPr>
        <w:t>款</w:t>
      </w:r>
    </w:p>
    <w:p w14:paraId="695B6E27">
      <w:pPr>
        <w:pStyle w:val="2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0" w:after="0" w:line="360" w:lineRule="auto"/>
        <w:textAlignment w:val="baseline"/>
        <w:rPr>
          <w:rFonts w:hint="eastAsia" w:asciiTheme="minorEastAsia" w:hAnsiTheme="minorEastAsia" w:eastAsiaTheme="minorEastAsia" w:cstheme="minorEastAsia"/>
          <w:lang w:val="en-US" w:eastAsia="zh-CN"/>
        </w:rPr>
      </w:pPr>
      <w:bookmarkStart w:id="0" w:name="_Toc58395443"/>
      <w:bookmarkStart w:id="1" w:name="_Toc33857828"/>
      <w:bookmarkStart w:id="2" w:name="_Toc46799541"/>
      <w:bookmarkStart w:id="3" w:name="_Toc7007725"/>
      <w:r>
        <w:rPr>
          <w:rFonts w:hint="eastAsia" w:asciiTheme="minorEastAsia" w:hAnsiTheme="minorEastAsia" w:eastAsiaTheme="minorEastAsia" w:cstheme="minorEastAsia"/>
          <w:lang w:val="en-US" w:eastAsia="zh-CN"/>
        </w:rPr>
        <w:t>1.1建设规模</w:t>
      </w:r>
    </w:p>
    <w:p w14:paraId="131DE45B">
      <w:pPr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560" w:firstLineChars="200"/>
        <w:textAlignment w:val="baseline"/>
        <w:rPr>
          <w:rFonts w:hint="eastAsia" w:asciiTheme="minorEastAsia" w:hAnsiTheme="minorEastAsia" w:eastAsiaTheme="minorEastAsia" w:cstheme="minorEastAsia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扩建处理规模：0.5万m</w:t>
      </w:r>
      <w:r>
        <w:rPr>
          <w:rFonts w:hint="eastAsia" w:asciiTheme="minorEastAsia" w:hAnsiTheme="minorEastAsia" w:eastAsiaTheme="minorEastAsia" w:cstheme="minorEastAsia"/>
          <w:sz w:val="28"/>
          <w:szCs w:val="28"/>
          <w:vertAlign w:val="superscript"/>
          <w:lang w:val="en-US" w:eastAsia="zh-CN"/>
        </w:rPr>
        <w:t>3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/d；</w:t>
      </w:r>
    </w:p>
    <w:p w14:paraId="0532158A">
      <w:pPr>
        <w:pStyle w:val="2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0" w:after="0" w:line="360" w:lineRule="auto"/>
        <w:textAlignment w:val="baseline"/>
        <w:rPr>
          <w:rFonts w:hint="eastAsia" w:asciiTheme="minorEastAsia" w:hAnsiTheme="minorEastAsia" w:eastAsiaTheme="minorEastAsia" w:cstheme="minorEastAsia"/>
          <w:lang w:eastAsia="zh-CN"/>
        </w:rPr>
      </w:pPr>
      <w:r>
        <w:rPr>
          <w:rFonts w:hint="eastAsia" w:asciiTheme="minorEastAsia" w:hAnsiTheme="minorEastAsia" w:eastAsiaTheme="minorEastAsia" w:cstheme="minorEastAsia"/>
        </w:rPr>
        <w:t>1.</w:t>
      </w:r>
      <w:r>
        <w:rPr>
          <w:rFonts w:hint="eastAsia" w:asciiTheme="minorEastAsia" w:hAnsiTheme="minorEastAsia" w:eastAsiaTheme="minorEastAsia" w:cstheme="minorEastAsia"/>
          <w:lang w:val="en-US" w:eastAsia="zh-CN"/>
        </w:rPr>
        <w:t>2</w:t>
      </w:r>
      <w:r>
        <w:rPr>
          <w:rFonts w:hint="eastAsia" w:asciiTheme="minorEastAsia" w:hAnsiTheme="minorEastAsia" w:eastAsiaTheme="minorEastAsia" w:cstheme="minorEastAsia"/>
        </w:rPr>
        <w:t xml:space="preserve"> </w:t>
      </w:r>
      <w:bookmarkEnd w:id="0"/>
      <w:bookmarkEnd w:id="1"/>
      <w:bookmarkEnd w:id="2"/>
      <w:bookmarkEnd w:id="3"/>
      <w:r>
        <w:rPr>
          <w:rFonts w:hint="eastAsia" w:asciiTheme="minorEastAsia" w:hAnsiTheme="minorEastAsia" w:eastAsiaTheme="minorEastAsia" w:cstheme="minorEastAsia"/>
          <w:lang w:eastAsia="zh-CN"/>
        </w:rPr>
        <w:t>设计进出水水质</w:t>
      </w:r>
    </w:p>
    <w:p w14:paraId="4B3DC6C7">
      <w:pPr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jc w:val="center"/>
        <w:textAlignment w:val="baseline"/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设计进出水水质表</w:t>
      </w:r>
    </w:p>
    <w:tbl>
      <w:tblPr>
        <w:tblStyle w:val="3"/>
        <w:tblW w:w="5000" w:type="pct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shd w:val="clear" w:color="auto" w:fill="FFFFFF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50"/>
        <w:gridCol w:w="2034"/>
        <w:gridCol w:w="1814"/>
        <w:gridCol w:w="1454"/>
        <w:gridCol w:w="2470"/>
      </w:tblGrid>
      <w:tr w14:paraId="72D5895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blHeader/>
        </w:trPr>
        <w:tc>
          <w:tcPr>
            <w:tcW w:w="440" w:type="pct"/>
            <w:shd w:val="clear" w:color="auto" w:fill="FFFFFF"/>
            <w:vAlign w:val="center"/>
          </w:tcPr>
          <w:p w14:paraId="49F4E1CF">
            <w:pPr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1193" w:type="pct"/>
            <w:shd w:val="clear" w:color="auto" w:fill="FFFFFF"/>
            <w:vAlign w:val="center"/>
          </w:tcPr>
          <w:p w14:paraId="0599807C">
            <w:pPr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</w:rPr>
              <w:t>污染物</w:t>
            </w:r>
          </w:p>
        </w:tc>
        <w:tc>
          <w:tcPr>
            <w:tcW w:w="1064" w:type="pct"/>
            <w:shd w:val="clear" w:color="auto" w:fill="FFFFFF"/>
            <w:vAlign w:val="center"/>
          </w:tcPr>
          <w:p w14:paraId="49C876D5">
            <w:pPr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</w:rPr>
              <w:t>设计进水水质</w:t>
            </w:r>
          </w:p>
        </w:tc>
        <w:tc>
          <w:tcPr>
            <w:tcW w:w="853" w:type="pct"/>
            <w:shd w:val="clear" w:color="auto" w:fill="FFFFFF"/>
            <w:vAlign w:val="center"/>
          </w:tcPr>
          <w:p w14:paraId="5F90DBED">
            <w:pPr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</w:rPr>
              <w:t>出水限值</w:t>
            </w:r>
          </w:p>
        </w:tc>
        <w:tc>
          <w:tcPr>
            <w:tcW w:w="1448" w:type="pct"/>
            <w:shd w:val="clear" w:color="auto" w:fill="FFFFFF"/>
          </w:tcPr>
          <w:p w14:paraId="00833A70">
            <w:pPr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</w:rPr>
              <w:t>出水标准</w:t>
            </w:r>
          </w:p>
        </w:tc>
      </w:tr>
      <w:tr w14:paraId="3BCDD98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40" w:type="pct"/>
            <w:shd w:val="clear" w:color="auto" w:fill="FFFFFF"/>
            <w:vAlign w:val="center"/>
          </w:tcPr>
          <w:p w14:paraId="018DB08D">
            <w:pPr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</w:rPr>
              <w:t>1</w:t>
            </w:r>
          </w:p>
        </w:tc>
        <w:tc>
          <w:tcPr>
            <w:tcW w:w="1193" w:type="pct"/>
            <w:shd w:val="clear" w:color="auto" w:fill="FFFFFF"/>
            <w:vAlign w:val="center"/>
          </w:tcPr>
          <w:p w14:paraId="4D103D61">
            <w:pPr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left"/>
              <w:textAlignment w:val="baseline"/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</w:rPr>
              <w:t>PH</w:t>
            </w:r>
          </w:p>
        </w:tc>
        <w:tc>
          <w:tcPr>
            <w:tcW w:w="1064" w:type="pct"/>
            <w:shd w:val="clear" w:color="auto" w:fill="FFFFFF"/>
            <w:vAlign w:val="center"/>
          </w:tcPr>
          <w:p w14:paraId="6D4EAE80">
            <w:pPr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</w:rPr>
              <w:t>6～9</w:t>
            </w:r>
          </w:p>
        </w:tc>
        <w:tc>
          <w:tcPr>
            <w:tcW w:w="853" w:type="pct"/>
            <w:shd w:val="clear" w:color="auto" w:fill="FFFFFF"/>
            <w:vAlign w:val="center"/>
          </w:tcPr>
          <w:p w14:paraId="03FC48EC">
            <w:pPr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</w:rPr>
              <w:t>6～9</w:t>
            </w:r>
          </w:p>
        </w:tc>
        <w:tc>
          <w:tcPr>
            <w:tcW w:w="1448" w:type="pct"/>
            <w:shd w:val="clear" w:color="auto" w:fill="FFFFFF"/>
          </w:tcPr>
          <w:p w14:paraId="231A0460">
            <w:pPr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GB18918-2002</w:t>
            </w:r>
            <w:r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</w:rPr>
              <w:t>一级A</w:t>
            </w:r>
          </w:p>
        </w:tc>
      </w:tr>
      <w:tr w14:paraId="66DB0F3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40" w:type="pct"/>
            <w:shd w:val="clear" w:color="auto" w:fill="FFFFFF"/>
            <w:vAlign w:val="center"/>
          </w:tcPr>
          <w:p w14:paraId="7BF65BB4">
            <w:pPr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</w:rPr>
              <w:t>2</w:t>
            </w:r>
          </w:p>
        </w:tc>
        <w:tc>
          <w:tcPr>
            <w:tcW w:w="1193" w:type="pct"/>
            <w:shd w:val="clear" w:color="auto" w:fill="FFFFFF"/>
            <w:vAlign w:val="center"/>
          </w:tcPr>
          <w:p w14:paraId="6FD54ACB">
            <w:pPr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left"/>
              <w:textAlignment w:val="baseline"/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</w:rPr>
              <w:t>色度</w:t>
            </w:r>
          </w:p>
        </w:tc>
        <w:tc>
          <w:tcPr>
            <w:tcW w:w="1064" w:type="pct"/>
            <w:shd w:val="clear" w:color="auto" w:fill="FFFFFF"/>
            <w:vAlign w:val="center"/>
          </w:tcPr>
          <w:p w14:paraId="1C042FC4">
            <w:pPr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</w:rPr>
              <w:t>64</w:t>
            </w:r>
          </w:p>
        </w:tc>
        <w:tc>
          <w:tcPr>
            <w:tcW w:w="853" w:type="pct"/>
            <w:shd w:val="clear" w:color="auto" w:fill="FFFFFF"/>
            <w:vAlign w:val="center"/>
          </w:tcPr>
          <w:p w14:paraId="61B24B63">
            <w:pPr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</w:rPr>
              <w:t>30</w:t>
            </w:r>
          </w:p>
        </w:tc>
        <w:tc>
          <w:tcPr>
            <w:tcW w:w="1448" w:type="pct"/>
            <w:shd w:val="clear" w:color="auto" w:fill="FFFFFF"/>
          </w:tcPr>
          <w:p w14:paraId="39455BD5">
            <w:pPr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GB18918-2002</w:t>
            </w:r>
            <w:r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</w:rPr>
              <w:t>一级A</w:t>
            </w:r>
          </w:p>
        </w:tc>
      </w:tr>
      <w:tr w14:paraId="279AE4D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40" w:type="pct"/>
            <w:shd w:val="clear" w:color="auto" w:fill="FFFFFF"/>
            <w:vAlign w:val="center"/>
          </w:tcPr>
          <w:p w14:paraId="167C1C44">
            <w:pPr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</w:rPr>
              <w:t>3</w:t>
            </w:r>
          </w:p>
        </w:tc>
        <w:tc>
          <w:tcPr>
            <w:tcW w:w="1193" w:type="pct"/>
            <w:shd w:val="clear" w:color="auto" w:fill="FFFFFF"/>
            <w:vAlign w:val="center"/>
          </w:tcPr>
          <w:p w14:paraId="31F7363B">
            <w:pPr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left"/>
              <w:textAlignment w:val="baseline"/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</w:rPr>
              <w:t>COD</w:t>
            </w:r>
            <w:r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  <w:vertAlign w:val="subscript"/>
              </w:rPr>
              <w:t>Cr</w:t>
            </w:r>
            <w:r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</w:rPr>
              <w:t>（mg/L）</w:t>
            </w:r>
          </w:p>
        </w:tc>
        <w:tc>
          <w:tcPr>
            <w:tcW w:w="1064" w:type="pct"/>
            <w:shd w:val="clear" w:color="auto" w:fill="FFFFFF"/>
            <w:vAlign w:val="center"/>
          </w:tcPr>
          <w:p w14:paraId="16453C9F">
            <w:pPr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  <w:lang w:val="en-US" w:eastAsia="zh-CN"/>
              </w:rPr>
              <w:t>4</w:t>
            </w:r>
            <w:r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</w:rPr>
              <w:t>00</w:t>
            </w:r>
          </w:p>
        </w:tc>
        <w:tc>
          <w:tcPr>
            <w:tcW w:w="853" w:type="pct"/>
            <w:shd w:val="clear" w:color="auto" w:fill="FFFFFF"/>
            <w:vAlign w:val="center"/>
          </w:tcPr>
          <w:p w14:paraId="6DC1B415">
            <w:pPr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</w:rPr>
              <w:t>50</w:t>
            </w:r>
          </w:p>
        </w:tc>
        <w:tc>
          <w:tcPr>
            <w:tcW w:w="1448" w:type="pct"/>
            <w:shd w:val="clear" w:color="auto" w:fill="FFFFFF"/>
          </w:tcPr>
          <w:p w14:paraId="3CC06C20">
            <w:pPr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GB18918-2002</w:t>
            </w:r>
            <w:r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</w:rPr>
              <w:t>一级A</w:t>
            </w:r>
          </w:p>
        </w:tc>
      </w:tr>
      <w:tr w14:paraId="6EB2A54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40" w:type="pct"/>
            <w:shd w:val="clear" w:color="auto" w:fill="FFFFFF"/>
            <w:vAlign w:val="center"/>
          </w:tcPr>
          <w:p w14:paraId="6DE15705">
            <w:pPr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</w:rPr>
              <w:t>4</w:t>
            </w:r>
          </w:p>
        </w:tc>
        <w:tc>
          <w:tcPr>
            <w:tcW w:w="1193" w:type="pct"/>
            <w:shd w:val="clear" w:color="auto" w:fill="FFFFFF"/>
            <w:vAlign w:val="center"/>
          </w:tcPr>
          <w:p w14:paraId="3338E216">
            <w:pPr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left"/>
              <w:textAlignment w:val="baseline"/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</w:rPr>
              <w:t>BOD</w:t>
            </w:r>
            <w:r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  <w:vertAlign w:val="subscript"/>
              </w:rPr>
              <w:t>5</w:t>
            </w:r>
            <w:r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</w:rPr>
              <w:t>（mg/L）</w:t>
            </w:r>
          </w:p>
        </w:tc>
        <w:tc>
          <w:tcPr>
            <w:tcW w:w="1064" w:type="pct"/>
            <w:shd w:val="clear" w:color="auto" w:fill="FFFFFF"/>
            <w:vAlign w:val="center"/>
          </w:tcPr>
          <w:p w14:paraId="66E252E6">
            <w:pPr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  <w:lang w:val="en-US" w:eastAsia="zh-CN"/>
              </w:rPr>
              <w:t>240</w:t>
            </w:r>
          </w:p>
        </w:tc>
        <w:tc>
          <w:tcPr>
            <w:tcW w:w="853" w:type="pct"/>
            <w:shd w:val="clear" w:color="auto" w:fill="FFFFFF"/>
            <w:vAlign w:val="center"/>
          </w:tcPr>
          <w:p w14:paraId="3C2ED8E6">
            <w:pPr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</w:rPr>
              <w:t>10</w:t>
            </w:r>
          </w:p>
        </w:tc>
        <w:tc>
          <w:tcPr>
            <w:tcW w:w="1448" w:type="pct"/>
            <w:shd w:val="clear" w:color="auto" w:fill="FFFFFF"/>
          </w:tcPr>
          <w:p w14:paraId="0C1B15E7">
            <w:pPr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GB18918-2002</w:t>
            </w:r>
            <w:r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</w:rPr>
              <w:t>一级A</w:t>
            </w:r>
          </w:p>
        </w:tc>
      </w:tr>
      <w:tr w14:paraId="105B45B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40" w:type="pct"/>
            <w:shd w:val="clear" w:color="auto" w:fill="FFFFFF"/>
            <w:vAlign w:val="center"/>
          </w:tcPr>
          <w:p w14:paraId="255EF2FD">
            <w:pPr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</w:rPr>
              <w:t>5</w:t>
            </w:r>
          </w:p>
        </w:tc>
        <w:tc>
          <w:tcPr>
            <w:tcW w:w="1193" w:type="pct"/>
            <w:shd w:val="clear" w:color="auto" w:fill="FFFFFF"/>
            <w:vAlign w:val="center"/>
          </w:tcPr>
          <w:p w14:paraId="7D5F4148">
            <w:pPr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left"/>
              <w:textAlignment w:val="baseline"/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</w:rPr>
              <w:t>SS（mg/L）</w:t>
            </w:r>
          </w:p>
        </w:tc>
        <w:tc>
          <w:tcPr>
            <w:tcW w:w="1064" w:type="pct"/>
            <w:shd w:val="clear" w:color="auto" w:fill="FFFFFF"/>
            <w:vAlign w:val="center"/>
          </w:tcPr>
          <w:p w14:paraId="0291B763">
            <w:pPr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  <w:lang w:val="en-US" w:eastAsia="zh-CN"/>
              </w:rPr>
              <w:t>320</w:t>
            </w:r>
          </w:p>
        </w:tc>
        <w:tc>
          <w:tcPr>
            <w:tcW w:w="853" w:type="pct"/>
            <w:shd w:val="clear" w:color="auto" w:fill="FFFFFF"/>
            <w:vAlign w:val="center"/>
          </w:tcPr>
          <w:p w14:paraId="310F5356">
            <w:pPr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</w:rPr>
              <w:t>10</w:t>
            </w:r>
          </w:p>
        </w:tc>
        <w:tc>
          <w:tcPr>
            <w:tcW w:w="1448" w:type="pct"/>
            <w:shd w:val="clear" w:color="auto" w:fill="FFFFFF"/>
          </w:tcPr>
          <w:p w14:paraId="7FF1506E">
            <w:pPr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GB18918-2002</w:t>
            </w:r>
            <w:r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</w:rPr>
              <w:t>一级A</w:t>
            </w:r>
          </w:p>
        </w:tc>
      </w:tr>
      <w:tr w14:paraId="26093D1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40" w:type="pct"/>
            <w:shd w:val="clear" w:color="auto" w:fill="FFFFFF"/>
            <w:vAlign w:val="center"/>
          </w:tcPr>
          <w:p w14:paraId="3FB62F76">
            <w:pPr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</w:rPr>
              <w:t>6</w:t>
            </w:r>
          </w:p>
        </w:tc>
        <w:tc>
          <w:tcPr>
            <w:tcW w:w="1193" w:type="pct"/>
            <w:shd w:val="clear" w:color="auto" w:fill="FFFFFF"/>
            <w:vAlign w:val="center"/>
          </w:tcPr>
          <w:p w14:paraId="30F4B704">
            <w:pPr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left"/>
              <w:textAlignment w:val="baseline"/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</w:rPr>
              <w:t>氨氮（mg/L）</w:t>
            </w:r>
          </w:p>
        </w:tc>
        <w:tc>
          <w:tcPr>
            <w:tcW w:w="1064" w:type="pct"/>
            <w:shd w:val="clear" w:color="auto" w:fill="FFFFFF"/>
            <w:vAlign w:val="center"/>
          </w:tcPr>
          <w:p w14:paraId="776B9ECE">
            <w:pPr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  <w:lang w:val="en-US" w:eastAsia="zh-CN"/>
              </w:rPr>
              <w:t>42</w:t>
            </w:r>
          </w:p>
        </w:tc>
        <w:tc>
          <w:tcPr>
            <w:tcW w:w="853" w:type="pct"/>
            <w:shd w:val="clear" w:color="auto" w:fill="FFFFFF"/>
            <w:vAlign w:val="center"/>
          </w:tcPr>
          <w:p w14:paraId="7B3EAECE">
            <w:pPr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position w:val="2"/>
                <w:sz w:val="24"/>
                <w:szCs w:val="24"/>
              </w:rPr>
              <w:t>5（8.0</w:t>
            </w:r>
            <w:r>
              <w:rPr>
                <w:rFonts w:hint="eastAsia" w:asciiTheme="minorEastAsia" w:hAnsiTheme="minorEastAsia" w:eastAsiaTheme="minorEastAsia" w:cstheme="minorEastAsia"/>
                <w:spacing w:val="-67"/>
                <w:position w:val="2"/>
                <w:sz w:val="24"/>
                <w:szCs w:val="24"/>
              </w:rPr>
              <w:t>）</w:t>
            </w:r>
          </w:p>
        </w:tc>
        <w:tc>
          <w:tcPr>
            <w:tcW w:w="1448" w:type="pct"/>
            <w:shd w:val="clear" w:color="auto" w:fill="FFFFFF"/>
          </w:tcPr>
          <w:p w14:paraId="597269F8">
            <w:pPr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GB18918-2002</w:t>
            </w:r>
            <w:r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</w:rPr>
              <w:t>一级A</w:t>
            </w:r>
          </w:p>
        </w:tc>
      </w:tr>
      <w:tr w14:paraId="69A3E1E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40" w:type="pct"/>
            <w:shd w:val="clear" w:color="auto" w:fill="FFFFFF"/>
            <w:vAlign w:val="center"/>
          </w:tcPr>
          <w:p w14:paraId="7466D08A">
            <w:pPr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</w:rPr>
              <w:t>7</w:t>
            </w:r>
          </w:p>
        </w:tc>
        <w:tc>
          <w:tcPr>
            <w:tcW w:w="1193" w:type="pct"/>
            <w:shd w:val="clear" w:color="auto" w:fill="FFFFFF"/>
            <w:vAlign w:val="center"/>
          </w:tcPr>
          <w:p w14:paraId="6890BF83">
            <w:pPr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left"/>
              <w:textAlignment w:val="baseline"/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</w:rPr>
              <w:t>总氮（mg/L）</w:t>
            </w:r>
          </w:p>
        </w:tc>
        <w:tc>
          <w:tcPr>
            <w:tcW w:w="1064" w:type="pct"/>
            <w:shd w:val="clear" w:color="auto" w:fill="FFFFFF"/>
            <w:vAlign w:val="center"/>
          </w:tcPr>
          <w:p w14:paraId="00EB122E">
            <w:pPr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  <w:lang w:val="en-US" w:eastAsia="zh-CN"/>
              </w:rPr>
              <w:t>56</w:t>
            </w:r>
          </w:p>
        </w:tc>
        <w:tc>
          <w:tcPr>
            <w:tcW w:w="853" w:type="pct"/>
            <w:shd w:val="clear" w:color="auto" w:fill="FFFFFF"/>
            <w:vAlign w:val="center"/>
          </w:tcPr>
          <w:p w14:paraId="561A0601">
            <w:pPr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</w:rPr>
              <w:t>15</w:t>
            </w:r>
          </w:p>
        </w:tc>
        <w:tc>
          <w:tcPr>
            <w:tcW w:w="1448" w:type="pct"/>
            <w:shd w:val="clear" w:color="auto" w:fill="FFFFFF"/>
          </w:tcPr>
          <w:p w14:paraId="2ACDC8F6">
            <w:pPr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GB18918-2002</w:t>
            </w:r>
            <w:r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</w:rPr>
              <w:t>一级A</w:t>
            </w:r>
          </w:p>
        </w:tc>
      </w:tr>
      <w:tr w14:paraId="6A8D101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40" w:type="pct"/>
            <w:shd w:val="clear" w:color="auto" w:fill="FFFFFF"/>
            <w:vAlign w:val="center"/>
          </w:tcPr>
          <w:p w14:paraId="3A7E9F56">
            <w:pPr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</w:rPr>
              <w:t>8</w:t>
            </w:r>
          </w:p>
        </w:tc>
        <w:tc>
          <w:tcPr>
            <w:tcW w:w="1193" w:type="pct"/>
            <w:shd w:val="clear" w:color="auto" w:fill="FFFFFF"/>
            <w:vAlign w:val="center"/>
          </w:tcPr>
          <w:p w14:paraId="19053C4E">
            <w:pPr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left"/>
              <w:textAlignment w:val="baseline"/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</w:rPr>
              <w:t>总磷（mg/L）</w:t>
            </w:r>
          </w:p>
        </w:tc>
        <w:tc>
          <w:tcPr>
            <w:tcW w:w="1064" w:type="pct"/>
            <w:shd w:val="clear" w:color="auto" w:fill="FFFFFF"/>
            <w:vAlign w:val="center"/>
          </w:tcPr>
          <w:p w14:paraId="72A74B4C">
            <w:pPr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  <w:lang w:val="en-US" w:eastAsia="zh-CN"/>
              </w:rPr>
              <w:t>6</w:t>
            </w:r>
          </w:p>
        </w:tc>
        <w:tc>
          <w:tcPr>
            <w:tcW w:w="853" w:type="pct"/>
            <w:shd w:val="clear" w:color="auto" w:fill="FFFFFF"/>
            <w:vAlign w:val="center"/>
          </w:tcPr>
          <w:p w14:paraId="400B999A">
            <w:pPr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</w:rPr>
              <w:t>0.5</w:t>
            </w:r>
          </w:p>
        </w:tc>
        <w:tc>
          <w:tcPr>
            <w:tcW w:w="1448" w:type="pct"/>
            <w:shd w:val="clear" w:color="auto" w:fill="FFFFFF"/>
          </w:tcPr>
          <w:p w14:paraId="466DC070">
            <w:pPr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GB18918-2002</w:t>
            </w:r>
            <w:r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</w:rPr>
              <w:t>一级A</w:t>
            </w:r>
          </w:p>
        </w:tc>
      </w:tr>
    </w:tbl>
    <w:p w14:paraId="0E94D0D1">
      <w:pPr>
        <w:pStyle w:val="2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0" w:after="0" w:line="360" w:lineRule="auto"/>
        <w:textAlignment w:val="baseline"/>
        <w:rPr>
          <w:rFonts w:hint="eastAsia" w:asciiTheme="minorEastAsia" w:hAnsiTheme="minorEastAsia" w:eastAsiaTheme="minorEastAsia" w:cstheme="minorEastAsia"/>
          <w:lang w:eastAsia="zh-CN"/>
        </w:rPr>
      </w:pPr>
      <w:bookmarkStart w:id="4" w:name="_Toc198375992"/>
      <w:bookmarkStart w:id="5" w:name="_Toc7007726"/>
      <w:r>
        <w:rPr>
          <w:rFonts w:hint="eastAsia" w:asciiTheme="minorEastAsia" w:hAnsiTheme="minorEastAsia" w:eastAsiaTheme="minorEastAsia" w:cstheme="minorEastAsia"/>
        </w:rPr>
        <w:t>1.</w:t>
      </w:r>
      <w:r>
        <w:rPr>
          <w:rFonts w:hint="eastAsia" w:asciiTheme="minorEastAsia" w:hAnsiTheme="minorEastAsia" w:eastAsiaTheme="minorEastAsia" w:cstheme="minorEastAsia"/>
          <w:lang w:val="en-US" w:eastAsia="zh-CN"/>
        </w:rPr>
        <w:t>3</w:t>
      </w:r>
      <w:r>
        <w:rPr>
          <w:rFonts w:hint="eastAsia" w:asciiTheme="minorEastAsia" w:hAnsiTheme="minorEastAsia" w:eastAsiaTheme="minorEastAsia" w:cstheme="minorEastAsia"/>
        </w:rPr>
        <w:t xml:space="preserve"> </w:t>
      </w:r>
      <w:bookmarkEnd w:id="4"/>
      <w:bookmarkEnd w:id="5"/>
      <w:r>
        <w:rPr>
          <w:rFonts w:hint="eastAsia" w:asciiTheme="minorEastAsia" w:hAnsiTheme="minorEastAsia" w:eastAsiaTheme="minorEastAsia" w:cstheme="minorEastAsia"/>
          <w:lang w:eastAsia="zh-CN"/>
        </w:rPr>
        <w:t>污水处理工艺</w:t>
      </w:r>
    </w:p>
    <w:p w14:paraId="411BD00A">
      <w:pPr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textAlignment w:val="baseline"/>
        <w:rPr>
          <w:rFonts w:hint="eastAsia" w:asciiTheme="minorEastAsia" w:hAnsiTheme="minorEastAsia" w:eastAsiaTheme="minorEastAsia" w:cstheme="minorEastAsia"/>
          <w:sz w:val="28"/>
          <w:szCs w:val="28"/>
        </w:rPr>
      </w:pPr>
      <w:r>
        <w:rPr>
          <w:rFonts w:hint="eastAsia" w:asciiTheme="minorEastAsia" w:hAnsiTheme="minorEastAsia" w:eastAsiaTheme="minorEastAsia" w:cstheme="minorEastAsia"/>
          <w:sz w:val="28"/>
          <w:szCs w:val="28"/>
        </w:rPr>
        <w:t>污水→</w:t>
      </w:r>
      <w:r>
        <w:rPr>
          <w:rFonts w:hint="eastAsia" w:asciiTheme="minorEastAsia" w:hAnsiTheme="minorEastAsia" w:eastAsiaTheme="minorEastAsia" w:cstheme="minorEastAsia"/>
          <w:sz w:val="28"/>
          <w:szCs w:val="28"/>
          <w:bdr w:val="single" w:color="auto" w:sz="4" w:space="0"/>
          <w:lang w:val="en-US" w:eastAsia="zh-CN"/>
        </w:rPr>
        <w:t>粗格栅及提升泵房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 xml:space="preserve">→ </w:t>
      </w:r>
      <w:r>
        <w:rPr>
          <w:rFonts w:hint="eastAsia" w:asciiTheme="minorEastAsia" w:hAnsiTheme="minorEastAsia" w:eastAsiaTheme="minorEastAsia" w:cstheme="minorEastAsia"/>
          <w:sz w:val="28"/>
          <w:szCs w:val="28"/>
          <w:bdr w:val="single" w:color="auto" w:sz="4" w:space="0"/>
        </w:rPr>
        <w:t>细格栅与沉砂池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→</w:t>
      </w:r>
      <w:r>
        <w:rPr>
          <w:rFonts w:hint="eastAsia" w:asciiTheme="minorEastAsia" w:hAnsiTheme="minorEastAsia" w:eastAsiaTheme="minorEastAsia" w:cstheme="minorEastAsia"/>
          <w:sz w:val="28"/>
          <w:szCs w:val="28"/>
          <w:bdr w:val="single" w:color="auto" w:sz="4" w:space="0"/>
          <w:lang w:val="en-US" w:eastAsia="zh-CN"/>
        </w:rPr>
        <w:t>调节池及事故池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→</w:t>
      </w:r>
      <w:r>
        <w:rPr>
          <w:rFonts w:hint="eastAsia" w:asciiTheme="minorEastAsia" w:hAnsiTheme="minorEastAsia" w:eastAsiaTheme="minorEastAsia" w:cstheme="minorEastAsia"/>
          <w:sz w:val="28"/>
          <w:szCs w:val="28"/>
          <w:bdr w:val="single" w:color="auto" w:sz="4" w:space="0"/>
        </w:rPr>
        <w:t xml:space="preserve"> </w:t>
      </w:r>
      <w:r>
        <w:rPr>
          <w:rFonts w:hint="eastAsia" w:asciiTheme="minorEastAsia" w:hAnsiTheme="minorEastAsia" w:eastAsiaTheme="minorEastAsia" w:cstheme="minorEastAsia"/>
          <w:sz w:val="28"/>
          <w:szCs w:val="28"/>
          <w:bdr w:val="single" w:color="auto" w:sz="4" w:space="0"/>
          <w:lang w:val="en-US" w:eastAsia="zh-CN"/>
        </w:rPr>
        <w:t>初沉池</w:t>
      </w:r>
      <w:r>
        <w:rPr>
          <w:rFonts w:hint="eastAsia" w:asciiTheme="minorEastAsia" w:hAnsiTheme="minorEastAsia" w:eastAsiaTheme="minorEastAsia" w:cstheme="minorEastAsia"/>
          <w:sz w:val="28"/>
          <w:szCs w:val="28"/>
          <w:bdr w:val="single" w:color="auto" w:sz="4" w:space="0"/>
        </w:rPr>
        <w:t xml:space="preserve"> 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→</w:t>
      </w:r>
      <w:r>
        <w:rPr>
          <w:rFonts w:hint="eastAsia" w:asciiTheme="minorEastAsia" w:hAnsiTheme="minorEastAsia" w:eastAsiaTheme="minorEastAsia" w:cstheme="minorEastAsia"/>
          <w:sz w:val="28"/>
          <w:szCs w:val="28"/>
          <w:bdr w:val="single" w:color="auto" w:sz="4" w:space="0"/>
        </w:rPr>
        <w:t xml:space="preserve"> </w:t>
      </w:r>
      <w:r>
        <w:rPr>
          <w:rFonts w:hint="eastAsia" w:asciiTheme="minorEastAsia" w:hAnsiTheme="minorEastAsia" w:eastAsiaTheme="minorEastAsia" w:cstheme="minorEastAsia"/>
          <w:sz w:val="28"/>
          <w:szCs w:val="28"/>
          <w:bdr w:val="single" w:color="auto" w:sz="4" w:space="0"/>
          <w:lang w:val="en-US" w:eastAsia="zh-CN"/>
        </w:rPr>
        <w:t>生化池</w:t>
      </w:r>
      <w:r>
        <w:rPr>
          <w:rFonts w:hint="eastAsia" w:asciiTheme="minorEastAsia" w:hAnsiTheme="minorEastAsia" w:eastAsiaTheme="minorEastAsia" w:cstheme="minorEastAsia"/>
          <w:sz w:val="28"/>
          <w:szCs w:val="28"/>
          <w:bdr w:val="single" w:color="auto" w:sz="4" w:space="0"/>
        </w:rPr>
        <w:t xml:space="preserve"> 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→</w:t>
      </w:r>
      <w:r>
        <w:rPr>
          <w:rFonts w:hint="eastAsia" w:asciiTheme="minorEastAsia" w:hAnsiTheme="minorEastAsia" w:eastAsiaTheme="minorEastAsia" w:cstheme="minorEastAsia"/>
          <w:sz w:val="28"/>
          <w:szCs w:val="28"/>
          <w:bdr w:val="single" w:color="auto" w:sz="4" w:space="0"/>
        </w:rPr>
        <w:t xml:space="preserve"> </w:t>
      </w:r>
      <w:r>
        <w:rPr>
          <w:rFonts w:hint="eastAsia" w:asciiTheme="minorEastAsia" w:hAnsiTheme="minorEastAsia" w:eastAsiaTheme="minorEastAsia" w:cstheme="minorEastAsia"/>
          <w:sz w:val="28"/>
          <w:szCs w:val="28"/>
          <w:bdr w:val="single" w:color="auto" w:sz="4" w:space="0"/>
          <w:lang w:val="en-US" w:eastAsia="zh-CN"/>
        </w:rPr>
        <w:t>二沉池</w:t>
      </w:r>
      <w:r>
        <w:rPr>
          <w:rFonts w:hint="eastAsia" w:asciiTheme="minorEastAsia" w:hAnsiTheme="minorEastAsia" w:eastAsiaTheme="minorEastAsia" w:cstheme="minorEastAsia"/>
          <w:sz w:val="28"/>
          <w:szCs w:val="28"/>
          <w:bdr w:val="single" w:color="auto" w:sz="4" w:space="0"/>
        </w:rPr>
        <w:t xml:space="preserve"> 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→</w:t>
      </w:r>
      <w:r>
        <w:rPr>
          <w:rFonts w:hint="eastAsia" w:asciiTheme="minorEastAsia" w:hAnsiTheme="minorEastAsia" w:eastAsiaTheme="minorEastAsia" w:cstheme="minorEastAsia"/>
          <w:sz w:val="28"/>
          <w:szCs w:val="28"/>
          <w:bdr w:val="single" w:color="auto" w:sz="4" w:space="0"/>
        </w:rPr>
        <w:t xml:space="preserve"> </w:t>
      </w:r>
      <w:r>
        <w:rPr>
          <w:rFonts w:hint="eastAsia" w:asciiTheme="minorEastAsia" w:hAnsiTheme="minorEastAsia" w:eastAsiaTheme="minorEastAsia" w:cstheme="minorEastAsia"/>
          <w:sz w:val="28"/>
          <w:szCs w:val="28"/>
          <w:bdr w:val="single" w:color="auto" w:sz="4" w:space="0"/>
          <w:lang w:val="en-US" w:eastAsia="zh-CN"/>
        </w:rPr>
        <w:t>高效沉淀池</w:t>
      </w:r>
      <w:r>
        <w:rPr>
          <w:rFonts w:hint="eastAsia" w:asciiTheme="minorEastAsia" w:hAnsiTheme="minorEastAsia" w:eastAsiaTheme="minorEastAsia" w:cstheme="minorEastAsia"/>
          <w:sz w:val="28"/>
          <w:szCs w:val="28"/>
          <w:bdr w:val="single" w:color="auto" w:sz="4" w:space="0"/>
        </w:rPr>
        <w:t xml:space="preserve"> 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→</w:t>
      </w:r>
      <w:r>
        <w:rPr>
          <w:rFonts w:hint="eastAsia" w:asciiTheme="minorEastAsia" w:hAnsiTheme="minorEastAsia" w:eastAsiaTheme="minorEastAsia" w:cstheme="minorEastAsia"/>
          <w:sz w:val="28"/>
          <w:szCs w:val="28"/>
          <w:bdr w:val="single" w:color="auto" w:sz="4" w:space="0"/>
          <w:lang w:val="en-US" w:eastAsia="zh-CN"/>
        </w:rPr>
        <w:t>滤布滤池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 xml:space="preserve"> →</w:t>
      </w:r>
      <w:r>
        <w:rPr>
          <w:rFonts w:hint="eastAsia" w:asciiTheme="minorEastAsia" w:hAnsiTheme="minorEastAsia" w:eastAsiaTheme="minorEastAsia" w:cstheme="minorEastAsia"/>
          <w:sz w:val="28"/>
          <w:szCs w:val="28"/>
          <w:bdr w:val="single" w:color="auto" w:sz="4" w:space="0"/>
        </w:rPr>
        <w:t xml:space="preserve"> </w:t>
      </w:r>
      <w:r>
        <w:rPr>
          <w:rFonts w:hint="eastAsia" w:asciiTheme="minorEastAsia" w:hAnsiTheme="minorEastAsia" w:eastAsiaTheme="minorEastAsia" w:cstheme="minorEastAsia"/>
          <w:sz w:val="28"/>
          <w:szCs w:val="28"/>
          <w:bdr w:val="single" w:color="auto" w:sz="4" w:space="0"/>
          <w:lang w:val="en-US" w:eastAsia="zh-CN"/>
        </w:rPr>
        <w:t>臭氧接触池（预留）</w:t>
      </w:r>
      <w:r>
        <w:rPr>
          <w:rFonts w:hint="eastAsia" w:asciiTheme="minorEastAsia" w:hAnsiTheme="minorEastAsia" w:eastAsiaTheme="minorEastAsia" w:cstheme="minorEastAsia"/>
          <w:sz w:val="28"/>
          <w:szCs w:val="28"/>
          <w:bdr w:val="single" w:color="auto" w:sz="4" w:space="0"/>
        </w:rPr>
        <w:t xml:space="preserve"> 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→</w:t>
      </w:r>
      <w:r>
        <w:rPr>
          <w:rFonts w:hint="eastAsia" w:asciiTheme="minorEastAsia" w:hAnsiTheme="minorEastAsia" w:eastAsiaTheme="minorEastAsia" w:cstheme="minorEastAsia"/>
          <w:sz w:val="28"/>
          <w:szCs w:val="28"/>
          <w:bdr w:val="single" w:color="auto" w:sz="4" w:space="0"/>
        </w:rPr>
        <w:t xml:space="preserve"> </w:t>
      </w:r>
      <w:r>
        <w:rPr>
          <w:rFonts w:hint="eastAsia" w:asciiTheme="minorEastAsia" w:hAnsiTheme="minorEastAsia" w:eastAsiaTheme="minorEastAsia" w:cstheme="minorEastAsia"/>
          <w:sz w:val="28"/>
          <w:szCs w:val="28"/>
          <w:bdr w:val="single" w:color="auto" w:sz="4" w:space="0"/>
          <w:lang w:val="en-US" w:eastAsia="zh-CN"/>
        </w:rPr>
        <w:t>消毒接触池</w:t>
      </w:r>
      <w:r>
        <w:rPr>
          <w:rFonts w:hint="eastAsia" w:asciiTheme="minorEastAsia" w:hAnsiTheme="minorEastAsia" w:eastAsiaTheme="minorEastAsia" w:cstheme="minorEastAsia"/>
          <w:sz w:val="28"/>
          <w:szCs w:val="28"/>
          <w:bdr w:val="single" w:color="auto" w:sz="4" w:space="0"/>
        </w:rPr>
        <w:t xml:space="preserve"> 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→</w:t>
      </w:r>
      <w:r>
        <w:rPr>
          <w:rFonts w:hint="eastAsia" w:asciiTheme="minorEastAsia" w:hAnsiTheme="minorEastAsia" w:eastAsiaTheme="minorEastAsia" w:cstheme="minorEastAsia"/>
          <w:sz w:val="28"/>
          <w:szCs w:val="28"/>
          <w:bdr w:val="single" w:color="auto" w:sz="4" w:space="0"/>
        </w:rPr>
        <w:t xml:space="preserve"> </w:t>
      </w:r>
      <w:r>
        <w:rPr>
          <w:rFonts w:hint="eastAsia" w:asciiTheme="minorEastAsia" w:hAnsiTheme="minorEastAsia" w:eastAsiaTheme="minorEastAsia" w:cstheme="minorEastAsia"/>
          <w:sz w:val="28"/>
          <w:szCs w:val="28"/>
          <w:bdr w:val="single" w:color="auto" w:sz="4" w:space="0"/>
          <w:lang w:val="en-US" w:eastAsia="zh-CN"/>
        </w:rPr>
        <w:t>巴氏计量槽</w:t>
      </w:r>
      <w:r>
        <w:rPr>
          <w:rFonts w:hint="eastAsia" w:asciiTheme="minorEastAsia" w:hAnsiTheme="minorEastAsia" w:eastAsiaTheme="minorEastAsia" w:cstheme="minorEastAsia"/>
          <w:sz w:val="28"/>
          <w:szCs w:val="28"/>
          <w:bdr w:val="single" w:color="auto" w:sz="4" w:space="0"/>
        </w:rPr>
        <w:t xml:space="preserve"> 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→出水</w:t>
      </w:r>
    </w:p>
    <w:p w14:paraId="3137A55B">
      <w:pPr>
        <w:pStyle w:val="2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0" w:after="0" w:line="360" w:lineRule="auto"/>
        <w:textAlignment w:val="baseline"/>
        <w:rPr>
          <w:rFonts w:hint="eastAsia" w:asciiTheme="minorEastAsia" w:hAnsiTheme="minorEastAsia" w:eastAsiaTheme="minorEastAsia" w:cstheme="minorEastAsia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lang w:val="en-US" w:eastAsia="zh-CN"/>
        </w:rPr>
        <w:t>1.4污泥处理工艺</w:t>
      </w:r>
    </w:p>
    <w:p w14:paraId="40BF84F3">
      <w:pPr>
        <w:pStyle w:val="6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/>
        <w:textAlignment w:val="baseline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采用叠螺机械浓缩+高压板框工艺，泥饼外运处置（低于60％含水率）。</w:t>
      </w:r>
    </w:p>
    <w:p w14:paraId="1CB23F9D">
      <w:pPr>
        <w:pStyle w:val="2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0" w:after="0" w:line="360" w:lineRule="auto"/>
        <w:textAlignment w:val="baseline"/>
        <w:rPr>
          <w:rFonts w:hint="eastAsia" w:asciiTheme="minorEastAsia" w:hAnsiTheme="minorEastAsia" w:eastAsiaTheme="minorEastAsia" w:cstheme="minorEastAsia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lang w:val="en-US" w:eastAsia="zh-CN"/>
        </w:rPr>
        <w:t>1.5臭气处理工艺</w:t>
      </w:r>
    </w:p>
    <w:p w14:paraId="1BD83C94">
      <w:pPr>
        <w:pStyle w:val="6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/>
        <w:textAlignment w:val="baseline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/>
          <w:color w:val="auto"/>
          <w:sz w:val="24"/>
          <w:szCs w:val="24"/>
          <w:lang w:val="en-US" w:eastAsia="zh-CN"/>
        </w:rPr>
        <w:t>臭气处理工艺：臭气→一体化生物除臭设备→高空排放。</w:t>
      </w:r>
    </w:p>
    <w:p w14:paraId="0EEFD47A">
      <w:pPr>
        <w:pStyle w:val="2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0" w:after="0" w:line="360" w:lineRule="auto"/>
        <w:textAlignment w:val="baseline"/>
        <w:rPr>
          <w:rFonts w:hint="eastAsia" w:asciiTheme="minorEastAsia" w:hAnsiTheme="minorEastAsia" w:eastAsiaTheme="minorEastAsia" w:cstheme="minorEastAsia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lang w:val="en-US" w:eastAsia="zh-CN"/>
        </w:rPr>
        <w:t>1.6设计质量要求</w:t>
      </w:r>
    </w:p>
    <w:p w14:paraId="28596BA8">
      <w:pPr>
        <w:pStyle w:val="6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/>
        <w:textAlignment w:val="baseline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符合我国国家有关技术规范和技术标准技术规范要求。</w:t>
      </w:r>
    </w:p>
    <w:p w14:paraId="0453953B">
      <w:pPr>
        <w:pStyle w:val="6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/>
        <w:textAlignment w:val="baseline"/>
        <w:rPr>
          <w:rFonts w:hint="eastAsia" w:asciiTheme="minorEastAsia" w:hAnsiTheme="minorEastAsia" w:eastAsiaTheme="minorEastAsia" w:cstheme="minorEastAsia"/>
          <w:b w:val="0"/>
          <w:bCs/>
          <w:color w:val="auto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/>
          <w:color w:val="auto"/>
          <w:sz w:val="24"/>
          <w:szCs w:val="24"/>
          <w:lang w:val="en-US" w:eastAsia="zh-CN"/>
        </w:rPr>
        <w:t>(1) 《市政公用工程设计文件编制深度规定》（2025年版）</w:t>
      </w:r>
    </w:p>
    <w:p w14:paraId="72E713A9">
      <w:pPr>
        <w:pStyle w:val="6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/>
        <w:textAlignment w:val="baseline"/>
        <w:rPr>
          <w:rFonts w:hint="eastAsia" w:asciiTheme="minorEastAsia" w:hAnsiTheme="minorEastAsia" w:eastAsiaTheme="minorEastAsia" w:cstheme="minorEastAsia"/>
          <w:b w:val="0"/>
          <w:bCs/>
          <w:color w:val="auto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/>
          <w:color w:val="auto"/>
          <w:sz w:val="24"/>
          <w:szCs w:val="24"/>
          <w:lang w:val="en-US" w:eastAsia="zh-CN"/>
        </w:rPr>
        <w:t>(2) 《城乡排水工程项目规范》GB55027-2022</w:t>
      </w:r>
    </w:p>
    <w:p w14:paraId="5EEFCCB7">
      <w:pPr>
        <w:pStyle w:val="6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/>
        <w:textAlignment w:val="baseline"/>
        <w:rPr>
          <w:rFonts w:hint="eastAsia" w:asciiTheme="minorEastAsia" w:hAnsiTheme="minorEastAsia" w:eastAsiaTheme="minorEastAsia" w:cstheme="minorEastAsia"/>
          <w:b w:val="0"/>
          <w:bCs/>
          <w:color w:val="auto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/>
          <w:color w:val="auto"/>
          <w:sz w:val="24"/>
          <w:szCs w:val="24"/>
          <w:lang w:val="en-US" w:eastAsia="zh-CN"/>
        </w:rPr>
        <w:t>(3) 《建筑给水排水与节水通用规范》（GB55020-2021）</w:t>
      </w:r>
    </w:p>
    <w:p w14:paraId="1CD00B3C">
      <w:pPr>
        <w:pStyle w:val="6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/>
        <w:textAlignment w:val="baseline"/>
        <w:rPr>
          <w:rFonts w:hint="eastAsia" w:asciiTheme="minorEastAsia" w:hAnsiTheme="minorEastAsia" w:eastAsiaTheme="minorEastAsia" w:cstheme="minorEastAsia"/>
          <w:b w:val="0"/>
          <w:bCs/>
          <w:color w:val="auto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/>
          <w:color w:val="auto"/>
          <w:sz w:val="24"/>
          <w:szCs w:val="24"/>
          <w:lang w:val="en-US" w:eastAsia="zh-CN"/>
        </w:rPr>
        <w:t>(4) 《建筑给水排水设计标准》（GB50015-2019）</w:t>
      </w:r>
    </w:p>
    <w:p w14:paraId="092223CE">
      <w:pPr>
        <w:pStyle w:val="6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/>
        <w:textAlignment w:val="baseline"/>
        <w:rPr>
          <w:rFonts w:hint="eastAsia" w:asciiTheme="minorEastAsia" w:hAnsiTheme="minorEastAsia" w:eastAsiaTheme="minorEastAsia" w:cstheme="minorEastAsia"/>
          <w:b w:val="0"/>
          <w:bCs/>
          <w:color w:val="auto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/>
          <w:color w:val="auto"/>
          <w:sz w:val="24"/>
          <w:szCs w:val="24"/>
          <w:lang w:val="en-US" w:eastAsia="zh-CN"/>
        </w:rPr>
        <w:t>(5) 《污水排入城镇下水道水质标准》（GBT31962-2015）</w:t>
      </w:r>
    </w:p>
    <w:p w14:paraId="243EF776">
      <w:pPr>
        <w:pStyle w:val="6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/>
        <w:textAlignment w:val="baseline"/>
        <w:rPr>
          <w:rFonts w:hint="eastAsia" w:asciiTheme="minorEastAsia" w:hAnsiTheme="minorEastAsia" w:eastAsiaTheme="minorEastAsia" w:cstheme="minorEastAsia"/>
          <w:b w:val="0"/>
          <w:bCs/>
          <w:color w:val="auto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/>
          <w:color w:val="auto"/>
          <w:sz w:val="24"/>
          <w:szCs w:val="24"/>
          <w:lang w:val="en-US" w:eastAsia="zh-CN"/>
        </w:rPr>
        <w:t>(6) 《城市排水工程规划规范》（GB50318-2017）</w:t>
      </w:r>
    </w:p>
    <w:p w14:paraId="244D3C03">
      <w:pPr>
        <w:pStyle w:val="6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/>
        <w:textAlignment w:val="baseline"/>
        <w:rPr>
          <w:rFonts w:hint="eastAsia" w:asciiTheme="minorEastAsia" w:hAnsiTheme="minorEastAsia" w:eastAsiaTheme="minorEastAsia" w:cstheme="minorEastAsia"/>
          <w:b w:val="0"/>
          <w:bCs/>
          <w:color w:val="auto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/>
          <w:color w:val="auto"/>
          <w:sz w:val="24"/>
          <w:szCs w:val="24"/>
          <w:lang w:val="en-US" w:eastAsia="zh-CN"/>
        </w:rPr>
        <w:t>(7) 《污水综合排放标准》（GB8978-1996）</w:t>
      </w:r>
    </w:p>
    <w:p w14:paraId="2A627612">
      <w:pPr>
        <w:pStyle w:val="6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/>
        <w:textAlignment w:val="baseline"/>
        <w:rPr>
          <w:rFonts w:hint="eastAsia" w:asciiTheme="minorEastAsia" w:hAnsiTheme="minorEastAsia" w:eastAsiaTheme="minorEastAsia" w:cstheme="minorEastAsia"/>
          <w:b w:val="0"/>
          <w:bCs/>
          <w:color w:val="auto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/>
          <w:color w:val="auto"/>
          <w:sz w:val="24"/>
          <w:szCs w:val="24"/>
          <w:lang w:val="en-US" w:eastAsia="zh-CN"/>
        </w:rPr>
        <w:t>(8) 《室外排水设计标准》（GB50014-2021）</w:t>
      </w:r>
    </w:p>
    <w:p w14:paraId="4DE5548E">
      <w:pPr>
        <w:pStyle w:val="6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/>
        <w:textAlignment w:val="baseline"/>
        <w:rPr>
          <w:rFonts w:hint="eastAsia" w:asciiTheme="minorEastAsia" w:hAnsiTheme="minorEastAsia" w:eastAsiaTheme="minorEastAsia" w:cstheme="minorEastAsia"/>
          <w:b w:val="0"/>
          <w:bCs/>
          <w:color w:val="auto"/>
          <w:sz w:val="24"/>
          <w:szCs w:val="24"/>
          <w:lang w:val="en-US" w:eastAsia="zh-CN"/>
        </w:rPr>
      </w:pPr>
    </w:p>
    <w:p w14:paraId="2463F9BB">
      <w:pPr>
        <w:pStyle w:val="2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0" w:after="0" w:line="360" w:lineRule="auto"/>
        <w:textAlignment w:val="baseline"/>
        <w:rPr>
          <w:rFonts w:hint="eastAsia" w:asciiTheme="minorEastAsia" w:hAnsiTheme="minorEastAsia" w:eastAsiaTheme="minorEastAsia" w:cstheme="minorEastAsia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lang w:val="en-US" w:eastAsia="zh-CN"/>
        </w:rPr>
        <w:t>1.7、设计成果深度及要求</w:t>
      </w:r>
    </w:p>
    <w:p w14:paraId="2AB544C2">
      <w:pPr>
        <w:pStyle w:val="6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/>
        <w:textAlignment w:val="baseline"/>
        <w:rPr>
          <w:rFonts w:hint="eastAsia" w:asciiTheme="minorEastAsia" w:hAnsiTheme="minorEastAsia" w:eastAsiaTheme="minorEastAsia" w:cstheme="minorEastAsia"/>
          <w:b w:val="0"/>
          <w:bCs/>
          <w:color w:val="auto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/>
          <w:color w:val="auto"/>
          <w:sz w:val="24"/>
          <w:szCs w:val="24"/>
          <w:lang w:val="en-US" w:eastAsia="zh-CN"/>
        </w:rPr>
        <w:t>（1）设计说明书</w:t>
      </w:r>
    </w:p>
    <w:p w14:paraId="66B75988">
      <w:pPr>
        <w:pStyle w:val="6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/>
        <w:textAlignment w:val="baseline"/>
        <w:rPr>
          <w:rFonts w:hint="eastAsia" w:asciiTheme="minorEastAsia" w:hAnsiTheme="minorEastAsia" w:eastAsiaTheme="minorEastAsia" w:cstheme="minorEastAsia"/>
          <w:b w:val="0"/>
          <w:bCs/>
          <w:color w:val="auto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/>
          <w:color w:val="auto"/>
          <w:sz w:val="24"/>
          <w:szCs w:val="24"/>
          <w:lang w:val="en-US" w:eastAsia="zh-CN"/>
        </w:rPr>
        <w:t>（2）有关专业的设计图纸</w:t>
      </w:r>
    </w:p>
    <w:p w14:paraId="276584B8">
      <w:pPr>
        <w:pStyle w:val="6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/>
        <w:textAlignment w:val="baseline"/>
        <w:rPr>
          <w:rFonts w:hint="eastAsia" w:asciiTheme="minorEastAsia" w:hAnsiTheme="minorEastAsia" w:eastAsiaTheme="minorEastAsia" w:cstheme="minorEastAsia"/>
          <w:b w:val="0"/>
          <w:bCs/>
          <w:color w:val="auto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/>
          <w:color w:val="auto"/>
          <w:sz w:val="24"/>
          <w:szCs w:val="24"/>
          <w:lang w:val="en-US" w:eastAsia="zh-CN"/>
        </w:rPr>
        <w:t>（3）主要设备和材料表</w:t>
      </w:r>
    </w:p>
    <w:p w14:paraId="75DE86FF">
      <w:pPr>
        <w:pStyle w:val="6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/>
        <w:textAlignment w:val="baseline"/>
        <w:rPr>
          <w:rFonts w:hint="eastAsia" w:asciiTheme="minorEastAsia" w:hAnsiTheme="minorEastAsia" w:eastAsiaTheme="minorEastAsia" w:cstheme="minorEastAsia"/>
          <w:b w:val="0"/>
          <w:bCs/>
          <w:color w:val="auto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/>
          <w:color w:val="auto"/>
          <w:sz w:val="24"/>
          <w:szCs w:val="24"/>
          <w:lang w:val="en-US" w:eastAsia="zh-CN"/>
        </w:rPr>
        <w:t>（4）工程概算书</w:t>
      </w:r>
    </w:p>
    <w:p w14:paraId="256EC029">
      <w:pPr>
        <w:pStyle w:val="6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/>
        <w:textAlignment w:val="baseline"/>
        <w:rPr>
          <w:rFonts w:hint="eastAsia" w:asciiTheme="minorEastAsia" w:hAnsiTheme="minorEastAsia" w:eastAsiaTheme="minorEastAsia" w:cstheme="minorEastAsia"/>
          <w:b w:val="0"/>
          <w:bCs/>
          <w:color w:val="auto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/>
          <w:color w:val="auto"/>
          <w:sz w:val="24"/>
          <w:szCs w:val="24"/>
          <w:lang w:val="en-US" w:eastAsia="zh-CN"/>
        </w:rPr>
        <w:t>（5）有关计算书</w:t>
      </w:r>
    </w:p>
    <w:p w14:paraId="2F7EBF30">
      <w:pPr>
        <w:pStyle w:val="6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/>
        <w:textAlignment w:val="baseline"/>
        <w:rPr>
          <w:rFonts w:hint="eastAsia" w:asciiTheme="minorEastAsia" w:hAnsiTheme="minorEastAsia" w:eastAsiaTheme="minorEastAsia" w:cstheme="minorEastAsia"/>
          <w:b w:val="0"/>
          <w:bCs/>
          <w:color w:val="auto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/>
          <w:color w:val="auto"/>
          <w:sz w:val="24"/>
          <w:szCs w:val="24"/>
          <w:lang w:val="en-US" w:eastAsia="zh-CN"/>
        </w:rPr>
        <w:t>（6）符合国家有关规定及报审深度</w:t>
      </w:r>
    </w:p>
    <w:p w14:paraId="3BBA6AA4">
      <w:pPr>
        <w:pStyle w:val="6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/>
        <w:textAlignment w:val="baseline"/>
        <w:rPr>
          <w:rFonts w:hint="eastAsia" w:asciiTheme="minorEastAsia" w:hAnsiTheme="minorEastAsia" w:eastAsiaTheme="minorEastAsia" w:cstheme="minorEastAsia"/>
          <w:b w:val="0"/>
          <w:bCs/>
          <w:color w:val="auto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/>
          <w:color w:val="auto"/>
          <w:sz w:val="24"/>
          <w:szCs w:val="24"/>
          <w:lang w:val="en-US" w:eastAsia="zh-CN"/>
        </w:rPr>
        <w:t>（7）初步设计文本成果规格，提交的初步设计文本统一使用A4，图纸统一使用A3，并装订成册。</w:t>
      </w:r>
    </w:p>
    <w:p w14:paraId="6808E406">
      <w:pPr>
        <w:pStyle w:val="6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/>
        <w:textAlignment w:val="baseline"/>
        <w:rPr>
          <w:rFonts w:hint="eastAsia" w:asciiTheme="minorEastAsia" w:hAnsiTheme="minorEastAsia" w:eastAsiaTheme="minorEastAsia" w:cstheme="minorEastAsia"/>
          <w:b w:val="0"/>
          <w:bCs/>
          <w:color w:val="auto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/>
          <w:color w:val="auto"/>
          <w:sz w:val="24"/>
          <w:szCs w:val="24"/>
          <w:lang w:val="en-US" w:eastAsia="zh-CN"/>
        </w:rPr>
        <w:t>（8）施工图设计图纸按规定要求图审后，按规定要求（以正常可视为准）出具蓝图。</w:t>
      </w:r>
    </w:p>
    <w:p w14:paraId="375EA314">
      <w:bookmarkStart w:id="6" w:name="_GoBack"/>
      <w:bookmarkEnd w:id="6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1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A990A4E"/>
    <w:rsid w:val="1A990A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paragraph" w:styleId="2">
    <w:name w:val="heading 2"/>
    <w:basedOn w:val="1"/>
    <w:next w:val="1"/>
    <w:qFormat/>
    <w:uiPriority w:val="0"/>
    <w:pPr>
      <w:keepNext/>
      <w:keepLines/>
      <w:spacing w:before="260" w:after="260" w:line="413" w:lineRule="auto"/>
      <w:outlineLvl w:val="1"/>
    </w:pPr>
    <w:rPr>
      <w:rFonts w:ascii="Arial" w:hAnsi="Arial" w:eastAsia="黑体"/>
      <w:b/>
      <w:bCs/>
      <w:sz w:val="32"/>
      <w:szCs w:val="32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5">
    <w:name w:val="+正文"/>
    <w:basedOn w:val="1"/>
    <w:qFormat/>
    <w:uiPriority w:val="0"/>
    <w:pPr>
      <w:spacing w:line="360" w:lineRule="auto"/>
      <w:ind w:firstLine="200" w:firstLineChars="200"/>
    </w:pPr>
    <w:rPr>
      <w:rFonts w:ascii="Times New Roman" w:hAnsi="Times New Roman" w:eastAsia="宋体" w:cs="Times New Roman"/>
      <w:sz w:val="24"/>
      <w:szCs w:val="28"/>
    </w:rPr>
  </w:style>
  <w:style w:type="paragraph" w:customStyle="1" w:styleId="6">
    <w:name w:val="正文缩进1"/>
    <w:basedOn w:val="1"/>
    <w:qFormat/>
    <w:uiPriority w:val="0"/>
    <w:pPr>
      <w:ind w:firstLine="420" w:firstLineChars="200"/>
    </w:pPr>
    <w:rPr>
      <w:rFonts w:ascii="Times New Roman" w:hAnsi="Times New Roman" w:eastAsia="宋体" w:cs="Times New Roman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2026-05-11T08:56:00Z</dcterms:created>
  <dc:creator>dell</dc:creator>
  <cp:lastModifiedBy>dell</cp:lastModifiedBy>
  <dcterms:modified xsi:type="dcterms:W3CDTF">2026-05-11T08:57:09Z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E8E051E917144A688300FAB081790CA9_11</vt:lpwstr>
  </property>
  <property fmtid="{D5CDD505-2E9C-101B-9397-08002B2CF9AE}" pid="4" name="KSOTemplateDocerSaveRecord">
    <vt:lpwstr>eyJoZGlkIjoiY2MzYmI3YTJmMDZkYzVmZDE4NmU5ZTdjNmQ1NmU4NTEiLCJ1c2VySWQiOiI1MjE0Nzg5ODQifQ==</vt:lpwstr>
  </property>
</Properties>
</file>