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73A1CC">
      <w:pPr>
        <w:pageBreakBefore w:val="0"/>
        <w:widowControl w:val="0"/>
        <w:wordWrap/>
        <w:overflowPunct/>
        <w:topLinePunct w:val="0"/>
        <w:bidi w:val="0"/>
        <w:spacing w:before="78" w:line="360" w:lineRule="auto"/>
        <w:jc w:val="center"/>
        <w:outlineLvl w:val="1"/>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采购需求</w:t>
      </w:r>
    </w:p>
    <w:p w14:paraId="52C207A7">
      <w:pPr>
        <w:pageBreakBefore w:val="0"/>
        <w:widowControl w:val="0"/>
        <w:wordWrap/>
        <w:overflowPunct/>
        <w:topLinePunct w:val="0"/>
        <w:bidi w:val="0"/>
        <w:spacing w:before="78" w:line="360" w:lineRule="auto"/>
        <w:jc w:val="both"/>
        <w:outlineLvl w:val="1"/>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30"/>
          <w:szCs w:val="30"/>
          <w:highlight w:val="none"/>
          <w:lang w:val="en-US" w:eastAsia="zh-CN"/>
          <w14:textOutline w14:w="4356" w14:cap="sq" w14:cmpd="sng" w14:algn="ctr">
            <w14:solidFill>
              <w14:srgbClr w14:val="000000"/>
            </w14:solidFill>
            <w14:prstDash w14:val="solid"/>
            <w14:bevel/>
          </w14:textOutline>
        </w:rPr>
        <w:t>(一）服务需求</w:t>
      </w:r>
    </w:p>
    <w:p w14:paraId="1BF2B0CE">
      <w:pPr>
        <w:spacing w:line="360" w:lineRule="auto"/>
        <w:ind w:left="0" w:leftChars="0" w:firstLine="482" w:firstLineChars="200"/>
        <w:jc w:val="left"/>
        <w:outlineLvl w:val="1"/>
        <w:rPr>
          <w:rFonts w:hint="eastAsia" w:asciiTheme="minorEastAsia" w:hAnsiTheme="minorEastAsia" w:eastAsiaTheme="minorEastAsia" w:cstheme="minorEastAsia"/>
          <w:b/>
          <w:bCs/>
          <w:sz w:val="24"/>
          <w:szCs w:val="24"/>
          <w:lang w:val="en-US" w:eastAsia="zh-CN"/>
        </w:rPr>
      </w:pPr>
      <w:r>
        <w:rPr>
          <w:rFonts w:hint="eastAsia" w:asciiTheme="minorEastAsia" w:hAnsiTheme="minorEastAsia" w:eastAsiaTheme="minorEastAsia" w:cstheme="minorEastAsia"/>
          <w:b/>
          <w:bCs/>
          <w:sz w:val="24"/>
          <w:szCs w:val="24"/>
          <w:lang w:val="en-US" w:eastAsia="zh-CN"/>
        </w:rPr>
        <w:t>一）项目概况</w:t>
      </w:r>
    </w:p>
    <w:p w14:paraId="26B5CCBE">
      <w:pPr>
        <w:spacing w:line="360" w:lineRule="auto"/>
        <w:ind w:left="0" w:leftChars="0" w:firstLine="480" w:firstLineChars="200"/>
        <w:jc w:val="left"/>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为深入贯彻落实国家、省关于政务服务便民化的工作部署，积极响应“数字政府”建设要求，切实提升萍乡市政务服务响应效率与服务质效，持续优化本地营商环境、增强市民政务服务获得感，本项目以政府购买服务为核心实施方式，委托专业第三方服务单位开展12345热线平台运营服务团队建设及全流程外包运营管理工作。</w:t>
      </w:r>
    </w:p>
    <w:p w14:paraId="1937A16A">
      <w:pPr>
        <w:spacing w:line="360" w:lineRule="auto"/>
        <w:ind w:left="0" w:leftChars="0" w:firstLine="480" w:firstLineChars="200"/>
        <w:jc w:val="left"/>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当前，萍乡市12345政务服务便民热线已成为市民反映诉求、政府感知民意的核心渠道，随着群众政务服务需求的多元化、精细化，原有服务模式面临更高的响应标准和处置要求。本项目将在试运行以来“夯实基础、打通流程”的服务成果上，进一步深化“诉求响应精准化、处置流程高效化、数据分析价值化、服务体验优质化”四大核心目标。</w:t>
      </w:r>
    </w:p>
    <w:p w14:paraId="0ED2E210">
      <w:pPr>
        <w:spacing w:line="360" w:lineRule="auto"/>
        <w:ind w:left="0" w:leftChars="0" w:firstLine="480" w:firstLineChars="200"/>
        <w:jc w:val="left"/>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通过组建专业化、规范化、标准化的运营团队，全面保障12345政务服务便民热线从诉求受理、分类派单、跟踪督办到办结归档的全流程高效运转，确保市民各类政务服务咨询、投诉举报、意见建议、求助帮扶等诉求实现“接得快、分得准、办得实、回得及时”，搭建起政府与群众之间便捷畅通、双向互动的沟通桥梁，助力萍乡市构建“一站式”政务服务诉求解决体系。</w:t>
      </w:r>
    </w:p>
    <w:p w14:paraId="2D5F187A">
      <w:pPr>
        <w:pageBreakBefore w:val="0"/>
        <w:widowControl w:val="0"/>
        <w:wordWrap/>
        <w:overflowPunct/>
        <w:topLinePunct w:val="0"/>
        <w:bidi w:val="0"/>
        <w:spacing w:before="78" w:line="360" w:lineRule="auto"/>
        <w:ind w:firstLine="472" w:firstLineChars="200"/>
        <w:jc w:val="both"/>
        <w:outlineLvl w:val="1"/>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二）服务内容</w:t>
      </w:r>
    </w:p>
    <w:p w14:paraId="35E0982B">
      <w:pPr>
        <w:spacing w:line="360" w:lineRule="auto"/>
        <w:ind w:firstLine="482" w:firstLineChars="200"/>
        <w:outlineLvl w:val="1"/>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CN"/>
        </w:rPr>
        <w:t>1.</w:t>
      </w:r>
      <w:r>
        <w:rPr>
          <w:rFonts w:hint="eastAsia" w:asciiTheme="minorEastAsia" w:hAnsiTheme="minorEastAsia" w:eastAsiaTheme="minorEastAsia" w:cstheme="minorEastAsia"/>
          <w:b/>
          <w:bCs/>
          <w:sz w:val="24"/>
          <w:szCs w:val="24"/>
        </w:rPr>
        <w:t>团队组建与业务承接</w:t>
      </w:r>
    </w:p>
    <w:p w14:paraId="4BF86879">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本项目为萍乡市12345热线运营服务试运行后的延续性采购，供应商需在试运行服务成果基础上，进一步深化“诉求响应精准化、处置流程高效化、数据分析价值化、服务体验优质化”目标。</w:t>
      </w:r>
    </w:p>
    <w:p w14:paraId="5E7DE2FF">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确保服务团队的稳定，服务团队人员离职需向采购人报备（管理人员若因个人或工作原因离职，须提前30天向采购人报备），报备后方可办理离职手续，且离职前需完成完整的工作交接，确保岗位工作不受影响。</w:t>
      </w:r>
    </w:p>
    <w:p w14:paraId="50DF088C">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在业务承接阶段，需完成与试运行原运营团队的全面业务交接，包括历史工单资料移交、系统操作权限对接、业务流程梳理确认等工作，确保业务承接无断层。承接后需全面负责平台热线受理、派单、办理、答复、质检、督办、办结、回访、评价、归档全流程业务，保障各环节衔接顺畅、规范高效。</w:t>
      </w:r>
    </w:p>
    <w:p w14:paraId="6121E8AF">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承接后需全面负责平台热线“受理-派单-办理-答复-质检-督办-办结-回访-评价-归档”全流程业务，建立“首接负责制”，确保诉求从进入系统到最终办结的全环节可追溯、可监督，保障各环节衔接顺畅、规范高效。</w:t>
      </w:r>
    </w:p>
    <w:p w14:paraId="1EF81E91">
      <w:pPr>
        <w:spacing w:line="360" w:lineRule="auto"/>
        <w:ind w:firstLine="482" w:firstLineChars="200"/>
        <w:outlineLvl w:val="1"/>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CN"/>
        </w:rPr>
        <w:t>2.</w:t>
      </w:r>
      <w:r>
        <w:rPr>
          <w:rFonts w:hint="eastAsia" w:asciiTheme="minorEastAsia" w:hAnsiTheme="minorEastAsia" w:eastAsiaTheme="minorEastAsia" w:cstheme="minorEastAsia"/>
          <w:b/>
          <w:bCs/>
          <w:sz w:val="24"/>
          <w:szCs w:val="24"/>
        </w:rPr>
        <w:t>基础业务工作</w:t>
      </w:r>
    </w:p>
    <w:p w14:paraId="608836FD">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热线日常受理</w:t>
      </w:r>
      <w:r>
        <w:rPr>
          <w:rFonts w:hint="eastAsia" w:asciiTheme="minorEastAsia" w:hAnsiTheme="minorEastAsia" w:eastAsiaTheme="minorEastAsia" w:cstheme="minorEastAsia"/>
          <w:sz w:val="24"/>
          <w:szCs w:val="24"/>
          <w:lang w:val="en-US" w:eastAsia="zh-CN"/>
        </w:rPr>
        <w:t>和转办</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负责受理</w:t>
      </w:r>
      <w:r>
        <w:rPr>
          <w:rFonts w:hint="eastAsia" w:asciiTheme="minorEastAsia" w:hAnsiTheme="minorEastAsia" w:eastAsiaTheme="minorEastAsia" w:cstheme="minorEastAsia"/>
          <w:sz w:val="24"/>
          <w:szCs w:val="24"/>
          <w:lang w:val="en-US" w:eastAsia="zh-CN"/>
        </w:rPr>
        <w:t>和转办</w:t>
      </w:r>
      <w:r>
        <w:rPr>
          <w:rFonts w:hint="eastAsia" w:asciiTheme="minorEastAsia" w:hAnsiTheme="minorEastAsia" w:eastAsiaTheme="minorEastAsia" w:cstheme="minorEastAsia"/>
          <w:sz w:val="24"/>
          <w:szCs w:val="24"/>
        </w:rPr>
        <w:t>7×24小时热线来电、网络留言、政务平台等渠道</w:t>
      </w:r>
      <w:r>
        <w:rPr>
          <w:rFonts w:hint="eastAsia" w:asciiTheme="minorEastAsia" w:hAnsiTheme="minorEastAsia" w:eastAsiaTheme="minorEastAsia" w:cstheme="minorEastAsia"/>
          <w:sz w:val="24"/>
          <w:szCs w:val="24"/>
          <w:lang w:val="en-US" w:eastAsia="zh-CN"/>
        </w:rPr>
        <w:t>的</w:t>
      </w:r>
      <w:r>
        <w:rPr>
          <w:rFonts w:hint="eastAsia" w:asciiTheme="minorEastAsia" w:hAnsiTheme="minorEastAsia" w:eastAsiaTheme="minorEastAsia" w:cstheme="minorEastAsia"/>
          <w:sz w:val="24"/>
          <w:szCs w:val="24"/>
        </w:rPr>
        <w:t>咨询、</w:t>
      </w:r>
      <w:r>
        <w:rPr>
          <w:rFonts w:hint="eastAsia" w:asciiTheme="minorEastAsia" w:hAnsiTheme="minorEastAsia" w:eastAsiaTheme="minorEastAsia" w:cstheme="minorEastAsia"/>
          <w:sz w:val="24"/>
          <w:szCs w:val="24"/>
          <w:lang w:val="en-US" w:eastAsia="zh-CN"/>
        </w:rPr>
        <w:t>求助、</w:t>
      </w:r>
      <w:r>
        <w:rPr>
          <w:rFonts w:hint="eastAsia" w:asciiTheme="minorEastAsia" w:hAnsiTheme="minorEastAsia" w:eastAsiaTheme="minorEastAsia" w:cstheme="minorEastAsia"/>
          <w:sz w:val="24"/>
          <w:szCs w:val="24"/>
        </w:rPr>
        <w:t>投诉、建议</w:t>
      </w:r>
      <w:r>
        <w:rPr>
          <w:rFonts w:hint="eastAsia" w:asciiTheme="minorEastAsia" w:hAnsiTheme="minorEastAsia" w:eastAsiaTheme="minorEastAsia" w:cstheme="minorEastAsia"/>
          <w:sz w:val="24"/>
          <w:szCs w:val="24"/>
          <w:lang w:val="en-US" w:eastAsia="zh-CN"/>
        </w:rPr>
        <w:t>等</w:t>
      </w:r>
      <w:r>
        <w:rPr>
          <w:rFonts w:hint="eastAsia" w:asciiTheme="minorEastAsia" w:hAnsiTheme="minorEastAsia" w:eastAsiaTheme="minorEastAsia" w:cstheme="minorEastAsia"/>
          <w:sz w:val="24"/>
          <w:szCs w:val="24"/>
        </w:rPr>
        <w:t>诉求。</w:t>
      </w:r>
    </w:p>
    <w:p w14:paraId="3C4FB793">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（2）负责对工单录音的质检和对诉求人的回访。</w:t>
      </w:r>
    </w:p>
    <w:p w14:paraId="28A9E546">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（3）负责热线知识库运行维护工作。</w:t>
      </w:r>
    </w:p>
    <w:p w14:paraId="1581ADBD">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（4）协助采购人做好热线公众号运营维护工作。</w:t>
      </w:r>
    </w:p>
    <w:p w14:paraId="1C325330">
      <w:pPr>
        <w:spacing w:line="360" w:lineRule="auto"/>
        <w:ind w:firstLine="480" w:firstLineChars="200"/>
        <w:outlineLvl w:val="1"/>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5</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负责热线数据统计与分析，编制</w:t>
      </w:r>
      <w:r>
        <w:rPr>
          <w:rFonts w:hint="eastAsia" w:asciiTheme="minorEastAsia" w:hAnsiTheme="minorEastAsia" w:eastAsiaTheme="minorEastAsia" w:cstheme="minorEastAsia"/>
          <w:sz w:val="24"/>
          <w:szCs w:val="24"/>
        </w:rPr>
        <w:t>运营报</w:t>
      </w:r>
      <w:r>
        <w:rPr>
          <w:rFonts w:hint="eastAsia" w:asciiTheme="minorEastAsia" w:hAnsiTheme="minorEastAsia" w:eastAsiaTheme="minorEastAsia" w:cstheme="minorEastAsia"/>
          <w:sz w:val="24"/>
          <w:szCs w:val="24"/>
          <w:lang w:val="en-US" w:eastAsia="zh-CN"/>
        </w:rPr>
        <w:t>告</w:t>
      </w:r>
      <w:r>
        <w:rPr>
          <w:rFonts w:hint="eastAsia" w:asciiTheme="minorEastAsia" w:hAnsiTheme="minorEastAsia" w:eastAsiaTheme="minorEastAsia" w:cstheme="minorEastAsia"/>
          <w:sz w:val="24"/>
          <w:szCs w:val="24"/>
          <w:lang w:eastAsia="zh-CN"/>
        </w:rPr>
        <w:t>。</w:t>
      </w:r>
    </w:p>
    <w:p w14:paraId="7B813207">
      <w:pPr>
        <w:spacing w:line="360" w:lineRule="auto"/>
        <w:ind w:firstLine="480" w:firstLineChars="200"/>
        <w:outlineLvl w:val="1"/>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6</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采购人交办的</w:t>
      </w:r>
      <w:r>
        <w:rPr>
          <w:rFonts w:hint="eastAsia" w:asciiTheme="minorEastAsia" w:hAnsiTheme="minorEastAsia" w:eastAsiaTheme="minorEastAsia" w:cstheme="minorEastAsia"/>
          <w:sz w:val="24"/>
          <w:szCs w:val="24"/>
          <w:lang w:val="en-US" w:eastAsia="zh-CN"/>
        </w:rPr>
        <w:t>其他工作。</w:t>
      </w:r>
    </w:p>
    <w:p w14:paraId="353F3A8D">
      <w:pPr>
        <w:spacing w:line="360" w:lineRule="auto"/>
        <w:ind w:firstLine="482" w:firstLineChars="200"/>
        <w:outlineLvl w:val="1"/>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CN"/>
        </w:rPr>
        <w:t>3.</w:t>
      </w:r>
      <w:r>
        <w:rPr>
          <w:rFonts w:hint="eastAsia" w:asciiTheme="minorEastAsia" w:hAnsiTheme="minorEastAsia" w:eastAsiaTheme="minorEastAsia" w:cstheme="minorEastAsia"/>
          <w:b/>
          <w:bCs/>
          <w:sz w:val="24"/>
          <w:szCs w:val="24"/>
        </w:rPr>
        <w:t>排班要求</w:t>
      </w:r>
    </w:p>
    <w:p w14:paraId="4C39FBCD">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供应商需安排24小时轮班及节假日值班，保障热线服务无间断。</w:t>
      </w:r>
    </w:p>
    <w:p w14:paraId="5F828AA4">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1、排班原则：以“话务量波动适配、人员负荷均衡、法定假日保障”为核心原则，结合历史话务数据动态调整班次；</w:t>
      </w:r>
    </w:p>
    <w:p w14:paraId="37137CC3">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2、班次设置：实行7×24小时倒班制度，每个班次在岗人数需保证业务良好运行，关键岗位（工单派发岗、班长岗等）每日安排专人值守；</w:t>
      </w:r>
    </w:p>
    <w:p w14:paraId="6B74EF1A">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3、值班值守要求：节假日及重大活动期间，需额外增配机动人员，确保突发诉求可快速响应；所有班次需留存排班表及人员在岗台账，备查至服务周期结束。</w:t>
      </w:r>
    </w:p>
    <w:p w14:paraId="4D93C864">
      <w:pPr>
        <w:spacing w:line="360" w:lineRule="auto"/>
        <w:ind w:firstLine="482" w:firstLineChars="200"/>
        <w:outlineLvl w:val="1"/>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CN"/>
        </w:rPr>
        <w:t>4.</w:t>
      </w:r>
      <w:r>
        <w:rPr>
          <w:rFonts w:hint="eastAsia" w:asciiTheme="minorEastAsia" w:hAnsiTheme="minorEastAsia" w:eastAsiaTheme="minorEastAsia" w:cstheme="minorEastAsia"/>
          <w:b/>
          <w:bCs/>
          <w:sz w:val="24"/>
          <w:szCs w:val="24"/>
        </w:rPr>
        <w:t>质量保障要求</w:t>
      </w:r>
    </w:p>
    <w:p w14:paraId="7C588FC7">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细化全流程质量管理标准，通过全量质检、抽样质检、实时监控、事后复盘等多种手段防范服务风险，包括服务态度风险、信息泄露风险、处置时效风险、答复精准度风险等。定期开展质量监控和质量问题反馈，针对发现的问题建立“问题发现-原因分析-整改落实-效果验证-机制优化”的质量改进闭环，持续提升服务质量。</w:t>
      </w:r>
    </w:p>
    <w:p w14:paraId="0CF8D7D5">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1、质检覆盖不满意工单100%，实时监控每日覆盖不低于 5个座席；</w:t>
      </w:r>
    </w:p>
    <w:p w14:paraId="0518CDB4">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2、质量问题整改需在24小时内响应，48小时内提交整改方案，整改完成率100%。</w:t>
      </w:r>
    </w:p>
    <w:p w14:paraId="28A9ECD5">
      <w:pPr>
        <w:spacing w:line="360" w:lineRule="auto"/>
        <w:ind w:firstLine="482" w:firstLineChars="200"/>
        <w:outlineLvl w:val="1"/>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CN"/>
        </w:rPr>
        <w:t>5.</w:t>
      </w:r>
      <w:r>
        <w:rPr>
          <w:rFonts w:hint="eastAsia" w:asciiTheme="minorEastAsia" w:hAnsiTheme="minorEastAsia" w:eastAsiaTheme="minorEastAsia" w:cstheme="minorEastAsia"/>
          <w:b/>
          <w:bCs/>
          <w:sz w:val="24"/>
          <w:szCs w:val="24"/>
        </w:rPr>
        <w:t>保密要求</w:t>
      </w:r>
    </w:p>
    <w:p w14:paraId="1EFE440E">
      <w:pPr>
        <w:spacing w:line="360" w:lineRule="auto"/>
        <w:ind w:right="-218" w:rightChars="-104"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保密范围：对采购人提供的所有资料、数据实行分级保密管理，包括市民诉求隐私数据（姓名、联系方式、诉求详情等）、平台系统核心数据（工单流转记录、服务指标数据等）、政务工作敏感信息（未公开政策、考评数据、重大舆情线索等），严禁以任何形式泄露、传播或用于非项目用途。</w:t>
      </w:r>
    </w:p>
    <w:p w14:paraId="7005986F">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内部保密机制：中标人须签订保密协议，建立内部保密管理制度，明确各岗位保密职责，定期开展保密培训（含法律法规、保密流程、案例警示等内容），核查保密制度执行情况，留存培训记录。</w:t>
      </w:r>
    </w:p>
    <w:p w14:paraId="059B193F">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保密责任时效：保密责任不因合同终止或解除而失效，合同结束后3年内，供应商仍需对项目期间接触的涉密信息承担保密义务，若发生信息泄露，需承担相应法律责任及经济赔偿。</w:t>
      </w:r>
    </w:p>
    <w:p w14:paraId="24FCEC45">
      <w:pPr>
        <w:spacing w:line="360" w:lineRule="auto"/>
        <w:ind w:firstLine="482" w:firstLineChars="200"/>
        <w:outlineLvl w:val="1"/>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CN"/>
        </w:rPr>
        <w:t>6.</w:t>
      </w:r>
      <w:r>
        <w:rPr>
          <w:rFonts w:hint="eastAsia" w:asciiTheme="minorEastAsia" w:hAnsiTheme="minorEastAsia" w:eastAsiaTheme="minorEastAsia" w:cstheme="minorEastAsia"/>
          <w:b/>
          <w:bCs/>
          <w:sz w:val="24"/>
          <w:szCs w:val="24"/>
        </w:rPr>
        <w:t>应急保障要求</w:t>
      </w:r>
    </w:p>
    <w:p w14:paraId="63D4E87B">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针对热线运营中的各类突发情况，制定系统化、可落地的应急预案，明确应急响应分级标准、处置流程、责任人员及跨部门联动机制，确保热线业务不中断。</w:t>
      </w:r>
    </w:p>
    <w:p w14:paraId="727602D7">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应急预案分类：需制定突发话务量激增、系统软硬件故障、重大舆情诉求、自然灾害等专项应急预案，明确各类场景的触发条件、响应级别及处置流程，定期组织应急演练并优化预案。</w:t>
      </w:r>
    </w:p>
    <w:p w14:paraId="5E82B71C">
      <w:pPr>
        <w:spacing w:line="360" w:lineRule="auto"/>
        <w:ind w:firstLine="482" w:firstLineChars="200"/>
        <w:outlineLvl w:val="1"/>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CN"/>
        </w:rPr>
        <w:t>7.</w:t>
      </w:r>
      <w:r>
        <w:rPr>
          <w:rFonts w:hint="eastAsia" w:asciiTheme="minorEastAsia" w:hAnsiTheme="minorEastAsia" w:eastAsiaTheme="minorEastAsia" w:cstheme="minorEastAsia"/>
          <w:b/>
          <w:bCs/>
          <w:sz w:val="24"/>
          <w:szCs w:val="24"/>
        </w:rPr>
        <w:t>培训要求</w:t>
      </w:r>
    </w:p>
    <w:p w14:paraId="231647CA">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建立完善的培训机制，进行话务技能基础及专业业务知识的培训，相关人员应通过培训考核方可上岗。</w:t>
      </w:r>
    </w:p>
    <w:p w14:paraId="7144FBA5">
      <w:pPr>
        <w:spacing w:line="360" w:lineRule="auto"/>
        <w:ind w:firstLine="472" w:firstLineChars="200"/>
        <w:outlineLvl w:val="1"/>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三）人员配置及要求</w:t>
      </w:r>
    </w:p>
    <w:p w14:paraId="280EF5A9">
      <w:pPr>
        <w:spacing w:line="360" w:lineRule="auto"/>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（一）</w:t>
      </w:r>
      <w:r>
        <w:rPr>
          <w:rFonts w:hint="eastAsia" w:asciiTheme="minorEastAsia" w:hAnsiTheme="minorEastAsia" w:eastAsiaTheme="minorEastAsia" w:cstheme="minorEastAsia"/>
          <w:sz w:val="24"/>
          <w:szCs w:val="24"/>
        </w:rPr>
        <w:t>人员数量及基础要求</w:t>
      </w:r>
    </w:p>
    <w:tbl>
      <w:tblPr>
        <w:tblStyle w:val="3"/>
        <w:tblW w:w="531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7"/>
        <w:gridCol w:w="1367"/>
        <w:gridCol w:w="978"/>
        <w:gridCol w:w="1653"/>
        <w:gridCol w:w="1326"/>
        <w:gridCol w:w="3977"/>
      </w:tblGrid>
      <w:tr w14:paraId="5EDCF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1" w:hRule="atLeast"/>
          <w:jc w:val="center"/>
        </w:trPr>
        <w:tc>
          <w:tcPr>
            <w:tcW w:w="480" w:type="pct"/>
            <w:tcBorders>
              <w:top w:val="single" w:color="auto" w:sz="4" w:space="0"/>
              <w:left w:val="single" w:color="auto" w:sz="4" w:space="0"/>
              <w:bottom w:val="single" w:color="auto" w:sz="4" w:space="0"/>
              <w:right w:val="single" w:color="auto" w:sz="4" w:space="0"/>
            </w:tcBorders>
            <w:vAlign w:val="center"/>
          </w:tcPr>
          <w:p w14:paraId="0CAB0EA6">
            <w:pPr>
              <w:spacing w:line="360" w:lineRule="auto"/>
              <w:jc w:val="center"/>
              <w:outlineLvl w:val="1"/>
              <w:rPr>
                <w:rFonts w:hint="eastAsia" w:asciiTheme="minorEastAsia" w:hAnsiTheme="minorEastAsia" w:eastAsiaTheme="minorEastAsia" w:cstheme="minorEastAsia"/>
                <w:sz w:val="24"/>
                <w:szCs w:val="24"/>
              </w:rPr>
            </w:pPr>
            <w:bookmarkStart w:id="0" w:name="OLE_LINK2"/>
            <w:r>
              <w:rPr>
                <w:rFonts w:hint="eastAsia" w:asciiTheme="minorEastAsia" w:hAnsiTheme="minorEastAsia" w:eastAsiaTheme="minorEastAsia" w:cstheme="minorEastAsia"/>
                <w:sz w:val="24"/>
                <w:szCs w:val="24"/>
              </w:rPr>
              <w:t>序号</w:t>
            </w:r>
          </w:p>
        </w:tc>
        <w:tc>
          <w:tcPr>
            <w:tcW w:w="664" w:type="pct"/>
            <w:tcBorders>
              <w:top w:val="single" w:color="auto" w:sz="4" w:space="0"/>
              <w:left w:val="single" w:color="auto" w:sz="4" w:space="0"/>
              <w:bottom w:val="single" w:color="auto" w:sz="4" w:space="0"/>
              <w:right w:val="single" w:color="auto" w:sz="4" w:space="0"/>
            </w:tcBorders>
            <w:vAlign w:val="center"/>
          </w:tcPr>
          <w:p w14:paraId="195DB552">
            <w:pPr>
              <w:spacing w:line="360" w:lineRule="auto"/>
              <w:jc w:val="center"/>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运维团队</w:t>
            </w:r>
          </w:p>
        </w:tc>
        <w:tc>
          <w:tcPr>
            <w:tcW w:w="475" w:type="pct"/>
            <w:tcBorders>
              <w:top w:val="single" w:color="auto" w:sz="4" w:space="0"/>
              <w:left w:val="single" w:color="auto" w:sz="4" w:space="0"/>
              <w:bottom w:val="single" w:color="auto" w:sz="4" w:space="0"/>
              <w:right w:val="single" w:color="auto" w:sz="4" w:space="0"/>
            </w:tcBorders>
            <w:vAlign w:val="center"/>
          </w:tcPr>
          <w:p w14:paraId="3B01DB6A">
            <w:pPr>
              <w:spacing w:line="360" w:lineRule="auto"/>
              <w:jc w:val="center"/>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岗位</w:t>
            </w:r>
          </w:p>
        </w:tc>
        <w:tc>
          <w:tcPr>
            <w:tcW w:w="803" w:type="pct"/>
            <w:vAlign w:val="center"/>
          </w:tcPr>
          <w:p w14:paraId="0F0E0D2B">
            <w:pPr>
              <w:spacing w:line="360" w:lineRule="auto"/>
              <w:jc w:val="center"/>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人员数量</w:t>
            </w:r>
          </w:p>
          <w:p w14:paraId="7B7FBCCF">
            <w:pPr>
              <w:spacing w:line="360" w:lineRule="auto"/>
              <w:jc w:val="center"/>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（人）</w:t>
            </w:r>
          </w:p>
        </w:tc>
        <w:tc>
          <w:tcPr>
            <w:tcW w:w="644" w:type="pct"/>
            <w:tcBorders>
              <w:top w:val="single" w:color="auto" w:sz="4" w:space="0"/>
              <w:left w:val="single" w:color="auto" w:sz="4" w:space="0"/>
              <w:bottom w:val="single" w:color="auto" w:sz="4" w:space="0"/>
              <w:right w:val="single" w:color="auto" w:sz="4" w:space="0"/>
            </w:tcBorders>
            <w:vAlign w:val="center"/>
          </w:tcPr>
          <w:p w14:paraId="65ECB98D">
            <w:pPr>
              <w:spacing w:line="360" w:lineRule="auto"/>
              <w:jc w:val="center"/>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服务期限</w:t>
            </w:r>
          </w:p>
          <w:p w14:paraId="4D660BBB">
            <w:pPr>
              <w:spacing w:line="360" w:lineRule="auto"/>
              <w:jc w:val="center"/>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（月）</w:t>
            </w:r>
          </w:p>
        </w:tc>
        <w:tc>
          <w:tcPr>
            <w:tcW w:w="1932" w:type="pct"/>
            <w:vAlign w:val="center"/>
          </w:tcPr>
          <w:p w14:paraId="757892EA">
            <w:pPr>
              <w:spacing w:line="360" w:lineRule="auto"/>
              <w:jc w:val="center"/>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人员要求</w:t>
            </w:r>
          </w:p>
        </w:tc>
      </w:tr>
      <w:tr w14:paraId="07DA5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480" w:type="pct"/>
            <w:tcBorders>
              <w:top w:val="single" w:color="auto" w:sz="4" w:space="0"/>
              <w:left w:val="single" w:color="auto" w:sz="4" w:space="0"/>
              <w:bottom w:val="single" w:color="auto" w:sz="4" w:space="0"/>
              <w:right w:val="single" w:color="auto" w:sz="4" w:space="0"/>
            </w:tcBorders>
            <w:vAlign w:val="center"/>
          </w:tcPr>
          <w:p w14:paraId="5D3542C0">
            <w:pPr>
              <w:spacing w:line="240" w:lineRule="auto"/>
              <w:jc w:val="center"/>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664" w:type="pct"/>
            <w:tcBorders>
              <w:top w:val="single" w:color="auto" w:sz="4" w:space="0"/>
              <w:left w:val="single" w:color="auto" w:sz="4" w:space="0"/>
              <w:right w:val="single" w:color="auto" w:sz="4" w:space="0"/>
            </w:tcBorders>
            <w:vAlign w:val="center"/>
          </w:tcPr>
          <w:p w14:paraId="5F4EB490">
            <w:pPr>
              <w:spacing w:line="240" w:lineRule="auto"/>
              <w:jc w:val="center"/>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12345平台</w:t>
            </w:r>
            <w:bookmarkStart w:id="1" w:name="_Hlk215681277"/>
            <w:r>
              <w:rPr>
                <w:rFonts w:hint="eastAsia" w:asciiTheme="minorEastAsia" w:hAnsiTheme="minorEastAsia" w:eastAsiaTheme="minorEastAsia" w:cstheme="minorEastAsia"/>
                <w:sz w:val="24"/>
                <w:szCs w:val="24"/>
              </w:rPr>
              <w:t>运维团队</w:t>
            </w:r>
            <w:bookmarkEnd w:id="1"/>
            <w:r>
              <w:rPr>
                <w:rFonts w:hint="eastAsia" w:asciiTheme="minorEastAsia" w:hAnsiTheme="minorEastAsia" w:eastAsiaTheme="minorEastAsia" w:cstheme="minorEastAsia"/>
                <w:sz w:val="24"/>
                <w:szCs w:val="24"/>
              </w:rPr>
              <w:t>建设</w:t>
            </w:r>
          </w:p>
        </w:tc>
        <w:tc>
          <w:tcPr>
            <w:tcW w:w="475" w:type="pct"/>
            <w:tcBorders>
              <w:top w:val="single" w:color="auto" w:sz="4" w:space="0"/>
              <w:left w:val="single" w:color="auto" w:sz="4" w:space="0"/>
              <w:bottom w:val="single" w:color="auto" w:sz="4" w:space="0"/>
              <w:right w:val="single" w:color="auto" w:sz="4" w:space="0"/>
            </w:tcBorders>
            <w:vAlign w:val="center"/>
          </w:tcPr>
          <w:p w14:paraId="6971D8F8">
            <w:pPr>
              <w:spacing w:line="240" w:lineRule="auto"/>
              <w:jc w:val="center"/>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坐席人员</w:t>
            </w:r>
          </w:p>
        </w:tc>
        <w:tc>
          <w:tcPr>
            <w:tcW w:w="803" w:type="pct"/>
            <w:vAlign w:val="center"/>
          </w:tcPr>
          <w:p w14:paraId="0D925B49">
            <w:pPr>
              <w:spacing w:line="240" w:lineRule="auto"/>
              <w:jc w:val="center"/>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20</w:t>
            </w:r>
          </w:p>
        </w:tc>
        <w:tc>
          <w:tcPr>
            <w:tcW w:w="644" w:type="pct"/>
            <w:tcBorders>
              <w:top w:val="single" w:color="auto" w:sz="4" w:space="0"/>
              <w:left w:val="single" w:color="auto" w:sz="4" w:space="0"/>
              <w:bottom w:val="single" w:color="auto" w:sz="4" w:space="0"/>
              <w:right w:val="single" w:color="auto" w:sz="4" w:space="0"/>
            </w:tcBorders>
            <w:vAlign w:val="center"/>
          </w:tcPr>
          <w:p w14:paraId="6979FC8B">
            <w:pPr>
              <w:spacing w:line="240" w:lineRule="auto"/>
              <w:jc w:val="center"/>
              <w:outlineLvl w:val="1"/>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12</w:t>
            </w:r>
          </w:p>
        </w:tc>
        <w:tc>
          <w:tcPr>
            <w:tcW w:w="1932" w:type="pct"/>
            <w:vAlign w:val="center"/>
          </w:tcPr>
          <w:p w14:paraId="1EB9DE67">
            <w:pPr>
              <w:spacing w:line="240" w:lineRule="auto"/>
              <w:ind w:firstLine="480" w:firstLineChars="200"/>
              <w:jc w:val="left"/>
              <w:outlineLvl w:val="1"/>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1.大专及以上学历；</w:t>
            </w:r>
          </w:p>
          <w:p w14:paraId="5B95C718">
            <w:pPr>
              <w:spacing w:line="240" w:lineRule="auto"/>
              <w:ind w:firstLine="480" w:firstLineChars="200"/>
              <w:jc w:val="left"/>
              <w:outlineLvl w:val="1"/>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2.口齿清晰、语言表达流利，具备良好情绪控制能力，服务用语规范；</w:t>
            </w:r>
          </w:p>
          <w:p w14:paraId="1C03CDF8">
            <w:pPr>
              <w:spacing w:line="240" w:lineRule="auto"/>
              <w:ind w:firstLine="480" w:firstLineChars="200"/>
              <w:jc w:val="left"/>
              <w:outlineLvl w:val="1"/>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3.具备计算机操作基础，熟练使用办公软件；</w:t>
            </w:r>
          </w:p>
          <w:p w14:paraId="59016C4C">
            <w:pPr>
              <w:spacing w:line="240" w:lineRule="auto"/>
              <w:ind w:firstLine="480" w:firstLineChars="200"/>
              <w:jc w:val="left"/>
              <w:outlineLvl w:val="1"/>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4.无治安行政处罚及刑事犯罪处罚记录；</w:t>
            </w:r>
          </w:p>
          <w:p w14:paraId="1BA9E2F7">
            <w:pPr>
              <w:spacing w:line="240" w:lineRule="auto"/>
              <w:ind w:firstLine="480" w:firstLineChars="200"/>
              <w:jc w:val="left"/>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5.上岗前需完成热线专业知识、服务礼仪及规范等岗前培训。</w:t>
            </w:r>
          </w:p>
        </w:tc>
        <w:bookmarkStart w:id="2" w:name="OLE_LINK1"/>
      </w:tr>
      <w:tr w14:paraId="528AA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9" w:hRule="atLeast"/>
          <w:jc w:val="center"/>
        </w:trPr>
        <w:tc>
          <w:tcPr>
            <w:tcW w:w="480" w:type="pct"/>
            <w:tcBorders>
              <w:top w:val="single" w:color="auto" w:sz="4" w:space="0"/>
              <w:left w:val="single" w:color="auto" w:sz="4" w:space="0"/>
              <w:bottom w:val="single" w:color="auto" w:sz="4" w:space="0"/>
              <w:right w:val="single" w:color="auto" w:sz="4" w:space="0"/>
            </w:tcBorders>
            <w:vAlign w:val="center"/>
          </w:tcPr>
          <w:p w14:paraId="5D5B201D">
            <w:pPr>
              <w:spacing w:line="240" w:lineRule="auto"/>
              <w:jc w:val="center"/>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664" w:type="pct"/>
            <w:tcBorders>
              <w:left w:val="single" w:color="auto" w:sz="4" w:space="0"/>
              <w:bottom w:val="single" w:color="auto" w:sz="4" w:space="0"/>
              <w:right w:val="single" w:color="auto" w:sz="4" w:space="0"/>
            </w:tcBorders>
            <w:vAlign w:val="center"/>
          </w:tcPr>
          <w:p w14:paraId="0BEBEF9A">
            <w:pPr>
              <w:spacing w:line="240" w:lineRule="auto"/>
              <w:ind w:firstLine="480" w:firstLineChars="200"/>
              <w:jc w:val="center"/>
              <w:outlineLvl w:val="1"/>
              <w:rPr>
                <w:rFonts w:hint="eastAsia" w:asciiTheme="minorEastAsia" w:hAnsiTheme="minorEastAsia" w:eastAsiaTheme="minorEastAsia" w:cstheme="minorEastAsia"/>
                <w:sz w:val="24"/>
                <w:szCs w:val="24"/>
              </w:rPr>
            </w:pPr>
          </w:p>
        </w:tc>
        <w:tc>
          <w:tcPr>
            <w:tcW w:w="475" w:type="pct"/>
            <w:tcBorders>
              <w:top w:val="single" w:color="auto" w:sz="4" w:space="0"/>
              <w:left w:val="single" w:color="auto" w:sz="4" w:space="0"/>
              <w:bottom w:val="single" w:color="auto" w:sz="4" w:space="0"/>
              <w:right w:val="single" w:color="auto" w:sz="4" w:space="0"/>
            </w:tcBorders>
            <w:vAlign w:val="center"/>
          </w:tcPr>
          <w:p w14:paraId="75538C1B">
            <w:pPr>
              <w:spacing w:line="240" w:lineRule="auto"/>
              <w:jc w:val="center"/>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管理人员</w:t>
            </w:r>
          </w:p>
        </w:tc>
        <w:tc>
          <w:tcPr>
            <w:tcW w:w="803" w:type="pct"/>
            <w:vAlign w:val="center"/>
          </w:tcPr>
          <w:p w14:paraId="11E251FB">
            <w:pPr>
              <w:spacing w:line="240" w:lineRule="auto"/>
              <w:jc w:val="center"/>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644" w:type="pct"/>
            <w:tcBorders>
              <w:top w:val="single" w:color="auto" w:sz="4" w:space="0"/>
              <w:left w:val="single" w:color="auto" w:sz="4" w:space="0"/>
              <w:bottom w:val="single" w:color="auto" w:sz="4" w:space="0"/>
              <w:right w:val="single" w:color="auto" w:sz="4" w:space="0"/>
            </w:tcBorders>
            <w:vAlign w:val="center"/>
          </w:tcPr>
          <w:p w14:paraId="398586A1">
            <w:pPr>
              <w:spacing w:line="240" w:lineRule="auto"/>
              <w:jc w:val="center"/>
              <w:outlineLvl w:val="1"/>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12</w:t>
            </w:r>
          </w:p>
        </w:tc>
        <w:tc>
          <w:tcPr>
            <w:tcW w:w="1932" w:type="pct"/>
            <w:vAlign w:val="center"/>
          </w:tcPr>
          <w:p w14:paraId="387763DB">
            <w:pPr>
              <w:spacing w:line="240" w:lineRule="auto"/>
              <w:ind w:firstLine="480" w:firstLineChars="200"/>
              <w:jc w:val="left"/>
              <w:outlineLvl w:val="1"/>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lang w:val="en-US" w:eastAsia="zh-CN"/>
              </w:rPr>
              <w:t>本科</w:t>
            </w:r>
            <w:r>
              <w:rPr>
                <w:rFonts w:hint="eastAsia" w:asciiTheme="minorEastAsia" w:hAnsiTheme="minorEastAsia" w:eastAsiaTheme="minorEastAsia" w:cstheme="minorEastAsia"/>
                <w:sz w:val="24"/>
                <w:szCs w:val="24"/>
              </w:rPr>
              <w:t>及以上学历</w:t>
            </w:r>
            <w:r>
              <w:rPr>
                <w:rFonts w:hint="eastAsia" w:asciiTheme="minorEastAsia" w:hAnsiTheme="minorEastAsia" w:eastAsiaTheme="minorEastAsia" w:cstheme="minorEastAsia"/>
                <w:sz w:val="24"/>
                <w:szCs w:val="24"/>
                <w:lang w:eastAsia="zh-CN"/>
              </w:rPr>
              <w:t>。</w:t>
            </w:r>
          </w:p>
          <w:p w14:paraId="0B07BE76">
            <w:pPr>
              <w:spacing w:line="240" w:lineRule="auto"/>
              <w:ind w:firstLine="480" w:firstLineChars="200"/>
              <w:jc w:val="left"/>
              <w:outlineLvl w:val="1"/>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2.具备</w:t>
            </w:r>
            <w:r>
              <w:rPr>
                <w:rFonts w:hint="eastAsia" w:asciiTheme="minorEastAsia" w:hAnsiTheme="minorEastAsia" w:eastAsiaTheme="minorEastAsia" w:cstheme="minorEastAsia"/>
                <w:sz w:val="24"/>
                <w:szCs w:val="24"/>
                <w:lang w:val="en-US" w:eastAsia="zh-CN"/>
              </w:rPr>
              <w:t>政府部门热线</w:t>
            </w:r>
            <w:r>
              <w:rPr>
                <w:rFonts w:hint="eastAsia" w:asciiTheme="minorEastAsia" w:hAnsiTheme="minorEastAsia" w:eastAsiaTheme="minorEastAsia" w:cstheme="minorEastAsia"/>
                <w:sz w:val="24"/>
                <w:szCs w:val="24"/>
              </w:rPr>
              <w:t>服务</w:t>
            </w:r>
            <w:r>
              <w:rPr>
                <w:rFonts w:hint="eastAsia" w:asciiTheme="minorEastAsia" w:hAnsiTheme="minorEastAsia" w:eastAsiaTheme="minorEastAsia" w:cstheme="minorEastAsia"/>
                <w:sz w:val="24"/>
                <w:szCs w:val="24"/>
                <w:lang w:val="en-US" w:eastAsia="zh-CN"/>
              </w:rPr>
              <w:t>工作</w:t>
            </w:r>
            <w:r>
              <w:rPr>
                <w:rFonts w:hint="eastAsia" w:asciiTheme="minorEastAsia" w:hAnsiTheme="minorEastAsia" w:eastAsiaTheme="minorEastAsia" w:cstheme="minorEastAsia"/>
                <w:sz w:val="24"/>
                <w:szCs w:val="24"/>
              </w:rPr>
              <w:t>经验，熟悉</w:t>
            </w:r>
            <w:r>
              <w:rPr>
                <w:rFonts w:hint="eastAsia" w:asciiTheme="minorEastAsia" w:hAnsiTheme="minorEastAsia" w:eastAsiaTheme="minorEastAsia" w:cstheme="minorEastAsia"/>
                <w:sz w:val="24"/>
                <w:szCs w:val="24"/>
                <w:lang w:val="en-US" w:eastAsia="zh-CN"/>
              </w:rPr>
              <w:t>热线</w:t>
            </w:r>
            <w:r>
              <w:rPr>
                <w:rFonts w:hint="eastAsia" w:asciiTheme="minorEastAsia" w:hAnsiTheme="minorEastAsia" w:eastAsiaTheme="minorEastAsia" w:cstheme="minorEastAsia"/>
                <w:sz w:val="24"/>
                <w:szCs w:val="24"/>
              </w:rPr>
              <w:t>相关业务知识</w:t>
            </w:r>
            <w:r>
              <w:rPr>
                <w:rFonts w:hint="eastAsia" w:asciiTheme="minorEastAsia" w:hAnsiTheme="minorEastAsia" w:eastAsiaTheme="minorEastAsia" w:cstheme="minorEastAsia"/>
                <w:sz w:val="24"/>
                <w:szCs w:val="24"/>
                <w:lang w:eastAsia="zh-CN"/>
              </w:rPr>
              <w:t>。</w:t>
            </w:r>
          </w:p>
          <w:p w14:paraId="2678C1B5">
            <w:pPr>
              <w:spacing w:line="240" w:lineRule="auto"/>
              <w:ind w:firstLine="480" w:firstLineChars="200"/>
              <w:jc w:val="left"/>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rPr>
              <w:t>具备</w:t>
            </w:r>
            <w:r>
              <w:rPr>
                <w:rFonts w:hint="eastAsia" w:asciiTheme="minorEastAsia" w:hAnsiTheme="minorEastAsia" w:eastAsiaTheme="minorEastAsia" w:cstheme="minorEastAsia"/>
                <w:sz w:val="24"/>
                <w:szCs w:val="24"/>
                <w:lang w:val="en-US" w:eastAsia="zh-CN"/>
              </w:rPr>
              <w:t>热线</w:t>
            </w:r>
            <w:r>
              <w:rPr>
                <w:rFonts w:hint="eastAsia" w:asciiTheme="minorEastAsia" w:hAnsiTheme="minorEastAsia" w:eastAsiaTheme="minorEastAsia" w:cstheme="minorEastAsia"/>
                <w:sz w:val="24"/>
                <w:szCs w:val="24"/>
              </w:rPr>
              <w:t>服务职业道德，无治安行政处罚及刑事犯罪处罚记录</w:t>
            </w:r>
            <w:r>
              <w:rPr>
                <w:rFonts w:hint="eastAsia" w:asciiTheme="minorEastAsia" w:hAnsiTheme="minorEastAsia" w:eastAsiaTheme="minorEastAsia" w:cstheme="minorEastAsia"/>
                <w:sz w:val="24"/>
                <w:szCs w:val="24"/>
                <w:lang w:eastAsia="zh-CN"/>
              </w:rPr>
              <w:t>。</w:t>
            </w:r>
          </w:p>
          <w:bookmarkEnd w:id="2"/>
        </w:tc>
      </w:tr>
      <w:bookmarkEnd w:id="0"/>
    </w:tbl>
    <w:p w14:paraId="60FD5BE2">
      <w:pPr>
        <w:spacing w:line="360" w:lineRule="auto"/>
        <w:ind w:firstLine="480" w:firstLineChars="200"/>
        <w:outlineLvl w:val="1"/>
        <w:rPr>
          <w:rFonts w:hint="eastAsia" w:asciiTheme="minorEastAsia" w:hAnsiTheme="minorEastAsia" w:eastAsiaTheme="minorEastAsia" w:cstheme="minorEastAsia"/>
          <w:sz w:val="24"/>
          <w:szCs w:val="24"/>
        </w:rPr>
      </w:pPr>
    </w:p>
    <w:p w14:paraId="68833DE9">
      <w:pPr>
        <w:spacing w:line="360" w:lineRule="auto"/>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（二）各岗位专项职责及要求</w:t>
      </w:r>
    </w:p>
    <w:p w14:paraId="58286330">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供应商需根据平台热线受理量合理配置岗位，设置话务、工单派发、质检、回访、专席、班长等岗位。</w:t>
      </w:r>
    </w:p>
    <w:p w14:paraId="60B5620A">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1.座席人员</w:t>
      </w:r>
    </w:p>
    <w:p w14:paraId="62560BBE">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（1）岗位职责：甄别、受理各类热线问题，按系统流程要求，对工单进行受理、派单、督办、办结、回访、质检等工作。</w:t>
      </w:r>
    </w:p>
    <w:p w14:paraId="3018279B">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（2）专项工作要求：</w:t>
      </w:r>
    </w:p>
    <w:p w14:paraId="28D33AB8">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①　话务员须掌握工单要素，准确记录来电信息。</w:t>
      </w:r>
    </w:p>
    <w:p w14:paraId="69F2E200">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②　工单员须熟练掌握涉及热线的相关法律法规，快速准确地判别工单的承办单位，及时派发相关部门处理。负责工单的诉求内容审核、分派转派、沟通督办、提交工单办结、回访等工作。</w:t>
      </w:r>
    </w:p>
    <w:p w14:paraId="7A8142B6">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③　质检员负责对工单处理、话务沟通等进行全方位质量检查，及时发现问题并提出整改建议，以持续提升服务质量。</w:t>
      </w:r>
    </w:p>
    <w:p w14:paraId="4E8BF465">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2、管理人员</w:t>
      </w:r>
    </w:p>
    <w:p w14:paraId="67D97789">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（1）项目经理</w:t>
      </w:r>
    </w:p>
    <w:p w14:paraId="3D67DE9D">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岗位职责：全面负责热线运营工作，规划团队发展，制定各项制</w:t>
      </w:r>
    </w:p>
    <w:p w14:paraId="254A3CAA">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度，负责与采购人的沟通协调。</w:t>
      </w:r>
    </w:p>
    <w:p w14:paraId="1CF0F157">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专项要求：熟悉热线团队运作，具备良好的管理能力、沟通能力。</w:t>
      </w:r>
    </w:p>
    <w:p w14:paraId="5F3A3B54">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（2）运营主管</w:t>
      </w:r>
    </w:p>
    <w:p w14:paraId="019D9FD4">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岗位职责：能够协助项目经理完善项目管理体系、管理制度、业务流程，负责项目日常管理工作。</w:t>
      </w:r>
    </w:p>
    <w:p w14:paraId="0D79E94C">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专项要求：熟悉热线团队运作，具备良好的管理能力、沟通能力。</w:t>
      </w:r>
    </w:p>
    <w:p w14:paraId="74DBF0F2">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（3）数据分析员</w:t>
      </w:r>
    </w:p>
    <w:p w14:paraId="572F9B18">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岗位职责：负责热线平台的数据统计分析及编制运营报告，负责工单申诉、归档、常态化培训等工作。</w:t>
      </w:r>
    </w:p>
    <w:p w14:paraId="1A37570E">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专项要求：具备良好的语言表达能力和文字功底。</w:t>
      </w:r>
    </w:p>
    <w:p w14:paraId="2F0EE4F7">
      <w:pPr>
        <w:spacing w:line="360" w:lineRule="auto"/>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（三）人员储备要求</w:t>
      </w:r>
    </w:p>
    <w:p w14:paraId="3F35779D">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为确保萍乡市12345热线运营的连续性、稳定性及服务质量，供应商须建立完善的人员储备机制，供应商应储备具备热线服务相关工作经验的备用人员，且需熟练掌握热线业务流程、常见诉求处置规范及相关系统操作技能，具备独立承担热线受理、基础派单等工作的能力。当因现有在岗人员离职、休假、突发疾病或话务量激增等情况导致现有人员无法满足服务需求时，供应商须在接到人员补充通知后，快速从储备人员中抽调适配人员支援，确保支援人员及时到岗并能迅速投入工作，保障热线服务无间断、诉求处置不受影响。供应商需将储备人员向采购人报备，纳入统一管理体系，定期开展业务培训和技能考核，其管理、培训及调配责任由供应商全权承担。</w:t>
      </w:r>
    </w:p>
    <w:p w14:paraId="54F85E8A">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储备人员到岗时效：日常人员缺口（如离职、休假）需48小时内到岗；突发话务量激增需2小时内到岗。</w:t>
      </w:r>
    </w:p>
    <w:p w14:paraId="5A5CEF33">
      <w:pPr>
        <w:spacing w:line="360" w:lineRule="auto"/>
        <w:ind w:firstLine="472" w:firstLineChars="200"/>
        <w:outlineLvl w:val="1"/>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四）人员管理</w:t>
      </w:r>
    </w:p>
    <w:p w14:paraId="78D3E6C0">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（一）管理制度</w:t>
      </w:r>
    </w:p>
    <w:p w14:paraId="086B7838">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供应商需结合工作实际建立健全安全生产管理、工作作风、工作纪律等制度。</w:t>
      </w:r>
    </w:p>
    <w:p w14:paraId="7C001A7B">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（二）薪酬待遇</w:t>
      </w:r>
    </w:p>
    <w:p w14:paraId="29E4F126">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供应商需建立薪酬待遇制度。提供的热线服务团队人员薪酬和福利待遇需符合国家、省、市相关标准。薪酬包括：基本工资、绩效工资、五险一金、福利等。</w:t>
      </w:r>
    </w:p>
    <w:p w14:paraId="2D2CC560">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（三）人员招聘解聘管理</w:t>
      </w:r>
    </w:p>
    <w:p w14:paraId="5B31403D">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供应商需制定员工聘用、解聘制度。应严格遵守劳动法，承担合同期内所有人员的合同签订、变更、解除或终止工作；如供应商因无法继续承接本项目等原因导致出现相应的经济补偿、解约赔偿等费用，由供应商承担并结算。</w:t>
      </w:r>
    </w:p>
    <w:p w14:paraId="3395C735">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（四）考核激励制度</w:t>
      </w:r>
    </w:p>
    <w:p w14:paraId="7A253184">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供应商需结合工作实际制定考核激励制度。</w:t>
      </w:r>
    </w:p>
    <w:p w14:paraId="3871B988">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（五）团建活动和员工关怀</w:t>
      </w:r>
    </w:p>
    <w:p w14:paraId="007D1119">
      <w:pPr>
        <w:spacing w:line="360" w:lineRule="auto"/>
        <w:ind w:firstLine="480" w:firstLineChars="200"/>
        <w:outlineLvl w:val="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供应商定期组织开展团建活动，开展劳动竞赛、文体活动等团建活动，增强团队人员之间的了解，培养团队人员之间的默契。同时，积极开展争先评优活动，营造良好积极的工作氛围。开展节日关怀、生日慰问等活动。</w:t>
      </w:r>
    </w:p>
    <w:p w14:paraId="48D80F0A">
      <w:pPr>
        <w:spacing w:line="360" w:lineRule="auto"/>
        <w:ind w:firstLine="472" w:firstLineChars="200"/>
        <w:outlineLvl w:val="1"/>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五）考核标准</w:t>
      </w:r>
    </w:p>
    <w:p w14:paraId="7568EAC5">
      <w:pPr>
        <w:spacing w:line="360" w:lineRule="auto"/>
        <w:ind w:firstLine="480" w:firstLineChars="200"/>
        <w:outlineLvl w:val="1"/>
        <w:rPr>
          <w:rFonts w:hint="eastAsia" w:ascii="宋体" w:hAnsi="宋体" w:eastAsia="宋体" w:cs="宋体"/>
          <w:b w:val="0"/>
          <w:bCs w:val="0"/>
          <w:color w:val="000000"/>
          <w:sz w:val="28"/>
          <w:szCs w:val="28"/>
        </w:rPr>
      </w:pPr>
      <w:r>
        <w:rPr>
          <w:rFonts w:hint="eastAsia" w:asciiTheme="minorEastAsia" w:hAnsiTheme="minorEastAsia" w:eastAsiaTheme="minorEastAsia" w:cstheme="minorEastAsia"/>
          <w:sz w:val="24"/>
          <w:szCs w:val="24"/>
          <w:lang w:val="en-US" w:eastAsia="zh-CN"/>
        </w:rPr>
        <w:t>在每月运营服务费中单列5000元作为每月运营服务考核资金。平台整体运营服务考核按百分制进行，实行每月考核。每月考核得分 90分(含)以上全额支付当月考核资金；90 分以下 80 分（含）以上，则按相应比例支付当月考核资金（即当月考核资金×当月考核得分/100）；80 分以下，则不予支付当月考核资金。考核资金年度结算。</w:t>
      </w:r>
    </w:p>
    <w:tbl>
      <w:tblPr>
        <w:tblStyle w:val="3"/>
        <w:tblpPr w:leftFromText="180" w:rightFromText="180" w:vertAnchor="text" w:horzAnchor="page" w:tblpX="1359" w:tblpY="475"/>
        <w:tblOverlap w:val="never"/>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5"/>
        <w:gridCol w:w="1305"/>
        <w:gridCol w:w="6811"/>
      </w:tblGrid>
      <w:tr w14:paraId="53EA3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530" w:type="dxa"/>
            <w:vAlign w:val="center"/>
          </w:tcPr>
          <w:p w14:paraId="32F63D36">
            <w:pPr>
              <w:spacing w:line="360" w:lineRule="auto"/>
              <w:ind w:firstLine="0" w:firstLineChars="0"/>
              <w:jc w:val="center"/>
              <w:rPr>
                <w:rFonts w:hint="eastAsia"/>
              </w:rPr>
            </w:pPr>
            <w:r>
              <w:rPr>
                <w:rFonts w:hint="eastAsia"/>
              </w:rPr>
              <w:t>考核项目</w:t>
            </w:r>
          </w:p>
        </w:tc>
        <w:tc>
          <w:tcPr>
            <w:tcW w:w="1283" w:type="dxa"/>
            <w:vAlign w:val="center"/>
          </w:tcPr>
          <w:p w14:paraId="4A125F31">
            <w:pPr>
              <w:spacing w:line="360" w:lineRule="auto"/>
              <w:ind w:firstLine="0" w:firstLineChars="0"/>
              <w:jc w:val="center"/>
              <w:rPr>
                <w:rFonts w:hint="eastAsia" w:eastAsia="宋体"/>
                <w:lang w:val="en-US" w:eastAsia="zh-CN"/>
              </w:rPr>
            </w:pPr>
            <w:r>
              <w:rPr>
                <w:rFonts w:hint="eastAsia"/>
                <w:lang w:val="en-US" w:eastAsia="zh-CN"/>
              </w:rPr>
              <w:t>细项</w:t>
            </w:r>
          </w:p>
        </w:tc>
        <w:tc>
          <w:tcPr>
            <w:tcW w:w="6694" w:type="dxa"/>
            <w:vAlign w:val="center"/>
          </w:tcPr>
          <w:p w14:paraId="4731DC1E">
            <w:pPr>
              <w:spacing w:line="360" w:lineRule="auto"/>
              <w:ind w:firstLine="0" w:firstLineChars="0"/>
              <w:jc w:val="center"/>
              <w:rPr>
                <w:rFonts w:hint="eastAsia" w:eastAsia="宋体"/>
                <w:lang w:val="en-US" w:eastAsia="zh-CN"/>
              </w:rPr>
            </w:pPr>
            <w:r>
              <w:rPr>
                <w:rFonts w:hint="eastAsia"/>
              </w:rPr>
              <w:t>考核</w:t>
            </w:r>
            <w:r>
              <w:rPr>
                <w:rFonts w:hint="eastAsia"/>
                <w:lang w:val="en-US" w:eastAsia="zh-CN"/>
              </w:rPr>
              <w:t>标准</w:t>
            </w:r>
          </w:p>
        </w:tc>
      </w:tr>
      <w:tr w14:paraId="686A8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530" w:type="dxa"/>
            <w:vMerge w:val="restart"/>
            <w:vAlign w:val="center"/>
          </w:tcPr>
          <w:p w14:paraId="5D48F748">
            <w:pPr>
              <w:spacing w:line="240" w:lineRule="auto"/>
              <w:ind w:firstLine="0" w:firstLineChars="0"/>
              <w:jc w:val="center"/>
              <w:rPr>
                <w:rFonts w:hint="default" w:eastAsia="宋体"/>
                <w:lang w:val="en-US" w:eastAsia="zh-CN"/>
              </w:rPr>
            </w:pPr>
            <w:r>
              <w:rPr>
                <w:rFonts w:hint="eastAsia"/>
                <w:lang w:val="en-US" w:eastAsia="zh-CN"/>
              </w:rPr>
              <w:t>服务保障</w:t>
            </w:r>
          </w:p>
        </w:tc>
        <w:tc>
          <w:tcPr>
            <w:tcW w:w="1283" w:type="dxa"/>
            <w:vAlign w:val="center"/>
          </w:tcPr>
          <w:p w14:paraId="54749320">
            <w:pPr>
              <w:spacing w:line="240" w:lineRule="auto"/>
              <w:ind w:firstLine="0" w:firstLineChars="0"/>
              <w:jc w:val="center"/>
              <w:rPr>
                <w:rFonts w:hint="default" w:eastAsia="宋体"/>
                <w:lang w:val="en-US" w:eastAsia="zh-CN"/>
              </w:rPr>
            </w:pPr>
            <w:r>
              <w:rPr>
                <w:rFonts w:hint="eastAsia" w:ascii="宋体" w:hAnsi="宋体" w:eastAsia="宋体" w:cs="宋体"/>
                <w:b w:val="0"/>
                <w:bCs w:val="0"/>
                <w:color w:val="000000"/>
                <w:sz w:val="21"/>
                <w:szCs w:val="21"/>
              </w:rPr>
              <w:t>1、服务时长</w:t>
            </w:r>
          </w:p>
        </w:tc>
        <w:tc>
          <w:tcPr>
            <w:tcW w:w="6694" w:type="dxa"/>
            <w:vAlign w:val="center"/>
          </w:tcPr>
          <w:p w14:paraId="409C907E">
            <w:pPr>
              <w:spacing w:line="240" w:lineRule="auto"/>
              <w:ind w:firstLine="0" w:firstLineChars="0"/>
              <w:rPr>
                <w:rFonts w:hint="default" w:eastAsia="宋体"/>
                <w:lang w:val="en-US" w:eastAsia="zh-CN"/>
              </w:rPr>
            </w:pPr>
            <w:r>
              <w:rPr>
                <w:rFonts w:hint="eastAsia" w:ascii="宋体" w:hAnsi="宋体" w:eastAsia="宋体" w:cs="宋体"/>
                <w:b w:val="0"/>
                <w:bCs w:val="0"/>
                <w:color w:val="000000"/>
                <w:sz w:val="21"/>
                <w:szCs w:val="21"/>
              </w:rPr>
              <w:t xml:space="preserve">提供 7*24 小时不间断服务运营 </w:t>
            </w:r>
            <w:r>
              <w:rPr>
                <w:rFonts w:hint="eastAsia" w:cs="宋体"/>
                <w:b w:val="0"/>
                <w:bCs w:val="0"/>
                <w:color w:val="000000"/>
                <w:sz w:val="21"/>
                <w:szCs w:val="21"/>
                <w:lang w:eastAsia="zh-CN"/>
              </w:rPr>
              <w:t>。</w:t>
            </w:r>
            <w:r>
              <w:rPr>
                <w:rFonts w:hint="eastAsia" w:ascii="宋体" w:hAnsi="宋体" w:eastAsia="宋体" w:cs="宋体"/>
                <w:b w:val="0"/>
                <w:bCs w:val="0"/>
                <w:color w:val="000000"/>
                <w:sz w:val="21"/>
                <w:szCs w:val="21"/>
              </w:rPr>
              <w:t>计分标准：</w:t>
            </w:r>
            <w:r>
              <w:rPr>
                <w:rFonts w:hint="eastAsia" w:ascii="宋体" w:hAnsi="宋体" w:eastAsia="宋体" w:cs="宋体"/>
                <w:b w:val="0"/>
                <w:bCs w:val="0"/>
                <w:color w:val="000000"/>
                <w:sz w:val="21"/>
                <w:szCs w:val="21"/>
                <w:lang w:val="en-US" w:eastAsia="zh-CN"/>
              </w:rPr>
              <w:t>未提供扣</w:t>
            </w:r>
            <w:r>
              <w:rPr>
                <w:rFonts w:hint="eastAsia" w:cs="宋体"/>
                <w:b w:val="0"/>
                <w:bCs w:val="0"/>
                <w:color w:val="000000"/>
                <w:sz w:val="21"/>
                <w:szCs w:val="21"/>
                <w:lang w:val="en-US" w:eastAsia="zh-CN"/>
              </w:rPr>
              <w:t>2</w:t>
            </w:r>
            <w:r>
              <w:rPr>
                <w:rFonts w:hint="eastAsia" w:ascii="宋体" w:hAnsi="宋体" w:eastAsia="宋体" w:cs="宋体"/>
                <w:b w:val="0"/>
                <w:bCs w:val="0"/>
                <w:color w:val="000000"/>
                <w:sz w:val="21"/>
                <w:szCs w:val="21"/>
                <w:lang w:val="en-US" w:eastAsia="zh-CN"/>
              </w:rPr>
              <w:t>分。</w:t>
            </w:r>
          </w:p>
        </w:tc>
      </w:tr>
      <w:tr w14:paraId="08519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530" w:type="dxa"/>
            <w:vMerge w:val="continue"/>
            <w:vAlign w:val="center"/>
          </w:tcPr>
          <w:p w14:paraId="3E6A39E4">
            <w:pPr>
              <w:spacing w:line="240" w:lineRule="auto"/>
              <w:ind w:firstLine="0" w:firstLineChars="0"/>
              <w:jc w:val="center"/>
              <w:rPr>
                <w:rFonts w:hint="eastAsia"/>
              </w:rPr>
            </w:pPr>
          </w:p>
        </w:tc>
        <w:tc>
          <w:tcPr>
            <w:tcW w:w="1283" w:type="dxa"/>
            <w:vAlign w:val="center"/>
          </w:tcPr>
          <w:p w14:paraId="5A4DA544">
            <w:pPr>
              <w:spacing w:line="240" w:lineRule="auto"/>
              <w:ind w:firstLine="0" w:firstLineChars="0"/>
              <w:jc w:val="center"/>
              <w:rPr>
                <w:rFonts w:hint="eastAsia"/>
              </w:rPr>
            </w:pPr>
            <w:r>
              <w:rPr>
                <w:rFonts w:hint="eastAsia" w:cs="宋体"/>
                <w:b w:val="0"/>
                <w:bCs w:val="0"/>
                <w:color w:val="000000"/>
                <w:sz w:val="21"/>
                <w:szCs w:val="21"/>
                <w:lang w:val="en-US" w:eastAsia="zh-CN"/>
              </w:rPr>
              <w:t>2</w:t>
            </w:r>
            <w:r>
              <w:rPr>
                <w:rFonts w:hint="eastAsia" w:ascii="宋体" w:hAnsi="宋体" w:eastAsia="宋体" w:cs="宋体"/>
                <w:b w:val="0"/>
                <w:bCs w:val="0"/>
                <w:color w:val="000000"/>
                <w:sz w:val="21"/>
                <w:szCs w:val="21"/>
              </w:rPr>
              <w:t>、平均通话时长</w:t>
            </w:r>
          </w:p>
        </w:tc>
        <w:tc>
          <w:tcPr>
            <w:tcW w:w="6694" w:type="dxa"/>
            <w:vAlign w:val="center"/>
          </w:tcPr>
          <w:p w14:paraId="429A9602">
            <w:pPr>
              <w:spacing w:line="240" w:lineRule="auto"/>
              <w:ind w:firstLine="0" w:firstLineChars="0"/>
              <w:rPr>
                <w:rFonts w:hint="eastAsia" w:ascii="宋体" w:hAnsi="宋体" w:eastAsia="宋体" w:cs="宋体"/>
                <w:b w:val="0"/>
                <w:bCs w:val="0"/>
                <w:color w:val="000000"/>
                <w:sz w:val="21"/>
                <w:szCs w:val="21"/>
              </w:rPr>
            </w:pPr>
            <w:r>
              <w:rPr>
                <w:rFonts w:hint="eastAsia" w:ascii="宋体" w:hAnsi="宋体" w:eastAsia="宋体" w:cs="宋体"/>
                <w:b w:val="0"/>
                <w:bCs w:val="0"/>
                <w:color w:val="000000"/>
                <w:sz w:val="21"/>
                <w:szCs w:val="21"/>
              </w:rPr>
              <w:t xml:space="preserve">话务员平均通话时长。 </w:t>
            </w:r>
          </w:p>
          <w:p w14:paraId="433970D6">
            <w:pPr>
              <w:spacing w:line="240" w:lineRule="auto"/>
              <w:ind w:firstLine="0" w:firstLineChars="0"/>
              <w:rPr>
                <w:rFonts w:hint="eastAsia" w:eastAsia="宋体"/>
                <w:lang w:val="en-US" w:eastAsia="zh-CN"/>
              </w:rPr>
            </w:pPr>
            <w:r>
              <w:rPr>
                <w:rFonts w:hint="eastAsia" w:ascii="宋体" w:hAnsi="宋体" w:eastAsia="宋体" w:cs="宋体"/>
                <w:b w:val="0"/>
                <w:bCs w:val="0"/>
                <w:color w:val="000000"/>
                <w:sz w:val="21"/>
                <w:szCs w:val="21"/>
              </w:rPr>
              <w:t>计分标准：平均通话时长目标值 400 秒，每增加 60 秒扣 1 分</w:t>
            </w:r>
            <w:r>
              <w:rPr>
                <w:rFonts w:hint="eastAsia" w:ascii="宋体" w:hAnsi="宋体" w:eastAsia="宋体" w:cs="宋体"/>
                <w:b w:val="0"/>
                <w:bCs w:val="0"/>
                <w:color w:val="000000"/>
                <w:sz w:val="21"/>
                <w:szCs w:val="21"/>
                <w:lang w:eastAsia="zh-CN"/>
              </w:rPr>
              <w:t>。</w:t>
            </w:r>
          </w:p>
        </w:tc>
      </w:tr>
      <w:tr w14:paraId="30E36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530" w:type="dxa"/>
            <w:vMerge w:val="continue"/>
            <w:vAlign w:val="center"/>
          </w:tcPr>
          <w:p w14:paraId="101E6459">
            <w:pPr>
              <w:spacing w:line="240" w:lineRule="auto"/>
              <w:ind w:firstLine="0" w:firstLineChars="0"/>
              <w:jc w:val="center"/>
              <w:rPr>
                <w:rFonts w:hint="eastAsia"/>
              </w:rPr>
            </w:pPr>
          </w:p>
        </w:tc>
        <w:tc>
          <w:tcPr>
            <w:tcW w:w="1283" w:type="dxa"/>
            <w:vAlign w:val="center"/>
          </w:tcPr>
          <w:p w14:paraId="7409D9F0">
            <w:pPr>
              <w:spacing w:line="240" w:lineRule="auto"/>
              <w:ind w:firstLine="0" w:firstLineChars="0"/>
              <w:jc w:val="center"/>
              <w:rPr>
                <w:rFonts w:hint="eastAsia" w:cs="宋体"/>
                <w:b w:val="0"/>
                <w:bCs w:val="0"/>
                <w:color w:val="000000"/>
                <w:sz w:val="21"/>
                <w:szCs w:val="21"/>
                <w:lang w:val="en-US" w:eastAsia="zh-CN"/>
              </w:rPr>
            </w:pPr>
            <w:r>
              <w:rPr>
                <w:rFonts w:hint="eastAsia" w:cs="宋体"/>
                <w:b w:val="0"/>
                <w:bCs w:val="0"/>
                <w:color w:val="000000"/>
                <w:sz w:val="21"/>
                <w:szCs w:val="21"/>
                <w:lang w:val="en-US" w:eastAsia="zh-CN"/>
              </w:rPr>
              <w:t>3、热线公众号维护</w:t>
            </w:r>
          </w:p>
        </w:tc>
        <w:tc>
          <w:tcPr>
            <w:tcW w:w="6694" w:type="dxa"/>
            <w:vAlign w:val="center"/>
          </w:tcPr>
          <w:p w14:paraId="7E5964E3">
            <w:pPr>
              <w:spacing w:line="240" w:lineRule="auto"/>
              <w:ind w:firstLine="0" w:firstLineChars="0"/>
              <w:rPr>
                <w:rFonts w:hint="eastAsia" w:ascii="宋体" w:hAnsi="宋体" w:eastAsia="宋体" w:cs="宋体"/>
                <w:b w:val="0"/>
                <w:bCs w:val="0"/>
                <w:color w:val="000000"/>
                <w:sz w:val="21"/>
                <w:szCs w:val="21"/>
              </w:rPr>
            </w:pPr>
            <w:r>
              <w:rPr>
                <w:rFonts w:hint="eastAsia" w:ascii="宋体" w:hAnsi="宋体" w:eastAsia="宋体" w:cs="宋体"/>
                <w:b w:val="0"/>
                <w:bCs w:val="0"/>
                <w:color w:val="000000"/>
                <w:sz w:val="21"/>
                <w:szCs w:val="21"/>
              </w:rPr>
              <w:t>定期</w:t>
            </w:r>
            <w:r>
              <w:rPr>
                <w:rFonts w:hint="eastAsia" w:cs="宋体"/>
                <w:b w:val="0"/>
                <w:bCs w:val="0"/>
                <w:color w:val="000000"/>
                <w:sz w:val="21"/>
                <w:szCs w:val="21"/>
                <w:lang w:val="en-US" w:eastAsia="zh-CN"/>
              </w:rPr>
              <w:t>做好热线公众号</w:t>
            </w:r>
            <w:r>
              <w:rPr>
                <w:rFonts w:hint="eastAsia" w:ascii="宋体" w:hAnsi="宋体" w:eastAsia="宋体" w:cs="宋体"/>
                <w:b w:val="0"/>
                <w:bCs w:val="0"/>
                <w:color w:val="000000"/>
                <w:sz w:val="21"/>
                <w:szCs w:val="21"/>
              </w:rPr>
              <w:t xml:space="preserve">维护更新。 </w:t>
            </w:r>
          </w:p>
          <w:p w14:paraId="18FEB4F0">
            <w:pPr>
              <w:spacing w:line="240" w:lineRule="auto"/>
              <w:ind w:firstLine="0" w:firstLineChars="0"/>
              <w:rPr>
                <w:rFonts w:hint="eastAsia" w:ascii="宋体" w:hAnsi="宋体" w:eastAsia="宋体" w:cs="宋体"/>
                <w:b w:val="0"/>
                <w:bCs w:val="0"/>
                <w:color w:val="000000"/>
                <w:sz w:val="21"/>
                <w:szCs w:val="21"/>
              </w:rPr>
            </w:pPr>
            <w:r>
              <w:rPr>
                <w:rFonts w:hint="eastAsia" w:ascii="宋体" w:hAnsi="宋体" w:eastAsia="宋体" w:cs="宋体"/>
                <w:b w:val="0"/>
                <w:bCs w:val="0"/>
                <w:color w:val="000000"/>
                <w:sz w:val="21"/>
                <w:szCs w:val="21"/>
              </w:rPr>
              <w:t>计分标准：</w:t>
            </w:r>
            <w:r>
              <w:rPr>
                <w:rFonts w:hint="eastAsia" w:cs="宋体"/>
                <w:b w:val="0"/>
                <w:bCs w:val="0"/>
                <w:color w:val="000000"/>
                <w:sz w:val="21"/>
                <w:szCs w:val="21"/>
                <w:lang w:val="en-US" w:eastAsia="zh-CN"/>
              </w:rPr>
              <w:t>未</w:t>
            </w:r>
            <w:r>
              <w:rPr>
                <w:rFonts w:hint="eastAsia" w:ascii="宋体" w:hAnsi="宋体" w:eastAsia="宋体" w:cs="宋体"/>
                <w:b w:val="0"/>
                <w:bCs w:val="0"/>
                <w:color w:val="000000"/>
                <w:sz w:val="21"/>
                <w:szCs w:val="21"/>
              </w:rPr>
              <w:t>定期维护更新扣 1 分。</w:t>
            </w:r>
          </w:p>
        </w:tc>
      </w:tr>
      <w:tr w14:paraId="7D4D2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530" w:type="dxa"/>
            <w:vMerge w:val="continue"/>
            <w:vAlign w:val="center"/>
          </w:tcPr>
          <w:p w14:paraId="65810687">
            <w:pPr>
              <w:spacing w:line="240" w:lineRule="auto"/>
              <w:ind w:firstLine="0" w:firstLineChars="0"/>
              <w:jc w:val="center"/>
              <w:rPr>
                <w:rFonts w:hint="eastAsia"/>
              </w:rPr>
            </w:pPr>
          </w:p>
        </w:tc>
        <w:tc>
          <w:tcPr>
            <w:tcW w:w="1283" w:type="dxa"/>
            <w:vAlign w:val="center"/>
          </w:tcPr>
          <w:p w14:paraId="2C5CB82D">
            <w:pPr>
              <w:spacing w:line="240" w:lineRule="auto"/>
              <w:ind w:firstLine="0" w:firstLineChars="0"/>
              <w:jc w:val="center"/>
              <w:rPr>
                <w:rFonts w:hint="eastAsia"/>
              </w:rPr>
            </w:pPr>
            <w:r>
              <w:rPr>
                <w:rFonts w:hint="eastAsia" w:cs="宋体"/>
                <w:b w:val="0"/>
                <w:bCs w:val="0"/>
                <w:color w:val="000000"/>
                <w:sz w:val="21"/>
                <w:szCs w:val="21"/>
                <w:lang w:val="en-US" w:eastAsia="zh-CN"/>
              </w:rPr>
              <w:t>4</w:t>
            </w:r>
            <w:r>
              <w:rPr>
                <w:rFonts w:hint="eastAsia" w:ascii="宋体" w:hAnsi="宋体" w:eastAsia="宋体" w:cs="宋体"/>
                <w:b w:val="0"/>
                <w:bCs w:val="0"/>
                <w:color w:val="000000"/>
                <w:sz w:val="21"/>
                <w:szCs w:val="21"/>
              </w:rPr>
              <w:t>、知识库更新</w:t>
            </w:r>
          </w:p>
        </w:tc>
        <w:tc>
          <w:tcPr>
            <w:tcW w:w="6694" w:type="dxa"/>
            <w:vAlign w:val="center"/>
          </w:tcPr>
          <w:p w14:paraId="282F953C">
            <w:pPr>
              <w:spacing w:line="240" w:lineRule="auto"/>
              <w:ind w:firstLine="0" w:firstLineChars="0"/>
              <w:rPr>
                <w:rFonts w:hint="eastAsia" w:ascii="宋体" w:hAnsi="宋体" w:eastAsia="宋体" w:cs="宋体"/>
                <w:b w:val="0"/>
                <w:bCs w:val="0"/>
                <w:color w:val="000000"/>
                <w:sz w:val="21"/>
                <w:szCs w:val="21"/>
              </w:rPr>
            </w:pPr>
            <w:r>
              <w:rPr>
                <w:rFonts w:hint="eastAsia" w:ascii="宋体" w:hAnsi="宋体" w:eastAsia="宋体" w:cs="宋体"/>
                <w:b w:val="0"/>
                <w:bCs w:val="0"/>
                <w:color w:val="000000"/>
                <w:sz w:val="21"/>
                <w:szCs w:val="21"/>
              </w:rPr>
              <w:t>有关法律、法规、政策文件、部门职责、业务事项等公共服务的信息</w:t>
            </w:r>
            <w:r>
              <w:rPr>
                <w:rFonts w:hint="eastAsia" w:cs="宋体"/>
                <w:b w:val="0"/>
                <w:bCs w:val="0"/>
                <w:color w:val="000000"/>
                <w:sz w:val="21"/>
                <w:szCs w:val="21"/>
                <w:lang w:val="en-US" w:eastAsia="zh-CN"/>
              </w:rPr>
              <w:t>收</w:t>
            </w:r>
            <w:r>
              <w:rPr>
                <w:rFonts w:hint="eastAsia" w:ascii="宋体" w:hAnsi="宋体" w:eastAsia="宋体" w:cs="宋体"/>
                <w:b w:val="0"/>
                <w:bCs w:val="0"/>
                <w:color w:val="000000"/>
                <w:sz w:val="21"/>
                <w:szCs w:val="21"/>
              </w:rPr>
              <w:t>集，定期</w:t>
            </w:r>
            <w:r>
              <w:rPr>
                <w:rFonts w:hint="eastAsia" w:cs="宋体"/>
                <w:b w:val="0"/>
                <w:bCs w:val="0"/>
                <w:color w:val="000000"/>
                <w:sz w:val="21"/>
                <w:szCs w:val="21"/>
                <w:lang w:val="en-US" w:eastAsia="zh-CN"/>
              </w:rPr>
              <w:t>做好</w:t>
            </w:r>
            <w:r>
              <w:rPr>
                <w:rFonts w:hint="eastAsia" w:ascii="宋体" w:hAnsi="宋体" w:eastAsia="宋体" w:cs="宋体"/>
                <w:b w:val="0"/>
                <w:bCs w:val="0"/>
                <w:color w:val="000000"/>
                <w:sz w:val="21"/>
                <w:szCs w:val="21"/>
              </w:rPr>
              <w:t xml:space="preserve">维护更新。 </w:t>
            </w:r>
          </w:p>
          <w:p w14:paraId="248971BD">
            <w:pPr>
              <w:spacing w:line="240" w:lineRule="auto"/>
              <w:ind w:firstLine="0" w:firstLineChars="0"/>
              <w:rPr>
                <w:rFonts w:hint="eastAsia"/>
              </w:rPr>
            </w:pPr>
            <w:r>
              <w:rPr>
                <w:rFonts w:hint="eastAsia" w:ascii="宋体" w:hAnsi="宋体" w:eastAsia="宋体" w:cs="宋体"/>
                <w:b w:val="0"/>
                <w:bCs w:val="0"/>
                <w:color w:val="000000"/>
                <w:sz w:val="21"/>
                <w:szCs w:val="21"/>
              </w:rPr>
              <w:t>计分标准：</w:t>
            </w:r>
            <w:r>
              <w:rPr>
                <w:rFonts w:hint="eastAsia" w:cs="宋体"/>
                <w:b w:val="0"/>
                <w:bCs w:val="0"/>
                <w:color w:val="000000"/>
                <w:sz w:val="21"/>
                <w:szCs w:val="21"/>
                <w:lang w:val="en-US" w:eastAsia="zh-CN"/>
              </w:rPr>
              <w:t>未</w:t>
            </w:r>
            <w:r>
              <w:rPr>
                <w:rFonts w:hint="eastAsia" w:ascii="宋体" w:hAnsi="宋体" w:eastAsia="宋体" w:cs="宋体"/>
                <w:b w:val="0"/>
                <w:bCs w:val="0"/>
                <w:color w:val="000000"/>
                <w:sz w:val="21"/>
                <w:szCs w:val="21"/>
              </w:rPr>
              <w:t xml:space="preserve">定期维护更新扣 </w:t>
            </w:r>
            <w:r>
              <w:rPr>
                <w:rFonts w:hint="eastAsia" w:cs="宋体"/>
                <w:b w:val="0"/>
                <w:bCs w:val="0"/>
                <w:color w:val="000000"/>
                <w:sz w:val="21"/>
                <w:szCs w:val="21"/>
                <w:lang w:val="en-US" w:eastAsia="zh-CN"/>
              </w:rPr>
              <w:t>2</w:t>
            </w:r>
            <w:r>
              <w:rPr>
                <w:rFonts w:hint="eastAsia" w:ascii="宋体" w:hAnsi="宋体" w:eastAsia="宋体" w:cs="宋体"/>
                <w:b w:val="0"/>
                <w:bCs w:val="0"/>
                <w:color w:val="000000"/>
                <w:sz w:val="21"/>
                <w:szCs w:val="21"/>
              </w:rPr>
              <w:t>分。</w:t>
            </w:r>
          </w:p>
        </w:tc>
      </w:tr>
      <w:tr w14:paraId="03165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530" w:type="dxa"/>
            <w:vMerge w:val="restart"/>
            <w:vAlign w:val="center"/>
          </w:tcPr>
          <w:p w14:paraId="4DDC6635">
            <w:pPr>
              <w:spacing w:line="240" w:lineRule="auto"/>
              <w:ind w:firstLine="0" w:firstLineChars="0"/>
              <w:jc w:val="center"/>
              <w:rPr>
                <w:rFonts w:hint="default" w:eastAsia="宋体"/>
                <w:lang w:val="en-US" w:eastAsia="zh-CN"/>
              </w:rPr>
            </w:pPr>
            <w:r>
              <w:rPr>
                <w:rFonts w:hint="eastAsia"/>
                <w:lang w:val="en-US" w:eastAsia="zh-CN"/>
              </w:rPr>
              <w:t>平台管理</w:t>
            </w:r>
          </w:p>
        </w:tc>
        <w:tc>
          <w:tcPr>
            <w:tcW w:w="1283" w:type="dxa"/>
            <w:vAlign w:val="center"/>
          </w:tcPr>
          <w:p w14:paraId="48DA835A">
            <w:pPr>
              <w:spacing w:line="240" w:lineRule="auto"/>
              <w:ind w:firstLine="0" w:firstLineChars="0"/>
              <w:jc w:val="center"/>
              <w:rPr>
                <w:rFonts w:hint="eastAsia"/>
              </w:rPr>
            </w:pPr>
            <w:r>
              <w:rPr>
                <w:rFonts w:hint="eastAsia" w:ascii="宋体" w:hAnsi="宋体" w:eastAsia="宋体" w:cs="宋体"/>
                <w:b w:val="0"/>
                <w:bCs w:val="0"/>
                <w:color w:val="000000"/>
                <w:sz w:val="21"/>
                <w:szCs w:val="21"/>
              </w:rPr>
              <w:t>1、人员配备</w:t>
            </w:r>
          </w:p>
        </w:tc>
        <w:tc>
          <w:tcPr>
            <w:tcW w:w="6694" w:type="dxa"/>
            <w:vAlign w:val="center"/>
          </w:tcPr>
          <w:p w14:paraId="6FA5AE1C">
            <w:pPr>
              <w:spacing w:line="240" w:lineRule="auto"/>
              <w:ind w:firstLine="0" w:firstLineChars="0"/>
              <w:rPr>
                <w:rFonts w:hint="eastAsia" w:ascii="宋体" w:hAnsi="宋体" w:eastAsia="宋体" w:cs="宋体"/>
                <w:b w:val="0"/>
                <w:bCs w:val="0"/>
                <w:color w:val="000000"/>
                <w:sz w:val="21"/>
                <w:szCs w:val="21"/>
              </w:rPr>
            </w:pPr>
            <w:r>
              <w:rPr>
                <w:rFonts w:hint="eastAsia" w:ascii="宋体" w:hAnsi="宋体" w:eastAsia="宋体" w:cs="宋体"/>
                <w:b w:val="0"/>
                <w:bCs w:val="0"/>
                <w:color w:val="000000"/>
                <w:sz w:val="21"/>
                <w:szCs w:val="21"/>
              </w:rPr>
              <w:t>人员数量要满足各岗位正常运转的需要。</w:t>
            </w:r>
          </w:p>
          <w:p w14:paraId="4305AB41">
            <w:pPr>
              <w:spacing w:line="240" w:lineRule="auto"/>
              <w:ind w:firstLine="0" w:firstLineChars="0"/>
              <w:rPr>
                <w:rFonts w:hint="eastAsia"/>
              </w:rPr>
            </w:pPr>
            <w:r>
              <w:rPr>
                <w:rFonts w:hint="eastAsia" w:ascii="宋体" w:hAnsi="宋体" w:eastAsia="宋体" w:cs="宋体"/>
                <w:b w:val="0"/>
                <w:bCs w:val="0"/>
                <w:color w:val="000000"/>
                <w:sz w:val="21"/>
                <w:szCs w:val="21"/>
              </w:rPr>
              <w:t>计分标准：</w:t>
            </w:r>
            <w:r>
              <w:rPr>
                <w:rFonts w:hint="eastAsia" w:cs="宋体"/>
                <w:b w:val="0"/>
                <w:bCs w:val="0"/>
                <w:color w:val="000000"/>
                <w:sz w:val="21"/>
                <w:szCs w:val="21"/>
                <w:lang w:val="en-US" w:eastAsia="zh-CN"/>
              </w:rPr>
              <w:t>不能满足的扣1分</w:t>
            </w:r>
            <w:r>
              <w:rPr>
                <w:rFonts w:hint="eastAsia" w:ascii="宋体" w:hAnsi="宋体" w:eastAsia="宋体" w:cs="宋体"/>
                <w:b w:val="0"/>
                <w:bCs w:val="0"/>
                <w:color w:val="000000"/>
                <w:sz w:val="21"/>
                <w:szCs w:val="21"/>
              </w:rPr>
              <w:t>。</w:t>
            </w:r>
          </w:p>
        </w:tc>
      </w:tr>
      <w:tr w14:paraId="15814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530" w:type="dxa"/>
            <w:vMerge w:val="continue"/>
            <w:vAlign w:val="center"/>
          </w:tcPr>
          <w:p w14:paraId="407ED7EB">
            <w:pPr>
              <w:spacing w:line="240" w:lineRule="auto"/>
              <w:ind w:firstLine="0" w:firstLineChars="0"/>
              <w:jc w:val="center"/>
              <w:rPr>
                <w:rFonts w:hint="eastAsia"/>
              </w:rPr>
            </w:pPr>
          </w:p>
        </w:tc>
        <w:tc>
          <w:tcPr>
            <w:tcW w:w="1283" w:type="dxa"/>
            <w:vAlign w:val="center"/>
          </w:tcPr>
          <w:p w14:paraId="7E2BBADB">
            <w:pPr>
              <w:spacing w:line="240" w:lineRule="auto"/>
              <w:ind w:firstLine="0" w:firstLineChars="0"/>
              <w:jc w:val="center"/>
              <w:rPr>
                <w:rFonts w:hint="eastAsia" w:eastAsia="宋体"/>
                <w:lang w:val="en-US" w:eastAsia="zh-CN"/>
              </w:rPr>
            </w:pPr>
            <w:r>
              <w:rPr>
                <w:rFonts w:hint="eastAsia" w:ascii="宋体" w:hAnsi="宋体" w:eastAsia="宋体" w:cs="宋体"/>
                <w:b w:val="0"/>
                <w:bCs w:val="0"/>
                <w:color w:val="000000"/>
                <w:sz w:val="21"/>
                <w:szCs w:val="21"/>
                <w:lang w:val="en-US" w:eastAsia="zh-CN"/>
              </w:rPr>
              <w:t>2</w:t>
            </w:r>
            <w:r>
              <w:rPr>
                <w:rFonts w:hint="eastAsia" w:ascii="宋体" w:hAnsi="宋体" w:eastAsia="宋体" w:cs="宋体"/>
                <w:b w:val="0"/>
                <w:bCs w:val="0"/>
                <w:color w:val="000000"/>
                <w:sz w:val="21"/>
                <w:szCs w:val="21"/>
              </w:rPr>
              <w:t>、信息保密</w:t>
            </w:r>
          </w:p>
        </w:tc>
        <w:tc>
          <w:tcPr>
            <w:tcW w:w="6694" w:type="dxa"/>
            <w:vAlign w:val="center"/>
          </w:tcPr>
          <w:p w14:paraId="036A186B">
            <w:pPr>
              <w:spacing w:line="240" w:lineRule="auto"/>
              <w:ind w:firstLine="0" w:firstLineChars="0"/>
              <w:rPr>
                <w:rFonts w:hint="eastAsia" w:ascii="宋体" w:hAnsi="宋体" w:eastAsia="宋体" w:cs="宋体"/>
                <w:b w:val="0"/>
                <w:bCs w:val="0"/>
                <w:color w:val="000000"/>
                <w:sz w:val="21"/>
                <w:szCs w:val="21"/>
              </w:rPr>
            </w:pPr>
            <w:r>
              <w:rPr>
                <w:rFonts w:hint="eastAsia" w:ascii="宋体" w:hAnsi="宋体" w:eastAsia="宋体" w:cs="宋体"/>
                <w:b w:val="0"/>
                <w:bCs w:val="0"/>
                <w:color w:val="000000"/>
                <w:sz w:val="21"/>
                <w:szCs w:val="21"/>
              </w:rPr>
              <w:t xml:space="preserve">不得泄露来电人信息（含信息公开工单） </w:t>
            </w:r>
          </w:p>
          <w:p w14:paraId="55F8767F">
            <w:pPr>
              <w:spacing w:line="240" w:lineRule="auto"/>
              <w:ind w:firstLine="0" w:firstLineChars="0"/>
              <w:rPr>
                <w:rFonts w:hint="eastAsia"/>
              </w:rPr>
            </w:pPr>
            <w:r>
              <w:rPr>
                <w:rFonts w:hint="eastAsia" w:ascii="宋体" w:hAnsi="宋体" w:eastAsia="宋体" w:cs="宋体"/>
                <w:b w:val="0"/>
                <w:bCs w:val="0"/>
                <w:color w:val="000000"/>
                <w:sz w:val="21"/>
                <w:szCs w:val="21"/>
              </w:rPr>
              <w:t>计分标准：</w:t>
            </w:r>
            <w:r>
              <w:rPr>
                <w:rFonts w:hint="eastAsia" w:cs="宋体"/>
                <w:b w:val="0"/>
                <w:bCs w:val="0"/>
                <w:color w:val="000000"/>
                <w:sz w:val="21"/>
                <w:szCs w:val="21"/>
                <w:lang w:val="en-US" w:eastAsia="zh-CN"/>
              </w:rPr>
              <w:t>泄露信息</w:t>
            </w:r>
            <w:r>
              <w:rPr>
                <w:rFonts w:hint="eastAsia" w:cs="宋体"/>
                <w:b w:val="0"/>
                <w:bCs w:val="0"/>
                <w:color w:val="000000"/>
                <w:sz w:val="21"/>
                <w:szCs w:val="21"/>
                <w:lang w:eastAsia="zh-CN"/>
              </w:rPr>
              <w:t>，</w:t>
            </w:r>
            <w:r>
              <w:rPr>
                <w:rFonts w:hint="eastAsia" w:cs="宋体"/>
                <w:b w:val="0"/>
                <w:bCs w:val="0"/>
                <w:color w:val="000000"/>
                <w:sz w:val="21"/>
                <w:szCs w:val="21"/>
                <w:lang w:val="en-US" w:eastAsia="zh-CN"/>
              </w:rPr>
              <w:t>一票否决，全部扣除当月考核资金</w:t>
            </w:r>
          </w:p>
        </w:tc>
      </w:tr>
      <w:tr w14:paraId="443B6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530" w:type="dxa"/>
            <w:vMerge w:val="continue"/>
            <w:vAlign w:val="center"/>
          </w:tcPr>
          <w:p w14:paraId="0D654A05">
            <w:pPr>
              <w:spacing w:line="240" w:lineRule="auto"/>
              <w:ind w:firstLine="0" w:firstLineChars="0"/>
              <w:jc w:val="center"/>
              <w:rPr>
                <w:rFonts w:hint="eastAsia"/>
              </w:rPr>
            </w:pPr>
          </w:p>
        </w:tc>
        <w:tc>
          <w:tcPr>
            <w:tcW w:w="1283" w:type="dxa"/>
            <w:vAlign w:val="center"/>
          </w:tcPr>
          <w:p w14:paraId="629DB57F">
            <w:pPr>
              <w:spacing w:line="240" w:lineRule="auto"/>
              <w:ind w:firstLine="0" w:firstLineChars="0"/>
              <w:jc w:val="center"/>
              <w:rPr>
                <w:rFonts w:hint="default" w:eastAsia="宋体"/>
                <w:lang w:val="en-US" w:eastAsia="zh-CN"/>
              </w:rPr>
            </w:pPr>
            <w:r>
              <w:rPr>
                <w:rFonts w:hint="eastAsia" w:ascii="宋体" w:hAnsi="宋体" w:eastAsia="宋体" w:cs="宋体"/>
                <w:b w:val="0"/>
                <w:bCs w:val="0"/>
                <w:color w:val="000000"/>
                <w:sz w:val="21"/>
                <w:szCs w:val="21"/>
                <w:lang w:val="en-US" w:eastAsia="zh-CN"/>
              </w:rPr>
              <w:t>3</w:t>
            </w:r>
            <w:r>
              <w:rPr>
                <w:rFonts w:hint="eastAsia" w:ascii="宋体" w:hAnsi="宋体" w:eastAsia="宋体" w:cs="宋体"/>
                <w:b w:val="0"/>
                <w:bCs w:val="0"/>
                <w:color w:val="000000"/>
                <w:sz w:val="21"/>
                <w:szCs w:val="21"/>
              </w:rPr>
              <w:t>、</w:t>
            </w:r>
            <w:r>
              <w:rPr>
                <w:rFonts w:hint="eastAsia" w:cs="宋体"/>
                <w:b w:val="0"/>
                <w:bCs w:val="0"/>
                <w:color w:val="000000"/>
                <w:sz w:val="21"/>
                <w:szCs w:val="21"/>
                <w:lang w:val="en-US" w:eastAsia="zh-CN"/>
              </w:rPr>
              <w:t>投诉通报</w:t>
            </w:r>
          </w:p>
        </w:tc>
        <w:tc>
          <w:tcPr>
            <w:tcW w:w="6694" w:type="dxa"/>
            <w:vAlign w:val="center"/>
          </w:tcPr>
          <w:p w14:paraId="7F9276D6">
            <w:pPr>
              <w:spacing w:line="240" w:lineRule="auto"/>
              <w:ind w:firstLine="0" w:firstLineChars="0"/>
              <w:rPr>
                <w:rFonts w:hint="eastAsia" w:ascii="宋体" w:hAnsi="宋体" w:eastAsia="宋体" w:cs="宋体"/>
                <w:b w:val="0"/>
                <w:bCs w:val="0"/>
                <w:color w:val="000000"/>
                <w:sz w:val="21"/>
                <w:szCs w:val="21"/>
              </w:rPr>
            </w:pPr>
            <w:r>
              <w:rPr>
                <w:rFonts w:hint="eastAsia" w:cs="宋体"/>
                <w:b w:val="0"/>
                <w:bCs w:val="0"/>
                <w:color w:val="000000"/>
                <w:sz w:val="21"/>
                <w:szCs w:val="21"/>
                <w:lang w:val="en-US" w:eastAsia="zh-CN"/>
              </w:rPr>
              <w:t>服务态度和工作纪律</w:t>
            </w:r>
            <w:r>
              <w:rPr>
                <w:rFonts w:hint="eastAsia" w:ascii="宋体" w:hAnsi="宋体" w:eastAsia="宋体" w:cs="宋体"/>
                <w:b w:val="0"/>
                <w:bCs w:val="0"/>
                <w:color w:val="000000"/>
                <w:sz w:val="21"/>
                <w:szCs w:val="21"/>
              </w:rPr>
              <w:t>被</w:t>
            </w:r>
            <w:r>
              <w:rPr>
                <w:rFonts w:hint="eastAsia" w:cs="宋体"/>
                <w:b w:val="0"/>
                <w:bCs w:val="0"/>
                <w:color w:val="000000"/>
                <w:sz w:val="21"/>
                <w:szCs w:val="21"/>
                <w:lang w:val="en-US" w:eastAsia="zh-CN"/>
              </w:rPr>
              <w:t>投诉或通报，经查属实的</w:t>
            </w:r>
            <w:r>
              <w:rPr>
                <w:rFonts w:hint="eastAsia" w:ascii="宋体" w:hAnsi="宋体" w:eastAsia="宋体" w:cs="宋体"/>
                <w:b w:val="0"/>
                <w:bCs w:val="0"/>
                <w:color w:val="000000"/>
                <w:sz w:val="21"/>
                <w:szCs w:val="21"/>
              </w:rPr>
              <w:t>。</w:t>
            </w:r>
          </w:p>
          <w:p w14:paraId="40D2D034">
            <w:pPr>
              <w:spacing w:line="240" w:lineRule="auto"/>
              <w:ind w:firstLine="0" w:firstLineChars="0"/>
              <w:rPr>
                <w:rFonts w:hint="eastAsia"/>
              </w:rPr>
            </w:pPr>
            <w:r>
              <w:rPr>
                <w:rFonts w:hint="eastAsia" w:ascii="宋体" w:hAnsi="宋体" w:eastAsia="宋体" w:cs="宋体"/>
                <w:b w:val="0"/>
                <w:bCs w:val="0"/>
                <w:color w:val="000000"/>
                <w:sz w:val="21"/>
                <w:szCs w:val="21"/>
              </w:rPr>
              <w:t>计分标准：每次</w:t>
            </w:r>
            <w:r>
              <w:rPr>
                <w:rFonts w:hint="eastAsia" w:cs="宋体"/>
                <w:b w:val="0"/>
                <w:bCs w:val="0"/>
                <w:color w:val="000000"/>
                <w:sz w:val="21"/>
                <w:szCs w:val="21"/>
                <w:lang w:val="en-US" w:eastAsia="zh-CN"/>
              </w:rPr>
              <w:t>被投诉或通报</w:t>
            </w:r>
            <w:r>
              <w:rPr>
                <w:rFonts w:hint="eastAsia" w:ascii="宋体" w:hAnsi="宋体" w:eastAsia="宋体" w:cs="宋体"/>
                <w:b w:val="0"/>
                <w:bCs w:val="0"/>
                <w:color w:val="000000"/>
                <w:sz w:val="21"/>
                <w:szCs w:val="21"/>
              </w:rPr>
              <w:t xml:space="preserve">扣 </w:t>
            </w:r>
            <w:r>
              <w:rPr>
                <w:rFonts w:hint="eastAsia" w:cs="宋体"/>
                <w:b w:val="0"/>
                <w:bCs w:val="0"/>
                <w:color w:val="000000"/>
                <w:sz w:val="21"/>
                <w:szCs w:val="21"/>
                <w:lang w:val="en-US" w:eastAsia="zh-CN"/>
              </w:rPr>
              <w:t>10</w:t>
            </w:r>
            <w:r>
              <w:rPr>
                <w:rFonts w:hint="eastAsia" w:ascii="宋体" w:hAnsi="宋体" w:eastAsia="宋体" w:cs="宋体"/>
                <w:b w:val="0"/>
                <w:bCs w:val="0"/>
                <w:color w:val="000000"/>
                <w:sz w:val="21"/>
                <w:szCs w:val="21"/>
              </w:rPr>
              <w:t>分</w:t>
            </w:r>
            <w:r>
              <w:rPr>
                <w:rFonts w:hint="eastAsia" w:cs="宋体"/>
                <w:b w:val="0"/>
                <w:bCs w:val="0"/>
                <w:color w:val="000000"/>
                <w:sz w:val="21"/>
                <w:szCs w:val="21"/>
                <w:lang w:eastAsia="zh-CN"/>
              </w:rPr>
              <w:t>；</w:t>
            </w:r>
            <w:r>
              <w:rPr>
                <w:rFonts w:hint="eastAsia" w:cs="宋体"/>
                <w:b w:val="0"/>
                <w:bCs w:val="0"/>
                <w:color w:val="000000"/>
                <w:sz w:val="21"/>
                <w:szCs w:val="21"/>
                <w:lang w:val="en-US" w:eastAsia="zh-CN"/>
              </w:rPr>
              <w:t>情节严重的，一票否决，全部扣除当月考核资金。</w:t>
            </w:r>
          </w:p>
        </w:tc>
      </w:tr>
      <w:tr w14:paraId="24B2F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530" w:type="dxa"/>
            <w:vMerge w:val="continue"/>
            <w:vAlign w:val="center"/>
          </w:tcPr>
          <w:p w14:paraId="35CCBCD4">
            <w:pPr>
              <w:spacing w:line="240" w:lineRule="auto"/>
              <w:ind w:firstLine="0" w:firstLineChars="0"/>
              <w:jc w:val="center"/>
              <w:rPr>
                <w:rFonts w:hint="eastAsia"/>
              </w:rPr>
            </w:pPr>
          </w:p>
        </w:tc>
        <w:tc>
          <w:tcPr>
            <w:tcW w:w="1283" w:type="dxa"/>
            <w:vAlign w:val="center"/>
          </w:tcPr>
          <w:p w14:paraId="7809FCC1">
            <w:pPr>
              <w:spacing w:line="240" w:lineRule="auto"/>
              <w:ind w:firstLine="0" w:firstLineChars="0"/>
              <w:jc w:val="center"/>
              <w:rPr>
                <w:rFonts w:hint="default" w:ascii="宋体" w:hAnsi="宋体" w:eastAsia="宋体" w:cs="宋体"/>
                <w:b w:val="0"/>
                <w:bCs w:val="0"/>
                <w:color w:val="000000"/>
                <w:sz w:val="21"/>
                <w:szCs w:val="21"/>
                <w:lang w:val="en-US" w:eastAsia="zh-CN"/>
              </w:rPr>
            </w:pPr>
            <w:r>
              <w:rPr>
                <w:rFonts w:hint="eastAsia" w:cs="宋体"/>
                <w:b w:val="0"/>
                <w:bCs w:val="0"/>
                <w:color w:val="000000"/>
                <w:sz w:val="21"/>
                <w:szCs w:val="21"/>
                <w:lang w:val="en-US" w:eastAsia="zh-CN"/>
              </w:rPr>
              <w:t>4、人员培训及团建</w:t>
            </w:r>
          </w:p>
        </w:tc>
        <w:tc>
          <w:tcPr>
            <w:tcW w:w="6694" w:type="dxa"/>
            <w:vAlign w:val="center"/>
          </w:tcPr>
          <w:p w14:paraId="126CA1DD">
            <w:pPr>
              <w:spacing w:line="240" w:lineRule="auto"/>
              <w:ind w:firstLine="0" w:firstLineChars="0"/>
              <w:rPr>
                <w:rFonts w:hint="eastAsia" w:ascii="宋体" w:hAnsi="宋体" w:eastAsia="宋体" w:cs="宋体"/>
                <w:b w:val="0"/>
                <w:bCs w:val="0"/>
                <w:color w:val="000000"/>
                <w:sz w:val="21"/>
                <w:szCs w:val="21"/>
              </w:rPr>
            </w:pPr>
            <w:r>
              <w:rPr>
                <w:rStyle w:val="5"/>
                <w:rFonts w:hint="eastAsia" w:ascii="宋体" w:hAnsi="宋体" w:eastAsia="宋体" w:cs="宋体"/>
                <w:i w:val="0"/>
                <w:iCs w:val="0"/>
                <w:color w:val="auto"/>
                <w:sz w:val="21"/>
                <w:szCs w:val="21"/>
                <w:lang w:val="en-US" w:eastAsia="zh-CN" w:bidi="ar"/>
              </w:rPr>
              <w:t>每月开展一次业务知识培训。</w:t>
            </w:r>
            <w:r>
              <w:rPr>
                <w:rStyle w:val="5"/>
                <w:rFonts w:hint="eastAsia" w:cs="宋体"/>
                <w:i w:val="0"/>
                <w:iCs w:val="0"/>
                <w:color w:val="auto"/>
                <w:sz w:val="21"/>
                <w:szCs w:val="21"/>
                <w:lang w:val="en-US" w:eastAsia="zh-CN" w:bidi="ar"/>
              </w:rPr>
              <w:t>定期开展团建活动。</w:t>
            </w:r>
            <w:r>
              <w:rPr>
                <w:rFonts w:hint="eastAsia" w:ascii="宋体" w:hAnsi="宋体" w:eastAsia="宋体" w:cs="宋体"/>
                <w:b w:val="0"/>
                <w:bCs w:val="0"/>
                <w:color w:val="000000"/>
                <w:sz w:val="21"/>
                <w:szCs w:val="21"/>
              </w:rPr>
              <w:t>计分标准：未</w:t>
            </w:r>
            <w:r>
              <w:rPr>
                <w:rFonts w:hint="eastAsia" w:cs="宋体"/>
                <w:b w:val="0"/>
                <w:bCs w:val="0"/>
                <w:color w:val="000000"/>
                <w:sz w:val="21"/>
                <w:szCs w:val="21"/>
                <w:lang w:val="en-US" w:eastAsia="zh-CN"/>
              </w:rPr>
              <w:t>按要求</w:t>
            </w:r>
            <w:r>
              <w:rPr>
                <w:rFonts w:hint="eastAsia" w:ascii="宋体" w:hAnsi="宋体" w:eastAsia="宋体" w:cs="宋体"/>
                <w:b w:val="0"/>
                <w:bCs w:val="0"/>
                <w:color w:val="000000"/>
                <w:sz w:val="21"/>
                <w:szCs w:val="21"/>
                <w:lang w:val="en-US" w:eastAsia="zh-CN"/>
              </w:rPr>
              <w:t>开展</w:t>
            </w:r>
            <w:r>
              <w:rPr>
                <w:rFonts w:hint="eastAsia" w:cs="宋体"/>
                <w:b w:val="0"/>
                <w:bCs w:val="0"/>
                <w:color w:val="000000"/>
                <w:sz w:val="21"/>
                <w:szCs w:val="21"/>
                <w:lang w:val="en-US" w:eastAsia="zh-CN"/>
              </w:rPr>
              <w:t>培训</w:t>
            </w:r>
            <w:r>
              <w:rPr>
                <w:rFonts w:hint="eastAsia" w:ascii="宋体" w:hAnsi="宋体" w:eastAsia="宋体" w:cs="宋体"/>
                <w:b w:val="0"/>
                <w:bCs w:val="0"/>
                <w:color w:val="000000"/>
                <w:sz w:val="21"/>
                <w:szCs w:val="21"/>
              </w:rPr>
              <w:t>扣 1</w:t>
            </w:r>
            <w:r>
              <w:rPr>
                <w:rFonts w:hint="eastAsia" w:cs="宋体"/>
                <w:b w:val="0"/>
                <w:bCs w:val="0"/>
                <w:color w:val="000000"/>
                <w:sz w:val="21"/>
                <w:szCs w:val="21"/>
                <w:lang w:val="en-US" w:eastAsia="zh-CN"/>
              </w:rPr>
              <w:t>0</w:t>
            </w:r>
            <w:r>
              <w:rPr>
                <w:rFonts w:hint="eastAsia" w:ascii="宋体" w:hAnsi="宋体" w:eastAsia="宋体" w:cs="宋体"/>
                <w:b w:val="0"/>
                <w:bCs w:val="0"/>
                <w:color w:val="000000"/>
                <w:sz w:val="21"/>
                <w:szCs w:val="21"/>
              </w:rPr>
              <w:t>分</w:t>
            </w:r>
            <w:r>
              <w:rPr>
                <w:rFonts w:hint="eastAsia" w:cs="宋体"/>
                <w:b w:val="0"/>
                <w:bCs w:val="0"/>
                <w:color w:val="000000"/>
                <w:sz w:val="21"/>
                <w:szCs w:val="21"/>
                <w:lang w:eastAsia="zh-CN"/>
              </w:rPr>
              <w:t>，</w:t>
            </w:r>
            <w:r>
              <w:rPr>
                <w:rFonts w:hint="eastAsia" w:cs="宋体"/>
                <w:b w:val="0"/>
                <w:bCs w:val="0"/>
                <w:color w:val="000000"/>
                <w:sz w:val="21"/>
                <w:szCs w:val="21"/>
                <w:lang w:val="en-US" w:eastAsia="zh-CN"/>
              </w:rPr>
              <w:t>未按要求开展团建活动扣5分。</w:t>
            </w:r>
          </w:p>
        </w:tc>
      </w:tr>
      <w:tr w14:paraId="68C56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1530" w:type="dxa"/>
            <w:vMerge w:val="continue"/>
            <w:vAlign w:val="center"/>
          </w:tcPr>
          <w:p w14:paraId="53BC899E">
            <w:pPr>
              <w:spacing w:line="240" w:lineRule="auto"/>
              <w:ind w:firstLine="0" w:firstLineChars="0"/>
              <w:jc w:val="center"/>
              <w:rPr>
                <w:rFonts w:hint="eastAsia"/>
              </w:rPr>
            </w:pPr>
          </w:p>
        </w:tc>
        <w:tc>
          <w:tcPr>
            <w:tcW w:w="1283" w:type="dxa"/>
            <w:vAlign w:val="center"/>
          </w:tcPr>
          <w:p w14:paraId="574D7AFF">
            <w:pPr>
              <w:spacing w:line="240" w:lineRule="auto"/>
              <w:ind w:firstLine="0" w:firstLineChars="0"/>
              <w:jc w:val="center"/>
              <w:rPr>
                <w:rFonts w:hint="default" w:ascii="宋体" w:hAnsi="宋体" w:eastAsia="宋体" w:cs="宋体"/>
                <w:b w:val="0"/>
                <w:bCs w:val="0"/>
                <w:color w:val="000000"/>
                <w:sz w:val="21"/>
                <w:szCs w:val="21"/>
                <w:lang w:val="en-US" w:eastAsia="zh-CN"/>
              </w:rPr>
            </w:pPr>
            <w:r>
              <w:rPr>
                <w:rFonts w:hint="eastAsia" w:cs="宋体"/>
                <w:b w:val="0"/>
                <w:bCs w:val="0"/>
                <w:color w:val="000000"/>
                <w:sz w:val="21"/>
                <w:szCs w:val="21"/>
                <w:lang w:val="en-US" w:eastAsia="zh-CN"/>
              </w:rPr>
              <w:t>5</w:t>
            </w:r>
            <w:r>
              <w:rPr>
                <w:rFonts w:hint="eastAsia" w:ascii="宋体" w:hAnsi="宋体" w:eastAsia="宋体" w:cs="宋体"/>
                <w:b w:val="0"/>
                <w:bCs w:val="0"/>
                <w:color w:val="000000"/>
                <w:sz w:val="21"/>
                <w:szCs w:val="21"/>
                <w:lang w:val="en-US" w:eastAsia="zh-CN"/>
              </w:rPr>
              <w:t>、人员</w:t>
            </w:r>
            <w:r>
              <w:rPr>
                <w:rFonts w:hint="eastAsia" w:cs="宋体"/>
                <w:b w:val="0"/>
                <w:bCs w:val="0"/>
                <w:color w:val="000000"/>
                <w:sz w:val="21"/>
                <w:szCs w:val="21"/>
                <w:lang w:val="en-US" w:eastAsia="zh-CN"/>
              </w:rPr>
              <w:t>工资</w:t>
            </w:r>
          </w:p>
        </w:tc>
        <w:tc>
          <w:tcPr>
            <w:tcW w:w="6694" w:type="dxa"/>
            <w:vAlign w:val="center"/>
          </w:tcPr>
          <w:p w14:paraId="2BA231FD">
            <w:pPr>
              <w:spacing w:line="240" w:lineRule="auto"/>
              <w:ind w:firstLine="0" w:firstLineChars="0"/>
              <w:rPr>
                <w:rFonts w:hint="default" w:ascii="宋体" w:hAnsi="宋体" w:eastAsia="宋体" w:cs="宋体"/>
                <w:b w:val="0"/>
                <w:bCs w:val="0"/>
                <w:color w:val="000000"/>
                <w:sz w:val="21"/>
                <w:szCs w:val="21"/>
                <w:lang w:val="en-US" w:eastAsia="zh-CN"/>
              </w:rPr>
            </w:pPr>
            <w:r>
              <w:rPr>
                <w:rFonts w:hint="eastAsia" w:cs="宋体"/>
                <w:b w:val="0"/>
                <w:bCs w:val="0"/>
                <w:color w:val="000000"/>
                <w:sz w:val="21"/>
                <w:szCs w:val="21"/>
                <w:lang w:val="en-US" w:eastAsia="zh-CN"/>
              </w:rPr>
              <w:t>确保营运团队人员工资及时发放。</w:t>
            </w:r>
            <w:r>
              <w:rPr>
                <w:rFonts w:hint="eastAsia" w:ascii="宋体" w:hAnsi="宋体" w:eastAsia="宋体" w:cs="宋体"/>
                <w:b w:val="0"/>
                <w:bCs w:val="0"/>
                <w:color w:val="000000"/>
                <w:sz w:val="21"/>
                <w:szCs w:val="21"/>
              </w:rPr>
              <w:t>计分标准：</w:t>
            </w:r>
            <w:r>
              <w:rPr>
                <w:rFonts w:hint="eastAsia" w:cs="宋体"/>
                <w:b w:val="0"/>
                <w:bCs w:val="0"/>
                <w:color w:val="000000"/>
                <w:sz w:val="21"/>
                <w:szCs w:val="21"/>
                <w:lang w:val="en-US" w:eastAsia="zh-CN"/>
              </w:rPr>
              <w:t>因供应商原因未及时发放工资，一票否决，全部扣除当月考核资金。。</w:t>
            </w:r>
          </w:p>
        </w:tc>
      </w:tr>
      <w:tr w14:paraId="2D22F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530" w:type="dxa"/>
            <w:vMerge w:val="restart"/>
            <w:vAlign w:val="center"/>
          </w:tcPr>
          <w:p w14:paraId="3C72E08D">
            <w:pPr>
              <w:spacing w:line="240" w:lineRule="auto"/>
              <w:ind w:firstLine="0" w:firstLineChars="0"/>
              <w:jc w:val="center"/>
              <w:rPr>
                <w:rFonts w:hint="default" w:eastAsia="宋体"/>
                <w:lang w:val="en-US" w:eastAsia="zh-CN"/>
              </w:rPr>
            </w:pPr>
            <w:r>
              <w:rPr>
                <w:rFonts w:hint="eastAsia"/>
                <w:lang w:val="en-US" w:eastAsia="zh-CN"/>
              </w:rPr>
              <w:t>业务保障</w:t>
            </w:r>
          </w:p>
        </w:tc>
        <w:tc>
          <w:tcPr>
            <w:tcW w:w="1283" w:type="dxa"/>
            <w:vAlign w:val="center"/>
          </w:tcPr>
          <w:p w14:paraId="3D406289">
            <w:pPr>
              <w:spacing w:line="240" w:lineRule="auto"/>
              <w:ind w:firstLine="0" w:firstLineChars="0"/>
              <w:jc w:val="center"/>
              <w:rPr>
                <w:rFonts w:hint="eastAsia" w:ascii="宋体" w:hAnsi="宋体" w:eastAsia="宋体" w:cs="宋体"/>
                <w:b w:val="0"/>
                <w:bCs w:val="0"/>
                <w:color w:val="000000"/>
                <w:sz w:val="21"/>
                <w:szCs w:val="21"/>
                <w:lang w:val="en-US" w:eastAsia="zh-CN"/>
              </w:rPr>
            </w:pPr>
            <w:r>
              <w:rPr>
                <w:rFonts w:hint="eastAsia" w:ascii="宋体" w:hAnsi="宋体" w:eastAsia="宋体" w:cs="宋体"/>
                <w:b w:val="0"/>
                <w:bCs w:val="0"/>
                <w:color w:val="000000"/>
                <w:sz w:val="21"/>
                <w:szCs w:val="21"/>
              </w:rPr>
              <w:t>1、</w:t>
            </w:r>
            <w:r>
              <w:rPr>
                <w:rFonts w:hint="eastAsia" w:cs="宋体"/>
                <w:b w:val="0"/>
                <w:bCs w:val="0"/>
                <w:color w:val="000000"/>
                <w:sz w:val="21"/>
                <w:szCs w:val="21"/>
                <w:lang w:val="en-US" w:eastAsia="zh-CN"/>
              </w:rPr>
              <w:t>诉求</w:t>
            </w:r>
            <w:r>
              <w:rPr>
                <w:rFonts w:hint="eastAsia" w:ascii="宋体" w:hAnsi="宋体" w:eastAsia="宋体" w:cs="宋体"/>
                <w:b w:val="0"/>
                <w:bCs w:val="0"/>
                <w:color w:val="000000"/>
                <w:sz w:val="21"/>
                <w:szCs w:val="21"/>
              </w:rPr>
              <w:t>台账</w:t>
            </w:r>
          </w:p>
        </w:tc>
        <w:tc>
          <w:tcPr>
            <w:tcW w:w="6694" w:type="dxa"/>
            <w:vAlign w:val="center"/>
          </w:tcPr>
          <w:p w14:paraId="6E06AEB5">
            <w:pPr>
              <w:spacing w:line="240" w:lineRule="auto"/>
              <w:ind w:firstLine="0" w:firstLineChars="0"/>
              <w:rPr>
                <w:rFonts w:hint="eastAsia" w:ascii="宋体" w:hAnsi="宋体" w:eastAsia="宋体" w:cs="宋体"/>
                <w:b w:val="0"/>
                <w:bCs w:val="0"/>
                <w:color w:val="000000"/>
                <w:sz w:val="21"/>
                <w:szCs w:val="21"/>
              </w:rPr>
            </w:pPr>
            <w:r>
              <w:rPr>
                <w:rFonts w:hint="eastAsia" w:cs="宋体"/>
                <w:b w:val="0"/>
                <w:bCs w:val="0"/>
                <w:color w:val="000000"/>
                <w:sz w:val="21"/>
                <w:szCs w:val="21"/>
                <w:lang w:val="en-US" w:eastAsia="zh-CN"/>
              </w:rPr>
              <w:t>按要求分类建立诉求业务</w:t>
            </w:r>
            <w:r>
              <w:rPr>
                <w:rFonts w:hint="eastAsia" w:ascii="宋体" w:hAnsi="宋体" w:eastAsia="宋体" w:cs="宋体"/>
                <w:b w:val="0"/>
                <w:bCs w:val="0"/>
                <w:color w:val="000000"/>
                <w:sz w:val="21"/>
                <w:szCs w:val="21"/>
              </w:rPr>
              <w:t>工作台账。</w:t>
            </w:r>
          </w:p>
          <w:p w14:paraId="70037E75">
            <w:pPr>
              <w:spacing w:line="240" w:lineRule="auto"/>
              <w:ind w:firstLine="0" w:firstLineChars="0"/>
              <w:rPr>
                <w:rFonts w:hint="eastAsia" w:ascii="宋体" w:hAnsi="宋体" w:eastAsia="宋体" w:cs="宋体"/>
                <w:b w:val="0"/>
                <w:bCs w:val="0"/>
                <w:color w:val="000000"/>
                <w:sz w:val="21"/>
                <w:szCs w:val="21"/>
              </w:rPr>
            </w:pPr>
            <w:r>
              <w:rPr>
                <w:rFonts w:hint="eastAsia" w:ascii="宋体" w:hAnsi="宋体" w:eastAsia="宋体" w:cs="宋体"/>
                <w:b w:val="0"/>
                <w:bCs w:val="0"/>
                <w:color w:val="000000"/>
                <w:sz w:val="21"/>
                <w:szCs w:val="21"/>
              </w:rPr>
              <w:t>计分标准：</w:t>
            </w:r>
            <w:r>
              <w:rPr>
                <w:rFonts w:hint="eastAsia" w:cs="宋体"/>
                <w:b w:val="0"/>
                <w:bCs w:val="0"/>
                <w:color w:val="000000"/>
                <w:sz w:val="21"/>
                <w:szCs w:val="21"/>
                <w:lang w:val="en-US" w:eastAsia="zh-CN"/>
              </w:rPr>
              <w:t>未按要求建立</w:t>
            </w:r>
            <w:r>
              <w:rPr>
                <w:rFonts w:hint="eastAsia" w:ascii="宋体" w:hAnsi="宋体" w:eastAsia="宋体" w:cs="宋体"/>
                <w:b w:val="0"/>
                <w:bCs w:val="0"/>
                <w:color w:val="000000"/>
                <w:sz w:val="21"/>
                <w:szCs w:val="21"/>
              </w:rPr>
              <w:t xml:space="preserve">扣 </w:t>
            </w:r>
            <w:r>
              <w:rPr>
                <w:rFonts w:hint="eastAsia" w:cs="宋体"/>
                <w:b w:val="0"/>
                <w:bCs w:val="0"/>
                <w:color w:val="000000"/>
                <w:sz w:val="21"/>
                <w:szCs w:val="21"/>
                <w:lang w:val="en-US" w:eastAsia="zh-CN"/>
              </w:rPr>
              <w:t>2</w:t>
            </w:r>
            <w:r>
              <w:rPr>
                <w:rFonts w:hint="eastAsia" w:ascii="宋体" w:hAnsi="宋体" w:eastAsia="宋体" w:cs="宋体"/>
                <w:b w:val="0"/>
                <w:bCs w:val="0"/>
                <w:color w:val="000000"/>
                <w:sz w:val="21"/>
                <w:szCs w:val="21"/>
              </w:rPr>
              <w:t>分。</w:t>
            </w:r>
          </w:p>
        </w:tc>
      </w:tr>
      <w:tr w14:paraId="5BAA2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530" w:type="dxa"/>
            <w:vMerge w:val="continue"/>
            <w:vAlign w:val="center"/>
          </w:tcPr>
          <w:p w14:paraId="653FEFFC">
            <w:pPr>
              <w:spacing w:line="240" w:lineRule="auto"/>
              <w:ind w:firstLine="0" w:firstLineChars="0"/>
              <w:jc w:val="center"/>
              <w:rPr>
                <w:rFonts w:hint="eastAsia"/>
              </w:rPr>
            </w:pPr>
          </w:p>
        </w:tc>
        <w:tc>
          <w:tcPr>
            <w:tcW w:w="1283" w:type="dxa"/>
            <w:vAlign w:val="center"/>
          </w:tcPr>
          <w:p w14:paraId="0E33C399">
            <w:pPr>
              <w:spacing w:line="240" w:lineRule="auto"/>
              <w:ind w:firstLine="0" w:firstLineChars="0"/>
              <w:jc w:val="center"/>
              <w:rPr>
                <w:rFonts w:hint="eastAsia" w:ascii="宋体" w:hAnsi="宋体" w:eastAsia="宋体" w:cs="宋体"/>
                <w:b w:val="0"/>
                <w:bCs w:val="0"/>
                <w:color w:val="000000"/>
                <w:sz w:val="21"/>
                <w:szCs w:val="21"/>
                <w:lang w:val="en-US" w:eastAsia="zh-CN"/>
              </w:rPr>
            </w:pPr>
            <w:r>
              <w:rPr>
                <w:rFonts w:hint="eastAsia" w:ascii="宋体" w:hAnsi="宋体" w:eastAsia="宋体" w:cs="宋体"/>
                <w:b w:val="0"/>
                <w:bCs w:val="0"/>
                <w:color w:val="000000"/>
                <w:sz w:val="21"/>
                <w:szCs w:val="21"/>
              </w:rPr>
              <w:t>2、工作报告</w:t>
            </w:r>
          </w:p>
        </w:tc>
        <w:tc>
          <w:tcPr>
            <w:tcW w:w="6694" w:type="dxa"/>
            <w:vAlign w:val="center"/>
          </w:tcPr>
          <w:p w14:paraId="3D19F4CD">
            <w:pPr>
              <w:spacing w:line="240" w:lineRule="auto"/>
              <w:ind w:firstLine="0" w:firstLineChars="0"/>
              <w:rPr>
                <w:rFonts w:hint="default" w:ascii="宋体" w:hAnsi="宋体" w:eastAsia="宋体" w:cs="宋体"/>
                <w:b w:val="0"/>
                <w:bCs w:val="0"/>
                <w:color w:val="000000"/>
                <w:sz w:val="21"/>
                <w:szCs w:val="21"/>
                <w:lang w:val="en-US" w:eastAsia="zh-CN"/>
              </w:rPr>
            </w:pPr>
            <w:r>
              <w:rPr>
                <w:rFonts w:hint="eastAsia" w:cs="宋体"/>
                <w:b w:val="0"/>
                <w:bCs w:val="0"/>
                <w:color w:val="000000"/>
                <w:sz w:val="21"/>
                <w:szCs w:val="21"/>
                <w:lang w:val="en-US" w:eastAsia="zh-CN"/>
              </w:rPr>
              <w:t>按要求</w:t>
            </w:r>
            <w:r>
              <w:rPr>
                <w:rFonts w:hint="eastAsia" w:ascii="宋体" w:hAnsi="宋体" w:eastAsia="宋体" w:cs="宋体"/>
                <w:b w:val="0"/>
                <w:bCs w:val="0"/>
                <w:color w:val="000000"/>
                <w:sz w:val="21"/>
                <w:szCs w:val="21"/>
              </w:rPr>
              <w:t>每月以书面形式提供</w:t>
            </w:r>
            <w:r>
              <w:rPr>
                <w:rFonts w:hint="eastAsia" w:cs="宋体"/>
                <w:b w:val="0"/>
                <w:bCs w:val="0"/>
                <w:color w:val="000000"/>
                <w:sz w:val="21"/>
                <w:szCs w:val="21"/>
                <w:lang w:val="en-US" w:eastAsia="zh-CN"/>
              </w:rPr>
              <w:t>业务</w:t>
            </w:r>
            <w:r>
              <w:rPr>
                <w:rFonts w:hint="eastAsia" w:ascii="宋体" w:hAnsi="宋体" w:eastAsia="宋体" w:cs="宋体"/>
                <w:b w:val="0"/>
                <w:bCs w:val="0"/>
                <w:color w:val="000000"/>
                <w:sz w:val="21"/>
                <w:szCs w:val="21"/>
              </w:rPr>
              <w:t>工作</w:t>
            </w:r>
            <w:r>
              <w:rPr>
                <w:rFonts w:hint="eastAsia" w:cs="宋体"/>
                <w:b w:val="0"/>
                <w:bCs w:val="0"/>
                <w:color w:val="000000"/>
                <w:sz w:val="21"/>
                <w:szCs w:val="21"/>
                <w:lang w:val="en-US" w:eastAsia="zh-CN"/>
              </w:rPr>
              <w:t>统计分析报告。</w:t>
            </w:r>
            <w:r>
              <w:rPr>
                <w:rFonts w:hint="eastAsia" w:ascii="宋体" w:hAnsi="宋体" w:eastAsia="宋体" w:cs="宋体"/>
                <w:b w:val="0"/>
                <w:bCs w:val="0"/>
                <w:color w:val="000000"/>
                <w:sz w:val="21"/>
                <w:szCs w:val="21"/>
              </w:rPr>
              <w:t xml:space="preserve"> </w:t>
            </w:r>
            <w:r>
              <w:rPr>
                <w:rFonts w:hint="eastAsia" w:cs="宋体"/>
                <w:b w:val="0"/>
                <w:bCs w:val="0"/>
                <w:color w:val="000000"/>
                <w:sz w:val="21"/>
                <w:szCs w:val="21"/>
                <w:lang w:val="en-US" w:eastAsia="zh-CN"/>
              </w:rPr>
              <w:t>每季度提供运营中存在的热点、难点问题预测预警专报。编制半年报告、年度报告</w:t>
            </w:r>
            <w:r>
              <w:rPr>
                <w:rFonts w:hint="eastAsia" w:ascii="宋体" w:hAnsi="宋体" w:eastAsia="宋体" w:cs="宋体"/>
                <w:b w:val="0"/>
                <w:bCs w:val="0"/>
                <w:color w:val="000000"/>
                <w:sz w:val="21"/>
                <w:szCs w:val="21"/>
              </w:rPr>
              <w:t>。</w:t>
            </w:r>
          </w:p>
          <w:p w14:paraId="2E174FF4">
            <w:pPr>
              <w:spacing w:line="240" w:lineRule="auto"/>
              <w:ind w:firstLine="0" w:firstLineChars="0"/>
              <w:rPr>
                <w:rFonts w:hint="eastAsia" w:ascii="宋体" w:hAnsi="宋体" w:eastAsia="宋体" w:cs="宋体"/>
                <w:b w:val="0"/>
                <w:bCs w:val="0"/>
                <w:color w:val="000000"/>
                <w:sz w:val="21"/>
                <w:szCs w:val="21"/>
              </w:rPr>
            </w:pPr>
            <w:r>
              <w:rPr>
                <w:rFonts w:hint="eastAsia" w:ascii="宋体" w:hAnsi="宋体" w:eastAsia="宋体" w:cs="宋体"/>
                <w:b w:val="0"/>
                <w:bCs w:val="0"/>
                <w:color w:val="000000"/>
                <w:sz w:val="21"/>
                <w:szCs w:val="21"/>
              </w:rPr>
              <w:t xml:space="preserve">计分标准：未提供扣 </w:t>
            </w:r>
            <w:r>
              <w:rPr>
                <w:rFonts w:hint="eastAsia" w:cs="宋体"/>
                <w:b w:val="0"/>
                <w:bCs w:val="0"/>
                <w:color w:val="000000"/>
                <w:sz w:val="21"/>
                <w:szCs w:val="21"/>
                <w:lang w:val="en-US" w:eastAsia="zh-CN"/>
              </w:rPr>
              <w:t>10</w:t>
            </w:r>
            <w:r>
              <w:rPr>
                <w:rFonts w:hint="eastAsia" w:ascii="宋体" w:hAnsi="宋体" w:eastAsia="宋体" w:cs="宋体"/>
                <w:b w:val="0"/>
                <w:bCs w:val="0"/>
                <w:color w:val="000000"/>
                <w:sz w:val="21"/>
                <w:szCs w:val="21"/>
              </w:rPr>
              <w:t>分。</w:t>
            </w:r>
          </w:p>
        </w:tc>
      </w:tr>
      <w:tr w14:paraId="066E8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530" w:type="dxa"/>
            <w:vMerge w:val="continue"/>
            <w:vAlign w:val="center"/>
          </w:tcPr>
          <w:p w14:paraId="5E7E91B6">
            <w:pPr>
              <w:spacing w:line="240" w:lineRule="auto"/>
              <w:ind w:firstLine="0" w:firstLineChars="0"/>
              <w:jc w:val="center"/>
              <w:rPr>
                <w:rFonts w:hint="eastAsia"/>
              </w:rPr>
            </w:pPr>
          </w:p>
        </w:tc>
        <w:tc>
          <w:tcPr>
            <w:tcW w:w="1283" w:type="dxa"/>
            <w:vAlign w:val="center"/>
          </w:tcPr>
          <w:p w14:paraId="704A6C54">
            <w:pPr>
              <w:spacing w:line="240" w:lineRule="auto"/>
              <w:ind w:firstLine="0" w:firstLineChars="0"/>
              <w:jc w:val="center"/>
              <w:rPr>
                <w:rFonts w:hint="eastAsia" w:ascii="宋体" w:hAnsi="宋体" w:eastAsia="宋体" w:cs="宋体"/>
                <w:b w:val="0"/>
                <w:bCs w:val="0"/>
                <w:color w:val="000000"/>
                <w:sz w:val="21"/>
                <w:szCs w:val="21"/>
                <w:lang w:val="en-US" w:eastAsia="zh-CN"/>
              </w:rPr>
            </w:pPr>
            <w:r>
              <w:rPr>
                <w:rFonts w:hint="eastAsia" w:ascii="宋体" w:hAnsi="宋体" w:eastAsia="宋体" w:cs="宋体"/>
                <w:b w:val="0"/>
                <w:bCs w:val="0"/>
                <w:color w:val="000000"/>
                <w:sz w:val="21"/>
                <w:szCs w:val="21"/>
                <w:lang w:val="en-US" w:eastAsia="zh-CN"/>
              </w:rPr>
              <w:t>3</w:t>
            </w:r>
            <w:r>
              <w:rPr>
                <w:rFonts w:hint="eastAsia" w:ascii="宋体" w:hAnsi="宋体" w:eastAsia="宋体" w:cs="宋体"/>
                <w:b w:val="0"/>
                <w:bCs w:val="0"/>
                <w:color w:val="000000"/>
                <w:sz w:val="21"/>
                <w:szCs w:val="21"/>
              </w:rPr>
              <w:t>、紧急事项</w:t>
            </w:r>
          </w:p>
        </w:tc>
        <w:tc>
          <w:tcPr>
            <w:tcW w:w="6694" w:type="dxa"/>
            <w:vAlign w:val="center"/>
          </w:tcPr>
          <w:p w14:paraId="20ECA191">
            <w:pPr>
              <w:spacing w:line="240" w:lineRule="auto"/>
              <w:ind w:firstLine="0" w:firstLineChars="0"/>
              <w:rPr>
                <w:rFonts w:hint="eastAsia" w:ascii="宋体" w:hAnsi="宋体" w:eastAsia="宋体" w:cs="宋体"/>
                <w:b w:val="0"/>
                <w:bCs w:val="0"/>
                <w:color w:val="000000"/>
                <w:sz w:val="21"/>
                <w:szCs w:val="21"/>
              </w:rPr>
            </w:pPr>
            <w:r>
              <w:rPr>
                <w:rFonts w:hint="eastAsia" w:ascii="宋体" w:hAnsi="宋体" w:eastAsia="宋体" w:cs="宋体"/>
                <w:b w:val="0"/>
                <w:bCs w:val="0"/>
                <w:color w:val="000000"/>
                <w:sz w:val="21"/>
                <w:szCs w:val="21"/>
              </w:rPr>
              <w:t xml:space="preserve">对应急类事件（火灾、天气灾害和群体性事件等）、敏感性事件等可能造成重大影响的事件要及时报告，不得延误或漏报。 </w:t>
            </w:r>
          </w:p>
          <w:p w14:paraId="263BF083">
            <w:pPr>
              <w:spacing w:line="240" w:lineRule="auto"/>
              <w:ind w:firstLine="0" w:firstLineChars="0"/>
              <w:rPr>
                <w:rFonts w:hint="eastAsia" w:ascii="宋体" w:hAnsi="宋体" w:eastAsia="宋体" w:cs="宋体"/>
                <w:b w:val="0"/>
                <w:bCs w:val="0"/>
                <w:color w:val="000000"/>
                <w:sz w:val="21"/>
                <w:szCs w:val="21"/>
              </w:rPr>
            </w:pPr>
            <w:r>
              <w:rPr>
                <w:rFonts w:hint="eastAsia" w:ascii="宋体" w:hAnsi="宋体" w:eastAsia="宋体" w:cs="宋体"/>
                <w:b w:val="0"/>
                <w:bCs w:val="0"/>
                <w:color w:val="000000"/>
                <w:sz w:val="21"/>
                <w:szCs w:val="21"/>
              </w:rPr>
              <w:t xml:space="preserve">计分标准：延误或漏报每次扣 </w:t>
            </w:r>
            <w:r>
              <w:rPr>
                <w:rFonts w:hint="eastAsia" w:cs="宋体"/>
                <w:b w:val="0"/>
                <w:bCs w:val="0"/>
                <w:color w:val="000000"/>
                <w:sz w:val="21"/>
                <w:szCs w:val="21"/>
                <w:lang w:val="en-US" w:eastAsia="zh-CN"/>
              </w:rPr>
              <w:t>10</w:t>
            </w:r>
            <w:r>
              <w:rPr>
                <w:rFonts w:hint="eastAsia" w:ascii="宋体" w:hAnsi="宋体" w:eastAsia="宋体" w:cs="宋体"/>
                <w:b w:val="0"/>
                <w:bCs w:val="0"/>
                <w:color w:val="000000"/>
                <w:sz w:val="21"/>
                <w:szCs w:val="21"/>
              </w:rPr>
              <w:t>分。</w:t>
            </w:r>
            <w:r>
              <w:rPr>
                <w:rFonts w:hint="eastAsia" w:cs="宋体"/>
                <w:b w:val="0"/>
                <w:bCs w:val="0"/>
                <w:color w:val="000000"/>
                <w:sz w:val="21"/>
                <w:szCs w:val="21"/>
                <w:lang w:val="en-US" w:eastAsia="zh-CN"/>
              </w:rPr>
              <w:t>情节严重的，一票否决，全部扣除当月考核资金。</w:t>
            </w:r>
          </w:p>
        </w:tc>
      </w:tr>
      <w:tr w14:paraId="7D841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530" w:type="dxa"/>
            <w:vMerge w:val="continue"/>
            <w:vAlign w:val="center"/>
          </w:tcPr>
          <w:p w14:paraId="1670ABD0">
            <w:pPr>
              <w:spacing w:line="240" w:lineRule="auto"/>
              <w:ind w:firstLine="0" w:firstLineChars="0"/>
              <w:jc w:val="center"/>
              <w:rPr>
                <w:rFonts w:hint="eastAsia"/>
              </w:rPr>
            </w:pPr>
          </w:p>
        </w:tc>
        <w:tc>
          <w:tcPr>
            <w:tcW w:w="1283" w:type="dxa"/>
            <w:vAlign w:val="center"/>
          </w:tcPr>
          <w:p w14:paraId="6F88B0B0">
            <w:pPr>
              <w:tabs>
                <w:tab w:val="left" w:pos="409"/>
              </w:tabs>
              <w:spacing w:line="240" w:lineRule="auto"/>
              <w:ind w:firstLine="0" w:firstLineChars="0"/>
              <w:jc w:val="left"/>
              <w:rPr>
                <w:rFonts w:hint="default" w:ascii="宋体" w:hAnsi="宋体" w:eastAsia="宋体" w:cs="宋体"/>
                <w:b w:val="0"/>
                <w:bCs w:val="0"/>
                <w:color w:val="000000"/>
                <w:sz w:val="21"/>
                <w:szCs w:val="21"/>
                <w:lang w:val="en-US" w:eastAsia="zh-CN"/>
              </w:rPr>
            </w:pPr>
            <w:r>
              <w:rPr>
                <w:rFonts w:hint="eastAsia" w:ascii="宋体" w:hAnsi="宋体" w:eastAsia="宋体" w:cs="宋体"/>
                <w:b w:val="0"/>
                <w:bCs w:val="0"/>
                <w:color w:val="000000"/>
                <w:sz w:val="21"/>
                <w:szCs w:val="21"/>
                <w:lang w:val="en-US" w:eastAsia="zh-CN"/>
              </w:rPr>
              <w:t>4、现场管理</w:t>
            </w:r>
          </w:p>
        </w:tc>
        <w:tc>
          <w:tcPr>
            <w:tcW w:w="6694" w:type="dxa"/>
            <w:vAlign w:val="center"/>
          </w:tcPr>
          <w:p w14:paraId="4E338701">
            <w:pPr>
              <w:spacing w:line="240" w:lineRule="auto"/>
              <w:ind w:firstLine="0" w:firstLineChars="0"/>
              <w:rPr>
                <w:rFonts w:hint="default" w:ascii="宋体" w:hAnsi="宋体" w:eastAsia="宋体" w:cs="宋体"/>
                <w:b w:val="0"/>
                <w:bCs w:val="0"/>
                <w:color w:val="000000"/>
                <w:sz w:val="21"/>
                <w:szCs w:val="21"/>
                <w:lang w:val="en-US" w:eastAsia="zh-CN"/>
              </w:rPr>
            </w:pPr>
            <w:r>
              <w:rPr>
                <w:rFonts w:hint="eastAsia" w:ascii="宋体" w:hAnsi="宋体" w:eastAsia="宋体" w:cs="宋体"/>
                <w:b w:val="0"/>
                <w:bCs w:val="0"/>
                <w:color w:val="000000"/>
                <w:sz w:val="21"/>
                <w:szCs w:val="21"/>
                <w:lang w:val="en-US" w:eastAsia="zh-CN"/>
              </w:rPr>
              <w:t>保障现场办公用品、生活用品及现场保洁</w:t>
            </w:r>
            <w:r>
              <w:rPr>
                <w:rFonts w:hint="eastAsia" w:cs="宋体"/>
                <w:b w:val="0"/>
                <w:bCs w:val="0"/>
                <w:color w:val="000000"/>
                <w:sz w:val="21"/>
                <w:szCs w:val="21"/>
                <w:lang w:val="en-US" w:eastAsia="zh-CN"/>
              </w:rPr>
              <w:t>、消防安全</w:t>
            </w:r>
            <w:r>
              <w:rPr>
                <w:rFonts w:hint="eastAsia" w:ascii="宋体" w:hAnsi="宋体" w:eastAsia="宋体" w:cs="宋体"/>
                <w:b w:val="0"/>
                <w:bCs w:val="0"/>
                <w:color w:val="000000"/>
                <w:sz w:val="21"/>
                <w:szCs w:val="21"/>
                <w:lang w:val="en-US" w:eastAsia="zh-CN"/>
              </w:rPr>
              <w:t>。</w:t>
            </w:r>
            <w:r>
              <w:rPr>
                <w:rFonts w:hint="eastAsia" w:cs="宋体"/>
                <w:b w:val="0"/>
                <w:bCs w:val="0"/>
                <w:color w:val="000000"/>
                <w:sz w:val="21"/>
                <w:szCs w:val="21"/>
                <w:lang w:val="en-US" w:eastAsia="zh-CN"/>
              </w:rPr>
              <w:t>未保障每发现一起扣1分。</w:t>
            </w:r>
          </w:p>
        </w:tc>
      </w:tr>
      <w:tr w14:paraId="478FB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 w:hRule="atLeast"/>
        </w:trPr>
        <w:tc>
          <w:tcPr>
            <w:tcW w:w="1530" w:type="dxa"/>
            <w:vAlign w:val="center"/>
          </w:tcPr>
          <w:p w14:paraId="3A72ED50">
            <w:pPr>
              <w:spacing w:line="240" w:lineRule="auto"/>
              <w:ind w:firstLine="0" w:firstLineChars="0"/>
              <w:jc w:val="center"/>
              <w:rPr>
                <w:rFonts w:hint="default" w:eastAsia="宋体"/>
                <w:lang w:val="en-US" w:eastAsia="zh-CN"/>
              </w:rPr>
            </w:pPr>
            <w:r>
              <w:rPr>
                <w:rFonts w:hint="eastAsia"/>
                <w:lang w:val="en-US" w:eastAsia="zh-CN"/>
              </w:rPr>
              <w:t>加分项</w:t>
            </w:r>
          </w:p>
        </w:tc>
        <w:tc>
          <w:tcPr>
            <w:tcW w:w="1283" w:type="dxa"/>
            <w:vAlign w:val="center"/>
          </w:tcPr>
          <w:p w14:paraId="65222423">
            <w:pPr>
              <w:tabs>
                <w:tab w:val="left" w:pos="409"/>
              </w:tabs>
              <w:spacing w:line="240" w:lineRule="auto"/>
              <w:ind w:firstLine="0" w:firstLineChars="0"/>
              <w:jc w:val="left"/>
              <w:rPr>
                <w:rFonts w:hint="default" w:ascii="宋体" w:hAnsi="宋体" w:eastAsia="宋体" w:cs="宋体"/>
                <w:b w:val="0"/>
                <w:bCs w:val="0"/>
                <w:color w:val="000000"/>
                <w:sz w:val="21"/>
                <w:szCs w:val="21"/>
                <w:lang w:val="en-US" w:eastAsia="zh-CN"/>
              </w:rPr>
            </w:pPr>
            <w:r>
              <w:rPr>
                <w:rFonts w:hint="eastAsia" w:cs="宋体"/>
                <w:b w:val="0"/>
                <w:bCs w:val="0"/>
                <w:color w:val="000000"/>
                <w:sz w:val="21"/>
                <w:szCs w:val="21"/>
                <w:lang w:val="en-US" w:eastAsia="zh-CN"/>
              </w:rPr>
              <w:t>取得荣誉</w:t>
            </w:r>
          </w:p>
        </w:tc>
        <w:tc>
          <w:tcPr>
            <w:tcW w:w="6694" w:type="dxa"/>
            <w:vAlign w:val="center"/>
          </w:tcPr>
          <w:p w14:paraId="0C2C4BE5">
            <w:pPr>
              <w:spacing w:line="240" w:lineRule="auto"/>
              <w:ind w:firstLine="0" w:firstLineChars="0"/>
              <w:rPr>
                <w:rFonts w:hint="eastAsia" w:cs="宋体"/>
                <w:b w:val="0"/>
                <w:bCs w:val="0"/>
                <w:color w:val="000000"/>
                <w:sz w:val="21"/>
                <w:szCs w:val="21"/>
                <w:lang w:val="en-US" w:eastAsia="zh-CN"/>
              </w:rPr>
            </w:pPr>
            <w:r>
              <w:rPr>
                <w:rStyle w:val="5"/>
                <w:rFonts w:hint="eastAsia" w:ascii="宋体" w:hAnsi="宋体" w:eastAsia="宋体" w:cs="宋体"/>
                <w:i w:val="0"/>
                <w:iCs w:val="0"/>
                <w:color w:val="auto"/>
                <w:sz w:val="21"/>
                <w:szCs w:val="21"/>
                <w:lang w:val="en-US" w:eastAsia="zh-CN" w:bidi="ar"/>
              </w:rPr>
              <w:t>得到省级及以上</w:t>
            </w:r>
            <w:r>
              <w:rPr>
                <w:rStyle w:val="5"/>
                <w:rFonts w:hint="eastAsia" w:cs="宋体"/>
                <w:i w:val="0"/>
                <w:iCs w:val="0"/>
                <w:color w:val="auto"/>
                <w:sz w:val="21"/>
                <w:szCs w:val="21"/>
                <w:lang w:val="en-US" w:eastAsia="zh-CN" w:bidi="ar"/>
              </w:rPr>
              <w:t>荣誉</w:t>
            </w:r>
            <w:r>
              <w:rPr>
                <w:rStyle w:val="5"/>
                <w:rFonts w:hint="eastAsia" w:ascii="宋体" w:hAnsi="宋体" w:eastAsia="宋体" w:cs="宋体"/>
                <w:i w:val="0"/>
                <w:iCs w:val="0"/>
                <w:color w:val="auto"/>
                <w:sz w:val="21"/>
                <w:szCs w:val="21"/>
                <w:lang w:val="en-US" w:eastAsia="zh-CN" w:bidi="ar"/>
              </w:rPr>
              <w:t>加(10分)、市级</w:t>
            </w:r>
            <w:r>
              <w:rPr>
                <w:rStyle w:val="5"/>
                <w:rFonts w:hint="eastAsia" w:cs="宋体"/>
                <w:i w:val="0"/>
                <w:iCs w:val="0"/>
                <w:color w:val="auto"/>
                <w:sz w:val="21"/>
                <w:szCs w:val="21"/>
                <w:lang w:val="en-US" w:eastAsia="zh-CN" w:bidi="ar"/>
              </w:rPr>
              <w:t>荣誉</w:t>
            </w:r>
            <w:r>
              <w:rPr>
                <w:rStyle w:val="5"/>
                <w:rFonts w:hint="eastAsia" w:ascii="宋体" w:hAnsi="宋体" w:eastAsia="宋体" w:cs="宋体"/>
                <w:i w:val="0"/>
                <w:iCs w:val="0"/>
                <w:color w:val="auto"/>
                <w:sz w:val="21"/>
                <w:szCs w:val="21"/>
                <w:lang w:val="en-US" w:eastAsia="zh-CN" w:bidi="ar"/>
              </w:rPr>
              <w:t>加(5分)(以主流媒体、党政部门文件为准),同一事项取最高分，不可叠加，最高加10分。</w:t>
            </w:r>
          </w:p>
        </w:tc>
      </w:tr>
    </w:tbl>
    <w:p w14:paraId="04848CD4">
      <w:pPr>
        <w:pageBreakBefore w:val="0"/>
        <w:widowControl w:val="0"/>
        <w:wordWrap/>
        <w:overflowPunct/>
        <w:topLinePunct w:val="0"/>
        <w:bidi w:val="0"/>
        <w:spacing w:before="78" w:line="360" w:lineRule="auto"/>
        <w:jc w:val="both"/>
        <w:outlineLvl w:val="1"/>
        <w:rPr>
          <w:rFonts w:hint="eastAsia"/>
          <w:b/>
          <w:bCs/>
          <w:lang w:val="en-US" w:eastAsia="zh-CN"/>
        </w:rPr>
      </w:pPr>
    </w:p>
    <w:p w14:paraId="36DB4D44">
      <w:pPr>
        <w:spacing w:line="360" w:lineRule="auto"/>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br w:type="page"/>
      </w:r>
    </w:p>
    <w:p w14:paraId="261FF46F">
      <w:pPr>
        <w:pageBreakBefore w:val="0"/>
        <w:widowControl w:val="0"/>
        <w:wordWrap/>
        <w:overflowPunct/>
        <w:topLinePunct w:val="0"/>
        <w:bidi w:val="0"/>
        <w:spacing w:before="78" w:line="360" w:lineRule="auto"/>
        <w:jc w:val="both"/>
        <w:outlineLvl w:val="1"/>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8"/>
          <w:szCs w:val="28"/>
          <w:highlight w:val="none"/>
          <w:lang w:val="en-US" w:eastAsia="zh-CN"/>
          <w14:textOutline w14:w="4356" w14:cap="sq" w14:cmpd="sng" w14:algn="ctr">
            <w14:solidFill>
              <w14:srgbClr w14:val="000000"/>
            </w14:solidFill>
            <w14:prstDash w14:val="solid"/>
            <w14:bevel/>
          </w14:textOutline>
        </w:rPr>
        <w:t>（二）商务条款</w:t>
      </w:r>
    </w:p>
    <w:p w14:paraId="65DEC91D">
      <w:pPr>
        <w:numPr>
          <w:ilvl w:val="0"/>
          <w:numId w:val="0"/>
        </w:numPr>
        <w:spacing w:line="360" w:lineRule="auto"/>
        <w:ind w:firstLine="482" w:firstLineChars="200"/>
        <w:outlineLvl w:val="1"/>
        <w:rPr>
          <w:rFonts w:hint="eastAsia" w:asciiTheme="minorEastAsia" w:hAnsiTheme="minorEastAsia" w:eastAsiaTheme="minorEastAsia" w:cstheme="minorEastAsia"/>
          <w:b/>
          <w:bCs/>
          <w:sz w:val="24"/>
          <w:szCs w:val="24"/>
          <w:lang w:val="en-US" w:eastAsia="zh-CN"/>
        </w:rPr>
      </w:pPr>
      <w:r>
        <w:rPr>
          <w:rFonts w:hint="eastAsia" w:asciiTheme="minorEastAsia" w:hAnsiTheme="minorEastAsia" w:eastAsiaTheme="minorEastAsia" w:cstheme="minorEastAsia"/>
          <w:b/>
          <w:bCs/>
          <w:sz w:val="24"/>
          <w:szCs w:val="24"/>
          <w:lang w:val="en-US" w:eastAsia="zh-CN"/>
        </w:rPr>
        <w:t>1.服务期限</w:t>
      </w:r>
    </w:p>
    <w:p w14:paraId="2ACE5B16">
      <w:pPr>
        <w:numPr>
          <w:ilvl w:val="0"/>
          <w:numId w:val="0"/>
        </w:numPr>
        <w:spacing w:line="360" w:lineRule="auto"/>
        <w:ind w:firstLine="480" w:firstLineChars="200"/>
        <w:outlineLvl w:val="1"/>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本项目运营服务期限为一年。</w:t>
      </w:r>
    </w:p>
    <w:p w14:paraId="2FA368E0">
      <w:pPr>
        <w:numPr>
          <w:ilvl w:val="0"/>
          <w:numId w:val="0"/>
        </w:numPr>
        <w:spacing w:line="360" w:lineRule="auto"/>
        <w:ind w:firstLine="482" w:firstLineChars="200"/>
        <w:outlineLvl w:val="1"/>
        <w:rPr>
          <w:rFonts w:hint="eastAsia" w:asciiTheme="minorEastAsia" w:hAnsiTheme="minorEastAsia" w:eastAsiaTheme="minorEastAsia" w:cstheme="minorEastAsia"/>
          <w:b/>
          <w:bCs/>
          <w:sz w:val="24"/>
          <w:szCs w:val="24"/>
          <w:lang w:val="en-US" w:eastAsia="zh-CN"/>
        </w:rPr>
      </w:pPr>
      <w:r>
        <w:rPr>
          <w:rFonts w:hint="eastAsia" w:asciiTheme="minorEastAsia" w:hAnsiTheme="minorEastAsia" w:eastAsiaTheme="minorEastAsia" w:cstheme="minorEastAsia"/>
          <w:b/>
          <w:bCs/>
          <w:sz w:val="24"/>
          <w:szCs w:val="24"/>
          <w:lang w:val="en-US" w:eastAsia="zh-CN"/>
        </w:rPr>
        <w:t>2.服务地点</w:t>
      </w:r>
    </w:p>
    <w:p w14:paraId="61EE6BC4">
      <w:pPr>
        <w:numPr>
          <w:ilvl w:val="0"/>
          <w:numId w:val="0"/>
        </w:numPr>
        <w:spacing w:line="360" w:lineRule="auto"/>
        <w:ind w:firstLine="480" w:firstLineChars="200"/>
        <w:outlineLvl w:val="1"/>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服务地点为采购人指定的萍乡市12345政务服务热线运营中心，供应商需严格遵守场地管理规定，维护场地设施设备，保持运营环境整洁有序。</w:t>
      </w:r>
    </w:p>
    <w:p w14:paraId="7C49CDAD">
      <w:pPr>
        <w:numPr>
          <w:ilvl w:val="0"/>
          <w:numId w:val="0"/>
        </w:numPr>
        <w:spacing w:line="360" w:lineRule="auto"/>
        <w:ind w:firstLine="482" w:firstLineChars="200"/>
        <w:outlineLvl w:val="1"/>
        <w:rPr>
          <w:rFonts w:hint="eastAsia" w:asciiTheme="minorEastAsia" w:hAnsiTheme="minorEastAsia" w:eastAsiaTheme="minorEastAsia" w:cstheme="minorEastAsia"/>
          <w:b/>
          <w:bCs/>
          <w:sz w:val="24"/>
          <w:szCs w:val="24"/>
          <w:lang w:val="en-US" w:eastAsia="zh-CN"/>
        </w:rPr>
      </w:pPr>
      <w:r>
        <w:rPr>
          <w:rFonts w:hint="eastAsia" w:asciiTheme="minorEastAsia" w:hAnsiTheme="minorEastAsia" w:eastAsiaTheme="minorEastAsia" w:cstheme="minorEastAsia"/>
          <w:b/>
          <w:bCs/>
          <w:sz w:val="24"/>
          <w:szCs w:val="24"/>
          <w:lang w:val="en-US" w:eastAsia="zh-CN"/>
        </w:rPr>
        <w:t>3.付款方式</w:t>
      </w:r>
    </w:p>
    <w:p w14:paraId="2BE39385">
      <w:pPr>
        <w:numPr>
          <w:ilvl w:val="0"/>
          <w:numId w:val="0"/>
        </w:numPr>
        <w:spacing w:line="360" w:lineRule="auto"/>
        <w:ind w:firstLine="480" w:firstLineChars="200"/>
        <w:outlineLvl w:val="1"/>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（1）合同签订后十五个工作日内，甲方向乙方支付合同总金额的30%；</w:t>
      </w:r>
    </w:p>
    <w:p w14:paraId="2D71A19A">
      <w:pPr>
        <w:numPr>
          <w:ilvl w:val="0"/>
          <w:numId w:val="0"/>
        </w:numPr>
        <w:spacing w:line="360" w:lineRule="auto"/>
        <w:ind w:firstLine="480" w:firstLineChars="200"/>
        <w:outlineLvl w:val="1"/>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 xml:space="preserve">（2）合同签订满四个月后十五个工作日内，甲方向乙方支付合同总金额的30%； </w:t>
      </w:r>
    </w:p>
    <w:p w14:paraId="595F3000">
      <w:pPr>
        <w:numPr>
          <w:ilvl w:val="0"/>
          <w:numId w:val="0"/>
        </w:numPr>
        <w:spacing w:line="360" w:lineRule="auto"/>
        <w:ind w:firstLine="480" w:firstLineChars="200"/>
        <w:outlineLvl w:val="1"/>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 xml:space="preserve">（3）合同签订满十个月后十五个工作日内，甲方向乙方支付合同总金额的30%； </w:t>
      </w:r>
    </w:p>
    <w:p w14:paraId="2F4466AA">
      <w:pPr>
        <w:numPr>
          <w:ilvl w:val="0"/>
          <w:numId w:val="0"/>
        </w:numPr>
        <w:spacing w:line="360" w:lineRule="auto"/>
        <w:ind w:firstLine="480" w:firstLineChars="200"/>
        <w:outlineLvl w:val="1"/>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（4）合同服务期满后的十五个工作日内，甲方向乙方支付剩余资金。</w:t>
      </w:r>
    </w:p>
    <w:p w14:paraId="49D0E857">
      <w:pPr>
        <w:numPr>
          <w:ilvl w:val="0"/>
          <w:numId w:val="0"/>
        </w:numPr>
        <w:spacing w:line="360" w:lineRule="auto"/>
        <w:ind w:firstLine="482" w:firstLineChars="200"/>
        <w:outlineLvl w:val="1"/>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b/>
          <w:bCs/>
          <w:snapToGrid w:val="0"/>
          <w:color w:val="000000"/>
          <w:sz w:val="24"/>
          <w:szCs w:val="24"/>
          <w:lang w:val="en-US" w:eastAsia="zh-CN" w:bidi="ar-SA"/>
        </w:rPr>
        <w:t>4</w:t>
      </w:r>
      <w:r>
        <w:rPr>
          <w:rFonts w:hint="default" w:asciiTheme="minorEastAsia" w:hAnsiTheme="minorEastAsia" w:eastAsiaTheme="minorEastAsia" w:cstheme="minorEastAsia"/>
          <w:b/>
          <w:bCs/>
          <w:snapToGrid w:val="0"/>
          <w:color w:val="000000"/>
          <w:sz w:val="24"/>
          <w:szCs w:val="24"/>
          <w:lang w:val="en-US" w:eastAsia="zh-CN" w:bidi="ar-SA"/>
        </w:rPr>
        <w:t>.</w:t>
      </w:r>
      <w:r>
        <w:rPr>
          <w:rFonts w:hint="eastAsia" w:asciiTheme="minorEastAsia" w:hAnsiTheme="minorEastAsia" w:eastAsiaTheme="minorEastAsia" w:cstheme="minorEastAsia"/>
          <w:b/>
          <w:bCs/>
          <w:sz w:val="24"/>
          <w:szCs w:val="24"/>
          <w:lang w:val="en-US" w:eastAsia="zh-CN"/>
        </w:rPr>
        <w:t>投标报价</w:t>
      </w:r>
    </w:p>
    <w:p w14:paraId="77A26823">
      <w:pPr>
        <w:rPr>
          <w:rFonts w:hint="default"/>
          <w:lang w:val="en-US"/>
        </w:rPr>
      </w:pPr>
      <w:r>
        <w:rPr>
          <w:rFonts w:hint="default" w:asciiTheme="minorEastAsia" w:hAnsiTheme="minorEastAsia" w:eastAsiaTheme="minorEastAsia" w:cstheme="minorEastAsia"/>
          <w:b w:val="0"/>
          <w:bCs w:val="0"/>
          <w:sz w:val="24"/>
          <w:szCs w:val="24"/>
          <w:lang w:val="en-US" w:eastAsia="zh-CN"/>
        </w:rPr>
        <w:t>投标人根据招标文件中提供的开标一栏明细表列举的费用名称进行报价，投标报价应是招标文件所约定的招标范围内全部内容的价格体现，应以人民币报价。</w:t>
      </w:r>
      <w:r>
        <w:rPr>
          <w:rFonts w:hint="eastAsia" w:asciiTheme="minorEastAsia" w:hAnsiTheme="minorEastAsia" w:eastAsiaTheme="minorEastAsia" w:cstheme="minorEastAsia"/>
          <w:b w:val="0"/>
          <w:bCs w:val="0"/>
          <w:sz w:val="24"/>
          <w:szCs w:val="24"/>
          <w:lang w:val="en-US" w:eastAsia="zh-CN"/>
        </w:rPr>
        <w:t>投标</w:t>
      </w:r>
      <w:r>
        <w:rPr>
          <w:rFonts w:hint="default" w:asciiTheme="minorEastAsia" w:hAnsiTheme="minorEastAsia" w:eastAsiaTheme="minorEastAsia" w:cstheme="minorEastAsia"/>
          <w:b w:val="0"/>
          <w:bCs w:val="0"/>
          <w:sz w:val="24"/>
          <w:szCs w:val="24"/>
          <w:lang w:val="en-US" w:eastAsia="zh-CN"/>
        </w:rPr>
        <w:t>报价为完成该项目所有可能发生的一切费用，应包括：人员工资及福利（包括工资、福利、五险一金等）、培训及团建费、</w:t>
      </w:r>
      <w:r>
        <w:rPr>
          <w:rFonts w:hint="eastAsia" w:asciiTheme="minorEastAsia" w:hAnsiTheme="minorEastAsia" w:eastAsiaTheme="minorEastAsia" w:cstheme="minorEastAsia"/>
          <w:b w:val="0"/>
          <w:bCs w:val="0"/>
          <w:sz w:val="24"/>
          <w:szCs w:val="24"/>
          <w:lang w:val="en-US" w:eastAsia="zh-CN"/>
        </w:rPr>
        <w:t>运营经费</w:t>
      </w:r>
      <w:r>
        <w:rPr>
          <w:rFonts w:hint="default" w:asciiTheme="minorEastAsia" w:hAnsiTheme="minorEastAsia" w:eastAsiaTheme="minorEastAsia" w:cstheme="minorEastAsia"/>
          <w:b w:val="0"/>
          <w:bCs w:val="0"/>
          <w:sz w:val="24"/>
          <w:szCs w:val="24"/>
          <w:lang w:val="en-US" w:eastAsia="zh-CN"/>
        </w:rPr>
        <w:t>（包括办公用品、生活用品及保洁费用等）以及其他费用（各种税费、管理费、不可预见费及完成采购内容其他相关费用）</w:t>
      </w:r>
      <w:r>
        <w:rPr>
          <w:rFonts w:hint="eastAsia" w:asciiTheme="minorEastAsia" w:hAnsiTheme="minorEastAsia" w:eastAsiaTheme="minorEastAsia" w:cstheme="minorEastAsia"/>
          <w:b w:val="0"/>
          <w:bCs w:val="0"/>
          <w:sz w:val="24"/>
          <w:szCs w:val="24"/>
          <w:lang w:val="en-US" w:eastAsia="zh-CN"/>
        </w:rPr>
        <w:t>.</w:t>
      </w:r>
      <w:bookmarkStart w:id="3" w:name="_GoBack"/>
      <w:bookmarkEnd w:id="3"/>
    </w:p>
    <w:sectPr>
      <w:pgSz w:w="11906" w:h="16838"/>
      <w:pgMar w:top="1440" w:right="1266" w:bottom="1440" w:left="11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610CB6"/>
    <w:rsid w:val="23610C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0"/>
      <w:szCs w:val="30"/>
    </w:rPr>
  </w:style>
  <w:style w:type="character" w:customStyle="1" w:styleId="5">
    <w:name w:val="font21"/>
    <w:basedOn w:val="4"/>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2026-05-11T08:43:00Z</dcterms:created>
  <dc:creator>hp</dc:creator>
  <cp:lastModifiedBy>hp</cp:lastModifiedBy>
  <dcterms:modified xsi:type="dcterms:W3CDTF">2026-05-11T08:43:53Z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6B4C2CAE38B74298A943A33216CBF6BF_11</vt:lpwstr>
  </property>
  <property fmtid="{D5CDD505-2E9C-101B-9397-08002B2CF9AE}" pid="4" name="KSOTemplateDocerSaveRecord">
    <vt:lpwstr>eyJoZGlkIjoiNTE1N2Y1ZTFmMGJiY2NmNTFmNzkxNzhjZjI4OWFjOWMiLCJ1c2VySWQiOiI0NDIwNjU4NzYifQ==</vt:lpwstr>
  </property>
</Properties>
</file>