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D29FDC">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采购需求</w:t>
      </w:r>
    </w:p>
    <w:p w14:paraId="30C4737F">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p>
    <w:p w14:paraId="271FF470">
      <w:pPr>
        <w:pageBreakBefore w:val="0"/>
        <w:widowControl w:val="0"/>
        <w:wordWrap/>
        <w:overflowPunct/>
        <w:topLinePunct w:val="0"/>
        <w:bidi w:val="0"/>
        <w:spacing w:before="64"/>
        <w:rPr>
          <w:color w:val="auto"/>
          <w:spacing w:val="0"/>
          <w:position w:val="0"/>
        </w:rPr>
      </w:pPr>
    </w:p>
    <w:tbl>
      <w:tblPr>
        <w:tblStyle w:val="7"/>
        <w:tblW w:w="901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09CDD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73" w:hRule="atLeast"/>
          <w:jc w:val="center"/>
        </w:trPr>
        <w:tc>
          <w:tcPr>
            <w:tcW w:w="2048" w:type="dxa"/>
            <w:tcBorders>
              <w:right w:val="nil"/>
            </w:tcBorders>
          </w:tcPr>
          <w:p w14:paraId="40CC35C6">
            <w:pPr>
              <w:pageBreakBefore w:val="0"/>
              <w:widowControl w:val="0"/>
              <w:wordWrap/>
              <w:overflowPunct/>
              <w:topLinePunct w:val="0"/>
              <w:bidi w:val="0"/>
              <w:spacing w:before="183" w:line="223" w:lineRule="auto"/>
              <w:ind w:left="1091" w:firstLine="210" w:firstLineChars="100"/>
              <w:rPr>
                <w:rFonts w:ascii="宋体" w:hAnsi="宋体" w:eastAsia="宋体" w:cs="宋体"/>
                <w:color w:val="auto"/>
                <w:spacing w:val="0"/>
                <w:position w:val="0"/>
                <w:sz w:val="24"/>
                <w:szCs w:val="24"/>
              </w:rPr>
            </w:pPr>
            <w:r>
              <w:rPr>
                <w:color w:val="auto"/>
                <w:spacing w:val="0"/>
                <w:position w:val="0"/>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791970" cy="602615"/>
                  <wp:effectExtent l="0" t="0" r="17780" b="698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91970" cy="602615"/>
                          </a:xfrm>
                          <a:prstGeom prst="rect">
                            <a:avLst/>
                          </a:prstGeom>
                        </pic:spPr>
                      </pic:pic>
                    </a:graphicData>
                  </a:graphic>
                </wp:anchor>
              </w:drawing>
            </w:r>
            <w:r>
              <w:rPr>
                <w:rFonts w:ascii="宋体" w:hAnsi="宋体" w:eastAsia="宋体" w:cs="宋体"/>
                <w:color w:val="auto"/>
                <w:spacing w:val="0"/>
                <w:position w:val="0"/>
                <w:sz w:val="24"/>
                <w:szCs w:val="24"/>
              </w:rPr>
              <w:t>名</w:t>
            </w:r>
          </w:p>
          <w:p w14:paraId="40C5C601">
            <w:pPr>
              <w:pageBreakBefore w:val="0"/>
              <w:widowControl w:val="0"/>
              <w:wordWrap/>
              <w:overflowPunct/>
              <w:topLinePunct w:val="0"/>
              <w:bidi w:val="0"/>
              <w:spacing w:before="78" w:line="219" w:lineRule="auto"/>
              <w:ind w:firstLine="480" w:firstLineChars="200"/>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r>
              <w:rPr>
                <w:rFonts w:hint="eastAsia" w:ascii="宋体" w:hAnsi="宋体" w:eastAsia="宋体" w:cs="宋体"/>
                <w:color w:val="auto"/>
                <w:spacing w:val="0"/>
                <w:position w:val="0"/>
                <w:sz w:val="24"/>
                <w:szCs w:val="24"/>
                <w:lang w:val="en-US" w:eastAsia="zh-CN"/>
              </w:rPr>
              <w:t xml:space="preserve">   </w:t>
            </w:r>
            <w:r>
              <w:rPr>
                <w:rFonts w:ascii="宋体" w:hAnsi="宋体" w:eastAsia="宋体" w:cs="宋体"/>
                <w:color w:val="auto"/>
                <w:spacing w:val="0"/>
                <w:position w:val="0"/>
                <w:sz w:val="24"/>
                <w:szCs w:val="24"/>
              </w:rPr>
              <w:t>容</w:t>
            </w:r>
          </w:p>
        </w:tc>
        <w:tc>
          <w:tcPr>
            <w:tcW w:w="817" w:type="dxa"/>
            <w:tcBorders>
              <w:left w:val="nil"/>
            </w:tcBorders>
          </w:tcPr>
          <w:p w14:paraId="5E79871F">
            <w:pPr>
              <w:pageBreakBefore w:val="0"/>
              <w:widowControl w:val="0"/>
              <w:wordWrap/>
              <w:overflowPunct/>
              <w:topLinePunct w:val="0"/>
              <w:bidi w:val="0"/>
              <w:spacing w:before="0" w:beforeLines="70" w:beforeAutospacing="0" w:after="0" w:afterLines="70" w:afterAutospacing="0" w:line="221" w:lineRule="auto"/>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vAlign w:val="center"/>
          </w:tcPr>
          <w:p w14:paraId="5FBD25A3">
            <w:pPr>
              <w:pageBreakBefore w:val="0"/>
              <w:widowControl w:val="0"/>
              <w:wordWrap/>
              <w:overflowPunct/>
              <w:topLinePunct w:val="0"/>
              <w:bidi w:val="0"/>
              <w:spacing w:before="253" w:line="219" w:lineRule="auto"/>
              <w:jc w:val="center"/>
              <w:rPr>
                <w:rFonts w:hint="default"/>
                <w:color w:val="auto"/>
                <w:spacing w:val="0"/>
                <w:position w:val="0"/>
                <w:lang w:val="en-US"/>
              </w:rPr>
            </w:pPr>
            <w:r>
              <w:rPr>
                <w:rFonts w:hint="eastAsia" w:ascii="宋体" w:hAnsi="宋体" w:eastAsia="宋体" w:cs="宋体"/>
                <w:color w:val="auto"/>
                <w:spacing w:val="0"/>
                <w:position w:val="0"/>
                <w:sz w:val="24"/>
                <w:szCs w:val="24"/>
                <w:lang w:val="en-US" w:eastAsia="zh-CN"/>
              </w:rPr>
              <w:t>万载县2025年绿色种养循环农业试点项目粪肥堆沤还田第三方社会化服务采购项目（第一包）</w:t>
            </w:r>
          </w:p>
        </w:tc>
      </w:tr>
      <w:tr w14:paraId="73E3AA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jc w:val="center"/>
        </w:trPr>
        <w:tc>
          <w:tcPr>
            <w:tcW w:w="2865" w:type="dxa"/>
            <w:gridSpan w:val="2"/>
          </w:tcPr>
          <w:p w14:paraId="5C13A849">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数量</w:t>
            </w:r>
          </w:p>
        </w:tc>
        <w:tc>
          <w:tcPr>
            <w:tcW w:w="6150" w:type="dxa"/>
            <w:vAlign w:val="center"/>
          </w:tcPr>
          <w:p w14:paraId="322177CD">
            <w:pPr>
              <w:pageBreakBefore w:val="0"/>
              <w:widowControl w:val="0"/>
              <w:wordWrap/>
              <w:overflowPunct/>
              <w:topLinePunct w:val="0"/>
              <w:bidi w:val="0"/>
              <w:spacing w:before="253" w:line="219" w:lineRule="auto"/>
              <w:jc w:val="center"/>
              <w:rPr>
                <w:rFonts w:hint="default" w:eastAsia="宋体"/>
                <w:color w:val="auto"/>
                <w:spacing w:val="0"/>
                <w:position w:val="0"/>
                <w:lang w:val="en-US" w:eastAsia="zh-CN"/>
              </w:rPr>
            </w:pPr>
            <w:r>
              <w:rPr>
                <w:rFonts w:hint="eastAsia" w:ascii="宋体" w:hAnsi="宋体" w:eastAsia="宋体" w:cs="宋体"/>
                <w:color w:val="auto"/>
                <w:spacing w:val="0"/>
                <w:position w:val="0"/>
                <w:sz w:val="24"/>
                <w:szCs w:val="24"/>
                <w:lang w:val="en-US" w:eastAsia="zh-CN"/>
              </w:rPr>
              <w:t>1项</w:t>
            </w:r>
          </w:p>
        </w:tc>
      </w:tr>
      <w:tr w14:paraId="6CCFB6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jc w:val="center"/>
        </w:trPr>
        <w:tc>
          <w:tcPr>
            <w:tcW w:w="2865" w:type="dxa"/>
            <w:gridSpan w:val="2"/>
            <w:vAlign w:val="center"/>
          </w:tcPr>
          <w:p w14:paraId="7AC8DB41">
            <w:pPr>
              <w:pageBreakBefore w:val="0"/>
              <w:widowControl w:val="0"/>
              <w:wordWrap/>
              <w:overflowPunct/>
              <w:topLinePunct w:val="0"/>
              <w:bidi w:val="0"/>
              <w:spacing w:before="253" w:line="219" w:lineRule="auto"/>
              <w:ind w:left="1071"/>
              <w:jc w:val="both"/>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期</w:t>
            </w:r>
          </w:p>
        </w:tc>
        <w:tc>
          <w:tcPr>
            <w:tcW w:w="6150" w:type="dxa"/>
            <w:vAlign w:val="center"/>
          </w:tcPr>
          <w:p w14:paraId="1007F33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eastAsia="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eastAsia="zh-CN"/>
              </w:rPr>
              <w:t>2026年</w:t>
            </w:r>
            <w:r>
              <w:rPr>
                <w:rFonts w:hint="eastAsia" w:ascii="宋体" w:hAnsi="宋体" w:eastAsia="宋体" w:cs="宋体"/>
                <w:color w:val="auto"/>
                <w:spacing w:val="0"/>
                <w:position w:val="0"/>
                <w:sz w:val="24"/>
                <w:szCs w:val="24"/>
                <w:highlight w:val="none"/>
                <w:lang w:val="en-US" w:eastAsia="zh-CN"/>
              </w:rPr>
              <w:t>12</w:t>
            </w:r>
            <w:r>
              <w:rPr>
                <w:rFonts w:hint="eastAsia" w:ascii="宋体" w:hAnsi="宋体" w:eastAsia="宋体" w:cs="宋体"/>
                <w:color w:val="auto"/>
                <w:spacing w:val="0"/>
                <w:position w:val="0"/>
                <w:sz w:val="24"/>
                <w:szCs w:val="24"/>
                <w:highlight w:val="none"/>
                <w:lang w:eastAsia="zh-CN"/>
              </w:rPr>
              <w:t>月底前完成，具体时间按甲方提供的实施方案执行。</w:t>
            </w:r>
          </w:p>
        </w:tc>
      </w:tr>
      <w:tr w14:paraId="43555B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3" w:hRule="atLeast"/>
          <w:jc w:val="center"/>
        </w:trPr>
        <w:tc>
          <w:tcPr>
            <w:tcW w:w="2865" w:type="dxa"/>
            <w:gridSpan w:val="2"/>
          </w:tcPr>
          <w:p w14:paraId="012361A0">
            <w:pPr>
              <w:pageBreakBefore w:val="0"/>
              <w:widowControl w:val="0"/>
              <w:wordWrap/>
              <w:overflowPunct/>
              <w:topLinePunct w:val="0"/>
              <w:bidi w:val="0"/>
              <w:spacing w:before="253" w:line="219" w:lineRule="auto"/>
              <w:ind w:left="1071"/>
              <w:jc w:val="both"/>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服务地点</w:t>
            </w:r>
          </w:p>
        </w:tc>
        <w:tc>
          <w:tcPr>
            <w:tcW w:w="6150" w:type="dxa"/>
            <w:vAlign w:val="center"/>
          </w:tcPr>
          <w:p w14:paraId="45F4F92B">
            <w:pPr>
              <w:pageBreakBefore w:val="0"/>
              <w:widowControl w:val="0"/>
              <w:wordWrap/>
              <w:overflowPunct/>
              <w:topLinePunct w:val="0"/>
              <w:bidi w:val="0"/>
              <w:spacing w:before="253" w:line="219" w:lineRule="auto"/>
              <w:ind w:left="1071" w:firstLine="1200" w:firstLineChars="500"/>
              <w:jc w:val="both"/>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采购人指定地点</w:t>
            </w:r>
          </w:p>
        </w:tc>
      </w:tr>
    </w:tbl>
    <w:p w14:paraId="77A1373E">
      <w:pPr>
        <w:pageBreakBefore w:val="0"/>
        <w:widowControl w:val="0"/>
        <w:wordWrap/>
        <w:overflowPunct/>
        <w:topLinePunct w:val="0"/>
        <w:bidi w:val="0"/>
        <w:rPr>
          <w:color w:val="auto"/>
          <w:spacing w:val="0"/>
          <w:position w:val="0"/>
        </w:rPr>
      </w:pPr>
    </w:p>
    <w:tbl>
      <w:tblPr>
        <w:tblStyle w:val="5"/>
        <w:tblW w:w="0" w:type="auto"/>
        <w:tblInd w:w="5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6"/>
        <w:gridCol w:w="1829"/>
        <w:gridCol w:w="1579"/>
        <w:gridCol w:w="1814"/>
        <w:gridCol w:w="2045"/>
      </w:tblGrid>
      <w:tr w14:paraId="16317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1" w:type="dxa"/>
          </w:tcPr>
          <w:p w14:paraId="5CDEF90D">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bookmarkStart w:id="0" w:name="bookmark81"/>
            <w:bookmarkEnd w:id="0"/>
            <w:r>
              <w:rPr>
                <w:rFonts w:hint="eastAsia" w:ascii="宋体" w:hAnsi="宋体" w:eastAsia="宋体" w:cs="宋体"/>
                <w:color w:val="auto"/>
                <w:spacing w:val="0"/>
                <w:position w:val="0"/>
                <w:sz w:val="24"/>
                <w:szCs w:val="24"/>
                <w:lang w:val="en-US" w:eastAsia="zh-CN"/>
              </w:rPr>
              <w:t>序号</w:t>
            </w:r>
          </w:p>
        </w:tc>
        <w:tc>
          <w:tcPr>
            <w:tcW w:w="2204" w:type="dxa"/>
          </w:tcPr>
          <w:p w14:paraId="65406B3C">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项目内容</w:t>
            </w:r>
          </w:p>
        </w:tc>
        <w:tc>
          <w:tcPr>
            <w:tcW w:w="1754" w:type="dxa"/>
          </w:tcPr>
          <w:p w14:paraId="1D681488">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面积（亩）</w:t>
            </w:r>
          </w:p>
        </w:tc>
        <w:tc>
          <w:tcPr>
            <w:tcW w:w="2054" w:type="dxa"/>
          </w:tcPr>
          <w:p w14:paraId="18CE1158">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每亩施撒数量</w:t>
            </w:r>
          </w:p>
        </w:tc>
        <w:tc>
          <w:tcPr>
            <w:tcW w:w="2250" w:type="dxa"/>
          </w:tcPr>
          <w:p w14:paraId="4F18D429">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预算金额（元）</w:t>
            </w:r>
          </w:p>
        </w:tc>
      </w:tr>
      <w:tr w14:paraId="63467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1" w:type="dxa"/>
          </w:tcPr>
          <w:p w14:paraId="6563EE8B">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204" w:type="dxa"/>
          </w:tcPr>
          <w:p w14:paraId="105E4406">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粪肥堆沤还田</w:t>
            </w:r>
          </w:p>
        </w:tc>
        <w:tc>
          <w:tcPr>
            <w:tcW w:w="1754" w:type="dxa"/>
          </w:tcPr>
          <w:p w14:paraId="3594556F">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4425.5</w:t>
            </w:r>
          </w:p>
        </w:tc>
        <w:tc>
          <w:tcPr>
            <w:tcW w:w="2054" w:type="dxa"/>
          </w:tcPr>
          <w:p w14:paraId="107A086A">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180KG/亩</w:t>
            </w:r>
          </w:p>
        </w:tc>
        <w:tc>
          <w:tcPr>
            <w:tcW w:w="2250" w:type="dxa"/>
          </w:tcPr>
          <w:p w14:paraId="0419DCE4">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398295.00</w:t>
            </w:r>
          </w:p>
        </w:tc>
      </w:tr>
    </w:tbl>
    <w:p w14:paraId="44D287F9"/>
    <w:tbl>
      <w:tblPr>
        <w:tblStyle w:val="5"/>
        <w:tblW w:w="0" w:type="auto"/>
        <w:tblInd w:w="56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5"/>
        <w:gridCol w:w="5195"/>
        <w:gridCol w:w="2058"/>
      </w:tblGrid>
      <w:tr w14:paraId="53A7D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750" w:type="dxa"/>
            <w:noWrap w:val="0"/>
            <w:vAlign w:val="center"/>
          </w:tcPr>
          <w:p w14:paraId="001FB88C">
            <w:pPr>
              <w:widowControl w:val="0"/>
              <w:jc w:val="center"/>
              <w:rPr>
                <w:rFonts w:hint="eastAsia" w:ascii="黑体" w:hAnsi="黑体" w:eastAsia="黑体" w:cs="黑体"/>
                <w:sz w:val="24"/>
              </w:rPr>
            </w:pPr>
            <w:r>
              <w:rPr>
                <w:rFonts w:hint="eastAsia" w:ascii="黑体" w:hAnsi="黑体" w:eastAsia="黑体" w:cs="黑体"/>
                <w:sz w:val="24"/>
              </w:rPr>
              <w:t>片区</w:t>
            </w:r>
          </w:p>
        </w:tc>
        <w:tc>
          <w:tcPr>
            <w:tcW w:w="6013" w:type="dxa"/>
            <w:noWrap w:val="0"/>
            <w:vAlign w:val="center"/>
          </w:tcPr>
          <w:p w14:paraId="31FF1021">
            <w:pPr>
              <w:widowControl w:val="0"/>
              <w:jc w:val="center"/>
              <w:rPr>
                <w:rFonts w:hint="eastAsia" w:ascii="黑体" w:hAnsi="黑体" w:eastAsia="黑体" w:cs="黑体"/>
                <w:sz w:val="24"/>
              </w:rPr>
            </w:pPr>
            <w:r>
              <w:rPr>
                <w:rFonts w:hint="eastAsia" w:ascii="黑体" w:hAnsi="黑体" w:eastAsia="黑体" w:cs="黑体"/>
                <w:sz w:val="24"/>
              </w:rPr>
              <w:t>乡镇</w:t>
            </w:r>
          </w:p>
          <w:p w14:paraId="4E38C995">
            <w:pPr>
              <w:widowControl w:val="0"/>
              <w:jc w:val="center"/>
              <w:rPr>
                <w:rFonts w:hint="eastAsia" w:ascii="黑体" w:hAnsi="黑体" w:eastAsia="黑体" w:cs="黑体"/>
                <w:sz w:val="24"/>
              </w:rPr>
            </w:pPr>
            <w:r>
              <w:rPr>
                <w:rFonts w:hint="eastAsia" w:ascii="黑体" w:hAnsi="黑体" w:eastAsia="黑体" w:cs="黑体"/>
                <w:sz w:val="24"/>
              </w:rPr>
              <w:t>（街道）</w:t>
            </w:r>
          </w:p>
        </w:tc>
        <w:tc>
          <w:tcPr>
            <w:tcW w:w="2262" w:type="dxa"/>
            <w:noWrap w:val="0"/>
            <w:vAlign w:val="center"/>
          </w:tcPr>
          <w:p w14:paraId="63632E51">
            <w:pPr>
              <w:widowControl w:val="0"/>
              <w:jc w:val="center"/>
              <w:rPr>
                <w:rFonts w:hint="eastAsia" w:ascii="黑体" w:hAnsi="黑体" w:eastAsia="黑体" w:cs="黑体"/>
                <w:sz w:val="24"/>
              </w:rPr>
            </w:pPr>
            <w:r>
              <w:rPr>
                <w:rFonts w:hint="eastAsia" w:ascii="黑体" w:hAnsi="黑体" w:eastAsia="黑体" w:cs="黑体"/>
                <w:sz w:val="24"/>
              </w:rPr>
              <w:t>粪肥堆沤还田</w:t>
            </w:r>
          </w:p>
          <w:p w14:paraId="42D0BD8B">
            <w:pPr>
              <w:widowControl w:val="0"/>
              <w:jc w:val="center"/>
              <w:rPr>
                <w:rFonts w:hint="eastAsia" w:ascii="黑体" w:hAnsi="黑体" w:eastAsia="黑体" w:cs="黑体"/>
                <w:sz w:val="24"/>
              </w:rPr>
            </w:pPr>
            <w:r>
              <w:rPr>
                <w:rFonts w:hint="eastAsia" w:ascii="黑体" w:hAnsi="黑体" w:eastAsia="黑体" w:cs="黑体"/>
                <w:sz w:val="24"/>
              </w:rPr>
              <w:t>指导面积（亩）</w:t>
            </w:r>
          </w:p>
        </w:tc>
      </w:tr>
      <w:tr w14:paraId="4D4EB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trPr>
        <w:tc>
          <w:tcPr>
            <w:tcW w:w="750" w:type="dxa"/>
            <w:noWrap w:val="0"/>
            <w:vAlign w:val="center"/>
          </w:tcPr>
          <w:p w14:paraId="104C2152">
            <w:pPr>
              <w:widowControl w:val="0"/>
              <w:jc w:val="center"/>
              <w:rPr>
                <w:rFonts w:hint="eastAsia" w:ascii="黑体" w:hAnsi="黑体" w:eastAsia="黑体" w:cs="黑体"/>
                <w:sz w:val="24"/>
              </w:rPr>
            </w:pPr>
            <w:r>
              <w:rPr>
                <w:rFonts w:hint="eastAsia" w:ascii="黑体" w:hAnsi="黑体" w:eastAsia="黑体" w:cs="黑体"/>
                <w:sz w:val="24"/>
              </w:rPr>
              <w:t>东线片</w:t>
            </w:r>
          </w:p>
        </w:tc>
        <w:tc>
          <w:tcPr>
            <w:tcW w:w="6013" w:type="dxa"/>
            <w:noWrap w:val="0"/>
            <w:vAlign w:val="center"/>
          </w:tcPr>
          <w:p w14:paraId="505CC948">
            <w:pPr>
              <w:widowControl w:val="0"/>
              <w:jc w:val="center"/>
              <w:rPr>
                <w:rFonts w:hint="eastAsia" w:ascii="黑体" w:hAnsi="黑体" w:eastAsia="黑体" w:cs="黑体"/>
                <w:sz w:val="24"/>
                <w:lang w:val="en-US" w:eastAsia="zh-CN"/>
              </w:rPr>
            </w:pPr>
            <w:r>
              <w:rPr>
                <w:rFonts w:hint="eastAsia" w:ascii="黑体" w:hAnsi="黑体" w:eastAsia="黑体" w:cs="黑体"/>
                <w:sz w:val="24"/>
              </w:rPr>
              <w:t>康乐</w:t>
            </w:r>
            <w:r>
              <w:rPr>
                <w:rFonts w:hint="eastAsia" w:ascii="黑体" w:hAnsi="黑体" w:eastAsia="黑体" w:cs="黑体"/>
                <w:sz w:val="24"/>
                <w:lang w:eastAsia="zh-CN"/>
              </w:rPr>
              <w:t>、</w:t>
            </w:r>
            <w:r>
              <w:rPr>
                <w:rFonts w:hint="eastAsia" w:ascii="黑体" w:hAnsi="黑体" w:eastAsia="黑体" w:cs="黑体"/>
                <w:sz w:val="24"/>
              </w:rPr>
              <w:t>鹅峰</w:t>
            </w:r>
            <w:r>
              <w:rPr>
                <w:rFonts w:hint="eastAsia" w:ascii="黑体" w:hAnsi="黑体" w:eastAsia="黑体" w:cs="黑体"/>
                <w:sz w:val="24"/>
                <w:lang w:eastAsia="zh-CN"/>
              </w:rPr>
              <w:t>、</w:t>
            </w:r>
            <w:r>
              <w:rPr>
                <w:rFonts w:hint="eastAsia" w:ascii="黑体" w:hAnsi="黑体" w:eastAsia="黑体" w:cs="黑体"/>
                <w:sz w:val="24"/>
              </w:rPr>
              <w:t>三兴</w:t>
            </w:r>
            <w:r>
              <w:rPr>
                <w:rFonts w:hint="eastAsia" w:ascii="黑体" w:hAnsi="黑体" w:eastAsia="黑体" w:cs="黑体"/>
                <w:sz w:val="24"/>
                <w:lang w:eastAsia="zh-CN"/>
              </w:rPr>
              <w:t>、</w:t>
            </w:r>
            <w:r>
              <w:rPr>
                <w:rFonts w:hint="eastAsia" w:ascii="黑体" w:hAnsi="黑体" w:eastAsia="黑体" w:cs="黑体"/>
                <w:sz w:val="24"/>
              </w:rPr>
              <w:t>白良</w:t>
            </w:r>
            <w:r>
              <w:rPr>
                <w:rFonts w:hint="eastAsia" w:ascii="黑体" w:hAnsi="黑体" w:eastAsia="黑体" w:cs="黑体"/>
                <w:sz w:val="24"/>
                <w:lang w:eastAsia="zh-CN"/>
              </w:rPr>
              <w:t>、</w:t>
            </w:r>
            <w:r>
              <w:rPr>
                <w:rFonts w:hint="eastAsia" w:ascii="黑体" w:hAnsi="黑体" w:eastAsia="黑体" w:cs="黑体"/>
                <w:sz w:val="24"/>
              </w:rPr>
              <w:t>罗城</w:t>
            </w:r>
            <w:r>
              <w:rPr>
                <w:rFonts w:hint="eastAsia" w:ascii="黑体" w:hAnsi="黑体" w:eastAsia="黑体" w:cs="黑体"/>
                <w:sz w:val="24"/>
                <w:lang w:eastAsia="zh-CN"/>
              </w:rPr>
              <w:t>、</w:t>
            </w:r>
            <w:r>
              <w:rPr>
                <w:rFonts w:hint="eastAsia" w:ascii="黑体" w:hAnsi="黑体" w:eastAsia="黑体" w:cs="黑体"/>
                <w:sz w:val="24"/>
              </w:rPr>
              <w:t>高村</w:t>
            </w:r>
            <w:r>
              <w:rPr>
                <w:rFonts w:hint="eastAsia" w:ascii="黑体" w:hAnsi="黑体" w:eastAsia="黑体" w:cs="黑体"/>
                <w:sz w:val="24"/>
                <w:lang w:eastAsia="zh-CN"/>
              </w:rPr>
              <w:t>、</w:t>
            </w:r>
            <w:r>
              <w:rPr>
                <w:rFonts w:hint="eastAsia" w:ascii="黑体" w:hAnsi="黑体" w:eastAsia="黑体" w:cs="黑体"/>
                <w:sz w:val="24"/>
              </w:rPr>
              <w:t>茭湖</w:t>
            </w:r>
            <w:r>
              <w:rPr>
                <w:rFonts w:hint="eastAsia" w:ascii="黑体" w:hAnsi="黑体" w:eastAsia="黑体" w:cs="黑体"/>
                <w:sz w:val="24"/>
                <w:lang w:eastAsia="zh-CN"/>
              </w:rPr>
              <w:t>、</w:t>
            </w:r>
            <w:r>
              <w:rPr>
                <w:rFonts w:hint="eastAsia" w:ascii="黑体" w:hAnsi="黑体" w:eastAsia="黑体" w:cs="黑体"/>
                <w:sz w:val="24"/>
              </w:rPr>
              <w:t>仙源</w:t>
            </w:r>
            <w:r>
              <w:rPr>
                <w:rFonts w:hint="eastAsia" w:ascii="黑体" w:hAnsi="黑体" w:eastAsia="黑体" w:cs="黑体"/>
                <w:sz w:val="24"/>
                <w:lang w:eastAsia="zh-CN"/>
              </w:rPr>
              <w:t>、</w:t>
            </w:r>
            <w:r>
              <w:rPr>
                <w:rFonts w:hint="eastAsia" w:ascii="黑体" w:hAnsi="黑体" w:eastAsia="黑体" w:cs="黑体"/>
                <w:sz w:val="24"/>
                <w:lang w:val="en-US" w:eastAsia="zh-CN"/>
              </w:rPr>
              <w:t>马步</w:t>
            </w:r>
          </w:p>
        </w:tc>
        <w:tc>
          <w:tcPr>
            <w:tcW w:w="2262" w:type="dxa"/>
            <w:noWrap w:val="0"/>
            <w:vAlign w:val="center"/>
          </w:tcPr>
          <w:p w14:paraId="2E74838C">
            <w:pPr>
              <w:widowControl w:val="0"/>
              <w:jc w:val="center"/>
              <w:rPr>
                <w:rFonts w:hint="eastAsia" w:ascii="黑体" w:hAnsi="黑体" w:eastAsia="黑体" w:cs="黑体"/>
                <w:sz w:val="24"/>
                <w:lang w:val="en-US" w:eastAsia="zh-CN"/>
              </w:rPr>
            </w:pPr>
          </w:p>
          <w:p w14:paraId="6E399D9B">
            <w:pPr>
              <w:widowControl w:val="0"/>
              <w:jc w:val="center"/>
              <w:rPr>
                <w:rFonts w:hint="default" w:ascii="黑体" w:hAnsi="黑体" w:eastAsia="黑体" w:cs="黑体"/>
                <w:sz w:val="24"/>
                <w:lang w:val="en-US" w:eastAsia="zh-CN"/>
              </w:rPr>
            </w:pPr>
            <w:r>
              <w:rPr>
                <w:rFonts w:hint="eastAsia" w:ascii="黑体" w:hAnsi="黑体" w:eastAsia="黑体" w:cs="黑体"/>
                <w:sz w:val="24"/>
                <w:lang w:val="en-US" w:eastAsia="zh-CN"/>
              </w:rPr>
              <w:t>4425.5</w:t>
            </w:r>
          </w:p>
        </w:tc>
      </w:tr>
    </w:tbl>
    <w:p w14:paraId="3D76AA65">
      <w:pPr>
        <w:pageBreakBefore w:val="0"/>
        <w:widowControl w:val="0"/>
        <w:wordWrap/>
        <w:overflowPunct/>
        <w:topLinePunct w:val="0"/>
        <w:bidi w:val="0"/>
        <w:spacing w:before="47" w:after="0" w:afterLines="100" w:afterAutospacing="0" w:line="219" w:lineRule="auto"/>
        <w:jc w:val="both"/>
        <w:outlineLvl w:val="1"/>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pPr>
    </w:p>
    <w:p w14:paraId="249375F1">
      <w:pPr>
        <w:pageBreakBefore w:val="0"/>
        <w:widowControl w:val="0"/>
        <w:wordWrap/>
        <w:overflowPunct/>
        <w:topLinePunct w:val="0"/>
        <w:bidi w:val="0"/>
        <w:spacing w:before="47" w:after="0" w:afterLines="100" w:afterAutospacing="0" w:line="219" w:lineRule="auto"/>
        <w:jc w:val="both"/>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28FDB9CF">
      <w:pPr>
        <w:snapToGrid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1、粪肥堆沤还田所需的主要原材料应就地就近消纳本县区域内的养殖粪污资源， 并以其为主要原料完成粪污收集、堆沤腐熟、运输和撒施还田等全流程社会化服务。</w:t>
      </w:r>
    </w:p>
    <w:p w14:paraId="75B4EA14">
      <w:pPr>
        <w:snapToGrid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2、粪肥堆沤还田推广技术模式：“养殖场+有机肥厂+服务主体+基地”模式。将固态畜禽粪污通过有机肥厂添加秸秆等辅料和集中堆沤腐熟处理转化为质量达标的堆沤肥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服务主体通过分散铲运，利用拖拉机挂斗旋转泼撒至接受主体基地。</w:t>
      </w:r>
    </w:p>
    <w:p w14:paraId="13CB7A9E">
      <w:pPr>
        <w:snapToGrid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3、粪肥堆沤还田前必须按照《畜禽粪便无害化处理技术规范》（GB/T 36195）进行无害化处理和腐熟堆沤。</w:t>
      </w:r>
    </w:p>
    <w:p w14:paraId="2DD6C483">
      <w:pPr>
        <w:snapToGrid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4、还田施用时的堆沤肥应符合《畜禽粪便堆肥技术规范》 (NY/T3442-2019)要求。</w:t>
      </w:r>
    </w:p>
    <w:tbl>
      <w:tblPr>
        <w:tblStyle w:val="7"/>
        <w:tblW w:w="7629" w:type="dxa"/>
        <w:tblInd w:w="51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7"/>
        <w:gridCol w:w="2412"/>
      </w:tblGrid>
      <w:tr w14:paraId="403016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6" w:hRule="atLeast"/>
        </w:trPr>
        <w:tc>
          <w:tcPr>
            <w:tcW w:w="5217" w:type="dxa"/>
            <w:vAlign w:val="center"/>
          </w:tcPr>
          <w:p w14:paraId="6B011025">
            <w:pPr>
              <w:snapToGrid w:val="0"/>
              <w:spacing w:line="360" w:lineRule="auto"/>
              <w:ind w:firstLine="480" w:firstLineChars="20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项目名称</w:t>
            </w:r>
          </w:p>
        </w:tc>
        <w:tc>
          <w:tcPr>
            <w:tcW w:w="2412" w:type="dxa"/>
            <w:vAlign w:val="center"/>
          </w:tcPr>
          <w:p w14:paraId="5E086473">
            <w:pPr>
              <w:snapToGrid w:val="0"/>
              <w:spacing w:line="360" w:lineRule="auto"/>
              <w:ind w:firstLine="720" w:firstLineChars="3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技术指标</w:t>
            </w:r>
          </w:p>
        </w:tc>
      </w:tr>
      <w:tr w14:paraId="6EFD1A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5217" w:type="dxa"/>
            <w:vAlign w:val="top"/>
          </w:tcPr>
          <w:p w14:paraId="5B6B720A">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有机质的质量分数（以烘干基计），%</w:t>
            </w:r>
          </w:p>
        </w:tc>
        <w:tc>
          <w:tcPr>
            <w:tcW w:w="2412" w:type="dxa"/>
            <w:vAlign w:val="top"/>
          </w:tcPr>
          <w:p w14:paraId="1D97D1CF">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≥30</w:t>
            </w:r>
          </w:p>
        </w:tc>
      </w:tr>
      <w:tr w14:paraId="21D0FA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trPr>
        <w:tc>
          <w:tcPr>
            <w:tcW w:w="5217" w:type="dxa"/>
            <w:vAlign w:val="top"/>
          </w:tcPr>
          <w:p w14:paraId="6FF68308">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水分（鲜样）的质量分数，%</w:t>
            </w:r>
          </w:p>
        </w:tc>
        <w:tc>
          <w:tcPr>
            <w:tcW w:w="2412" w:type="dxa"/>
            <w:vAlign w:val="top"/>
          </w:tcPr>
          <w:p w14:paraId="47CE0DC6">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≤45</w:t>
            </w:r>
          </w:p>
        </w:tc>
      </w:tr>
      <w:tr w14:paraId="2572E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5217" w:type="dxa"/>
            <w:vAlign w:val="top"/>
          </w:tcPr>
          <w:p w14:paraId="0B0008EF">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种子发芽指数（GI），%</w:t>
            </w:r>
          </w:p>
        </w:tc>
        <w:tc>
          <w:tcPr>
            <w:tcW w:w="2412" w:type="dxa"/>
            <w:vAlign w:val="top"/>
          </w:tcPr>
          <w:p w14:paraId="320A265D">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≥70</w:t>
            </w:r>
          </w:p>
        </w:tc>
      </w:tr>
      <w:tr w14:paraId="1F2FA2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5217" w:type="dxa"/>
            <w:vAlign w:val="top"/>
          </w:tcPr>
          <w:p w14:paraId="4BD00964">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粪大肠菌群数，个/g</w:t>
            </w:r>
          </w:p>
        </w:tc>
        <w:tc>
          <w:tcPr>
            <w:tcW w:w="2412" w:type="dxa"/>
            <w:vAlign w:val="top"/>
          </w:tcPr>
          <w:p w14:paraId="3C13702B">
            <w:pPr>
              <w:snapToGrid w:val="0"/>
              <w:spacing w:line="360" w:lineRule="auto"/>
              <w:ind w:firstLine="480" w:firstLineChars="200"/>
              <w:jc w:val="both"/>
              <w:rPr>
                <w:rFonts w:hint="eastAsia" w:ascii="宋体" w:hAnsi="宋体" w:eastAsia="宋体" w:cs="宋体"/>
                <w:color w:val="auto"/>
                <w:sz w:val="24"/>
                <w:szCs w:val="24"/>
                <w:highlight w:val="none"/>
              </w:rPr>
            </w:pPr>
            <w:bookmarkStart w:id="1" w:name="_GoBack"/>
            <w:r>
              <w:rPr>
                <w:rFonts w:hint="eastAsia" w:ascii="宋体" w:hAnsi="宋体" w:eastAsia="宋体" w:cs="宋体"/>
                <w:color w:val="auto"/>
                <w:sz w:val="24"/>
                <w:szCs w:val="24"/>
                <w:highlight w:val="none"/>
              </w:rPr>
              <w:t>≤100</w:t>
            </w:r>
          </w:p>
          <w:bookmarkEnd w:id="1"/>
        </w:tc>
      </w:tr>
      <w:tr w14:paraId="172D54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5217" w:type="dxa"/>
            <w:vAlign w:val="top"/>
          </w:tcPr>
          <w:p w14:paraId="10F45603">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蛔虫卵死亡率，%</w:t>
            </w:r>
          </w:p>
        </w:tc>
        <w:tc>
          <w:tcPr>
            <w:tcW w:w="2412" w:type="dxa"/>
            <w:vAlign w:val="top"/>
          </w:tcPr>
          <w:p w14:paraId="2C4C56A6">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≥95</w:t>
            </w:r>
          </w:p>
        </w:tc>
      </w:tr>
      <w:tr w14:paraId="1B6D30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217" w:type="dxa"/>
            <w:vAlign w:val="top"/>
          </w:tcPr>
          <w:p w14:paraId="1AFB4737">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总砷（As）（以烘干基计）</w:t>
            </w:r>
          </w:p>
        </w:tc>
        <w:tc>
          <w:tcPr>
            <w:tcW w:w="2412" w:type="dxa"/>
            <w:vAlign w:val="top"/>
          </w:tcPr>
          <w:p w14:paraId="790876CA">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15mg/kg</w:t>
            </w:r>
          </w:p>
        </w:tc>
      </w:tr>
      <w:tr w14:paraId="054AD5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217" w:type="dxa"/>
            <w:vAlign w:val="top"/>
          </w:tcPr>
          <w:p w14:paraId="4C4F22A9">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总镉（Cd）（以烘干基计）</w:t>
            </w:r>
          </w:p>
        </w:tc>
        <w:tc>
          <w:tcPr>
            <w:tcW w:w="2412" w:type="dxa"/>
            <w:vAlign w:val="top"/>
          </w:tcPr>
          <w:p w14:paraId="76E021EF">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3mg/kg</w:t>
            </w:r>
          </w:p>
        </w:tc>
      </w:tr>
      <w:tr w14:paraId="4347F7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217" w:type="dxa"/>
            <w:vAlign w:val="top"/>
          </w:tcPr>
          <w:p w14:paraId="5A29E34B">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总铅（Pb）（以烘干基计）</w:t>
            </w:r>
          </w:p>
        </w:tc>
        <w:tc>
          <w:tcPr>
            <w:tcW w:w="2412" w:type="dxa"/>
            <w:vAlign w:val="top"/>
          </w:tcPr>
          <w:p w14:paraId="618B1D08">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50mg/kg</w:t>
            </w:r>
          </w:p>
        </w:tc>
      </w:tr>
      <w:tr w14:paraId="61C57C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217" w:type="dxa"/>
            <w:vAlign w:val="top"/>
          </w:tcPr>
          <w:p w14:paraId="367B9A9E">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总铬（Cr）（以烘干基计）</w:t>
            </w:r>
          </w:p>
        </w:tc>
        <w:tc>
          <w:tcPr>
            <w:tcW w:w="2412" w:type="dxa"/>
            <w:vAlign w:val="top"/>
          </w:tcPr>
          <w:p w14:paraId="1F683402">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150mg/kg</w:t>
            </w:r>
          </w:p>
        </w:tc>
      </w:tr>
      <w:tr w14:paraId="0C1D6B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1" w:hRule="atLeast"/>
        </w:trPr>
        <w:tc>
          <w:tcPr>
            <w:tcW w:w="5217" w:type="dxa"/>
            <w:vAlign w:val="top"/>
          </w:tcPr>
          <w:p w14:paraId="59BD785E">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总汞（Hg）（以烘干基计）</w:t>
            </w:r>
          </w:p>
        </w:tc>
        <w:tc>
          <w:tcPr>
            <w:tcW w:w="2412" w:type="dxa"/>
            <w:vAlign w:val="top"/>
          </w:tcPr>
          <w:p w14:paraId="112C715E">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2mg/kg</w:t>
            </w:r>
          </w:p>
        </w:tc>
      </w:tr>
    </w:tbl>
    <w:p w14:paraId="0B7D3AB7">
      <w:pPr>
        <w:snapToGrid w:val="0"/>
        <w:spacing w:line="360" w:lineRule="auto"/>
        <w:ind w:firstLine="482" w:firstLineChars="200"/>
        <w:jc w:val="lef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注：以上技术服务为本项目基本技术要求，须全部满足或优于，否则视为无效投标文件。</w:t>
      </w:r>
    </w:p>
    <w:p w14:paraId="2F8CC5C3">
      <w:pPr>
        <w:pageBreakBefore w:val="0"/>
        <w:widowControl w:val="0"/>
        <w:wordWrap/>
        <w:overflowPunct/>
        <w:topLinePunct w:val="0"/>
        <w:bidi w:val="0"/>
        <w:spacing w:beforeAutospacing="0" w:after="0" w:afterLines="100" w:afterAutospacing="0" w:line="219" w:lineRule="auto"/>
        <w:jc w:val="both"/>
        <w:outlineLvl w:val="1"/>
        <w:rPr>
          <w:rFonts w:hint="default"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三、商务需求</w:t>
      </w:r>
    </w:p>
    <w:p w14:paraId="4337A34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yellow"/>
          <w:lang w:eastAsia="zh-CN"/>
        </w:rPr>
      </w:pPr>
      <w:r>
        <w:rPr>
          <w:rFonts w:hint="eastAsia" w:ascii="宋体" w:hAnsi="宋体" w:eastAsia="宋体" w:cs="宋体"/>
          <w:color w:val="auto"/>
          <w:sz w:val="24"/>
          <w:szCs w:val="24"/>
          <w:highlight w:val="none"/>
          <w:lang w:val="en-US" w:eastAsia="zh-CN"/>
        </w:rPr>
        <w:t>1、</w:t>
      </w:r>
      <w:r>
        <w:rPr>
          <w:rFonts w:hint="eastAsia" w:ascii="宋体" w:hAnsi="宋体" w:eastAsia="宋体" w:cs="宋体"/>
          <w:b/>
          <w:bCs/>
          <w:color w:val="auto"/>
          <w:sz w:val="24"/>
          <w:szCs w:val="24"/>
          <w:highlight w:val="none"/>
          <w:lang w:eastAsia="zh-CN"/>
        </w:rPr>
        <w:t>服务期限：</w:t>
      </w:r>
      <w:r>
        <w:rPr>
          <w:rFonts w:hint="eastAsia" w:ascii="宋体" w:hAnsi="宋体" w:eastAsia="宋体" w:cs="宋体"/>
          <w:color w:val="auto"/>
          <w:spacing w:val="0"/>
          <w:position w:val="0"/>
          <w:sz w:val="24"/>
          <w:szCs w:val="24"/>
          <w:highlight w:val="none"/>
          <w:lang w:eastAsia="zh-CN"/>
        </w:rPr>
        <w:t xml:space="preserve"> 2026年</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2月底前完成，具体时间按甲方提供的实施方案执行。</w:t>
      </w:r>
    </w:p>
    <w:p w14:paraId="4090FBA7">
      <w:pPr>
        <w:snapToGrid w:val="0"/>
        <w:spacing w:beforeAutospacing="0" w:line="360" w:lineRule="auto"/>
        <w:ind w:firstLine="482" w:firstLineChars="200"/>
        <w:jc w:val="left"/>
        <w:rPr>
          <w:rFonts w:hint="default"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2、服务地点：</w:t>
      </w:r>
      <w:r>
        <w:rPr>
          <w:rFonts w:hint="eastAsia" w:ascii="宋体" w:hAnsi="宋体" w:eastAsia="宋体" w:cs="宋体"/>
          <w:color w:val="auto"/>
          <w:sz w:val="24"/>
          <w:szCs w:val="24"/>
          <w:highlight w:val="none"/>
          <w:lang w:val="en-US" w:eastAsia="zh-CN"/>
        </w:rPr>
        <w:t>采购人指定地点</w:t>
      </w:r>
    </w:p>
    <w:p w14:paraId="034D5395">
      <w:pPr>
        <w:snapToGrid w:val="0"/>
        <w:spacing w:line="360" w:lineRule="auto"/>
        <w:ind w:firstLine="480" w:firstLineChars="200"/>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b/>
          <w:bCs/>
          <w:color w:val="auto"/>
          <w:sz w:val="24"/>
          <w:szCs w:val="24"/>
          <w:highlight w:val="none"/>
          <w:lang w:eastAsia="zh-CN"/>
        </w:rPr>
        <w:t>付款方式：</w:t>
      </w:r>
      <w:r>
        <w:rPr>
          <w:rFonts w:hint="eastAsia" w:ascii="宋体" w:hAnsi="宋体" w:eastAsia="宋体" w:cs="宋体"/>
          <w:color w:val="auto"/>
          <w:sz w:val="24"/>
          <w:szCs w:val="24"/>
          <w:highlight w:val="none"/>
          <w:lang w:eastAsia="zh-CN"/>
        </w:rPr>
        <w:t>项目实施完成并验收合格后支付实际履约金额的100%。实际施撒的地点、面积，在施撒前须取得万载县农业农村局的确认，各服务主体最终补贴的金额以实际验收为准。</w:t>
      </w:r>
    </w:p>
    <w:p w14:paraId="64236AFF">
      <w:pPr>
        <w:snapToGrid w:val="0"/>
        <w:spacing w:line="360" w:lineRule="auto"/>
        <w:ind w:left="0" w:leftChars="0" w:firstLine="851" w:firstLineChars="353"/>
        <w:jc w:val="left"/>
        <w:rPr>
          <w:rFonts w:hint="default"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付款条件</w:t>
      </w:r>
      <w:r>
        <w:rPr>
          <w:rFonts w:hint="eastAsia" w:ascii="宋体" w:hAnsi="宋体" w:eastAsia="宋体" w:cs="宋体"/>
          <w:color w:val="auto"/>
          <w:sz w:val="24"/>
          <w:szCs w:val="24"/>
          <w:highlight w:val="none"/>
          <w:lang w:val="en-US" w:eastAsia="zh-CN"/>
        </w:rPr>
        <w:t>：</w:t>
      </w:r>
      <w:r>
        <w:rPr>
          <w:rFonts w:ascii="宋体" w:hAnsi="宋体" w:eastAsia="宋体" w:cs="宋体"/>
          <w:spacing w:val="-3"/>
          <w:sz w:val="24"/>
          <w:szCs w:val="24"/>
        </w:rPr>
        <w:t>开具正规的普通增值税发票。</w:t>
      </w:r>
    </w:p>
    <w:p w14:paraId="7A6D60B5">
      <w:pPr>
        <w:numPr>
          <w:ilvl w:val="0"/>
          <w:numId w:val="1"/>
        </w:numPr>
        <w:snapToGrid w:val="0"/>
        <w:spacing w:line="360" w:lineRule="auto"/>
        <w:ind w:firstLine="482" w:firstLineChars="200"/>
        <w:jc w:val="left"/>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验收</w:t>
      </w:r>
      <w:r>
        <w:rPr>
          <w:rFonts w:hint="eastAsia" w:ascii="宋体" w:hAnsi="宋体" w:eastAsia="宋体" w:cs="宋体"/>
          <w:b/>
          <w:bCs/>
          <w:color w:val="auto"/>
          <w:sz w:val="24"/>
          <w:szCs w:val="24"/>
          <w:highlight w:val="none"/>
          <w:lang w:val="en-US" w:eastAsia="zh-CN"/>
        </w:rPr>
        <w:t>要求</w:t>
      </w:r>
      <w:r>
        <w:rPr>
          <w:rFonts w:hint="eastAsia" w:ascii="宋体" w:hAnsi="宋体" w:eastAsia="宋体" w:cs="宋体"/>
          <w:b/>
          <w:bCs/>
          <w:color w:val="auto"/>
          <w:sz w:val="24"/>
          <w:szCs w:val="24"/>
          <w:highlight w:val="none"/>
          <w:lang w:eastAsia="zh-CN"/>
        </w:rPr>
        <w:t>：</w:t>
      </w:r>
    </w:p>
    <w:p w14:paraId="3A2E1FE2">
      <w:pPr>
        <w:numPr>
          <w:ilvl w:val="0"/>
          <w:numId w:val="0"/>
        </w:numPr>
        <w:snapToGrid w:val="0"/>
        <w:spacing w:afterAutospacing="0"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一</w:t>
      </w:r>
      <w:r>
        <w:rPr>
          <w:rFonts w:hint="eastAsia" w:ascii="宋体" w:hAnsi="宋体" w:eastAsia="宋体" w:cs="宋体"/>
          <w:sz w:val="24"/>
          <w:szCs w:val="24"/>
          <w:lang w:eastAsia="zh-CN"/>
        </w:rPr>
        <w:t>）</w:t>
      </w:r>
      <w:r>
        <w:rPr>
          <w:rFonts w:ascii="宋体" w:hAnsi="宋体" w:eastAsia="宋体" w:cs="宋体"/>
          <w:sz w:val="24"/>
          <w:szCs w:val="24"/>
        </w:rPr>
        <w:t>乙方完全履行合同义务后，甲方或甲方的最终用户按照上述政府采购合同文件列明的标准进行验收，验收不合格的，采购人不予付款。</w:t>
      </w:r>
    </w:p>
    <w:p w14:paraId="41CFB125">
      <w:pPr>
        <w:numPr>
          <w:ilvl w:val="0"/>
          <w:numId w:val="0"/>
        </w:numPr>
        <w:snapToGrid w:val="0"/>
        <w:spacing w:afterAutospacing="0"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二</w:t>
      </w:r>
      <w:r>
        <w:rPr>
          <w:rFonts w:hint="eastAsia" w:ascii="宋体" w:hAnsi="宋体" w:eastAsia="宋体" w:cs="宋体"/>
          <w:sz w:val="24"/>
          <w:szCs w:val="24"/>
          <w:lang w:eastAsia="zh-CN"/>
        </w:rPr>
        <w:t>）</w:t>
      </w:r>
      <w:r>
        <w:rPr>
          <w:rFonts w:ascii="宋体" w:hAnsi="宋体" w:eastAsia="宋体" w:cs="宋体"/>
          <w:sz w:val="24"/>
          <w:szCs w:val="24"/>
        </w:rPr>
        <w:t>投标人提供的服务内容、执行标准及技术规范等必须符合国家相关标准或规范要求</w:t>
      </w:r>
      <w:r>
        <w:rPr>
          <w:rFonts w:hint="eastAsia" w:ascii="宋体" w:hAnsi="宋体" w:eastAsia="宋体" w:cs="宋体"/>
          <w:sz w:val="24"/>
          <w:szCs w:val="24"/>
          <w:lang w:eastAsia="zh-CN"/>
        </w:rPr>
        <w:t>，</w:t>
      </w:r>
      <w:r>
        <w:rPr>
          <w:rFonts w:ascii="宋体" w:hAnsi="宋体" w:eastAsia="宋体" w:cs="宋体"/>
          <w:sz w:val="24"/>
          <w:szCs w:val="24"/>
        </w:rPr>
        <w:t>相关内容符合国家及行业规范标准。</w:t>
      </w:r>
    </w:p>
    <w:p w14:paraId="7C639EC6">
      <w:pPr>
        <w:numPr>
          <w:ilvl w:val="0"/>
          <w:numId w:val="0"/>
        </w:numPr>
        <w:snapToGrid w:val="0"/>
        <w:spacing w:afterAutospacing="0"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三</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采</w:t>
      </w:r>
      <w:r>
        <w:rPr>
          <w:rFonts w:ascii="宋体" w:hAnsi="宋体" w:eastAsia="宋体" w:cs="宋体"/>
          <w:sz w:val="24"/>
          <w:szCs w:val="24"/>
        </w:rPr>
        <w:t>购人将抽取若干份堆沤肥样本送至有资质的第三方检测机构对中标方所提供的产品进行检测，检测费用由中标人承担，如检测结果不符合要求，采购人拒绝收货、不予验收。</w:t>
      </w:r>
    </w:p>
    <w:p w14:paraId="573A6BBF">
      <w:pPr>
        <w:numPr>
          <w:ilvl w:val="0"/>
          <w:numId w:val="0"/>
        </w:numPr>
        <w:snapToGrid w:val="0"/>
        <w:spacing w:afterAutospacing="0"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四</w:t>
      </w:r>
      <w:r>
        <w:rPr>
          <w:rFonts w:hint="eastAsia" w:ascii="宋体" w:hAnsi="宋体" w:eastAsia="宋体" w:cs="宋体"/>
          <w:sz w:val="24"/>
          <w:szCs w:val="24"/>
          <w:lang w:eastAsia="zh-CN"/>
        </w:rPr>
        <w:t>）</w:t>
      </w:r>
      <w:r>
        <w:rPr>
          <w:rFonts w:ascii="宋体" w:hAnsi="宋体" w:eastAsia="宋体" w:cs="宋体"/>
          <w:sz w:val="24"/>
          <w:szCs w:val="24"/>
        </w:rPr>
        <w:t>最终验收由采购人根据流程组织专家进行验收。验收时供应商须提供台账有效证明及合格的产品检测报告。</w:t>
      </w:r>
    </w:p>
    <w:p w14:paraId="7A7EB0C3">
      <w:pPr>
        <w:numPr>
          <w:ilvl w:val="0"/>
          <w:numId w:val="0"/>
        </w:numPr>
        <w:snapToGrid w:val="0"/>
        <w:spacing w:afterAutospacing="0" w:line="360" w:lineRule="auto"/>
        <w:ind w:firstLine="480" w:firstLineChars="200"/>
        <w:jc w:val="left"/>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五</w:t>
      </w:r>
      <w:r>
        <w:rPr>
          <w:rFonts w:hint="eastAsia" w:ascii="宋体" w:hAnsi="宋体" w:eastAsia="宋体" w:cs="宋体"/>
          <w:sz w:val="24"/>
          <w:szCs w:val="24"/>
          <w:lang w:eastAsia="zh-CN"/>
        </w:rPr>
        <w:t>）</w:t>
      </w:r>
      <w:r>
        <w:rPr>
          <w:rFonts w:ascii="宋体" w:hAnsi="宋体" w:eastAsia="宋体" w:cs="宋体"/>
          <w:sz w:val="24"/>
          <w:szCs w:val="24"/>
        </w:rPr>
        <w:t>项目实施过程中因中标人自身原因发生人员、质量事故等造成后果的由中标人自身负责，采购人不承担任何法律及经济责任。</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07324C">
    <w:pPr>
      <w:pStyle w:val="2"/>
      <w:spacing w:line="225" w:lineRule="auto"/>
      <w:ind w:left="4860"/>
      <w:rPr>
        <w:rFonts w:hint="default" w:eastAsia="仿宋"/>
        <w:sz w:val="18"/>
        <w:szCs w:val="18"/>
        <w:lang w:val="en-US"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1210E6">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14:paraId="6B1210E6">
                    <w:pPr>
                      <w:pStyle w:val="3"/>
                    </w:pPr>
                    <w:r>
                      <w:fldChar w:fldCharType="begin"/>
                    </w:r>
                    <w:r>
                      <w:instrText xml:space="preserve"> PAGE  \* MERGEFORMAT </w:instrText>
                    </w:r>
                    <w:r>
                      <w:fldChar w:fldCharType="separate"/>
                    </w:r>
                    <w:r>
                      <w:t>55</w:t>
                    </w:r>
                    <w:r>
                      <w:fldChar w:fldCharType="end"/>
                    </w:r>
                  </w:p>
                </w:txbxContent>
              </v:textbox>
            </v:shape>
          </w:pict>
        </mc:Fallback>
      </mc:AlternateContent>
    </w:r>
    <w:r>
      <w:rPr>
        <w:rFonts w:hint="eastAsia"/>
        <w:spacing w:val="-2"/>
        <w:sz w:val="18"/>
        <w:szCs w:val="18"/>
        <w:shd w:val="clear" w:fill="FFFFFE"/>
        <w:lang w:val="en-US" w:eastAsia="zh-CN"/>
      </w:rPr>
      <w:t>5</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D19B19"/>
    <w:multiLevelType w:val="singleLevel"/>
    <w:tmpl w:val="EAD19B19"/>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F365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2026-05-11T08:10:19Z</dcterms:created>
  <dc:creator>dell2</dc:creator>
  <cp:lastModifiedBy>dell2</cp:lastModifiedBy>
  <dcterms:modified xsi:type="dcterms:W3CDTF">2026-05-11T08:11:38Z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eyJoZGlkIjoiMGFlZmY1OWQwZDJjNWMxZDlkOWI0MDViYWQ2N2Q2YTkiLCJ1c2VySWQiOiI0MzkzMTQwOTIifQ==</vt:lpwstr>
  </property>
  <property fmtid="{D5CDD505-2E9C-101B-9397-08002B2CF9AE}" pid="4" name="ICV">
    <vt:lpwstr>DBE439483DCF4C03AEB7319B69255D20_12</vt:lpwstr>
  </property>
</Properties>
</file>