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E8EB0B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47" w:beforeAutospacing="0" w:after="0" w:afterAutospacing="0"/>
        <w:ind w:left="3805" w:right="0"/>
        <w:jc w:val="left"/>
        <w:textAlignment w:val="baseline"/>
        <w:outlineLvl w:val="1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napToGrid/>
          <w:color w:val="000000"/>
          <w:spacing w:val="-2"/>
          <w:kern w:val="0"/>
          <w:sz w:val="24"/>
          <w:szCs w:val="24"/>
          <w:lang w:val="en-US" w:eastAsia="zh-CN" w:bidi="ar"/>
        </w:rPr>
        <w:t>二、采购要求</w:t>
      </w:r>
    </w:p>
    <w:p w14:paraId="76D7D731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256" w:lineRule="auto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2C9977D1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256" w:lineRule="auto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49BC9386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256" w:lineRule="auto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512FD729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78" w:beforeAutospacing="0" w:after="0" w:afterAutospacing="0"/>
        <w:ind w:left="0" w:right="0"/>
        <w:jc w:val="left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napToGrid/>
          <w:color w:val="000000"/>
          <w:spacing w:val="-5"/>
          <w:kern w:val="0"/>
          <w:sz w:val="24"/>
          <w:szCs w:val="24"/>
          <w:lang w:val="en-US" w:eastAsia="zh-CN" w:bidi="ar"/>
        </w:rPr>
        <w:t>（一）</w:t>
      </w:r>
      <w:r>
        <w:rPr>
          <w:rFonts w:hint="eastAsia" w:ascii="宋体" w:hAnsi="宋体" w:eastAsia="宋体" w:cs="宋体"/>
          <w:snapToGrid/>
          <w:color w:val="000000"/>
          <w:spacing w:val="25"/>
          <w:kern w:val="0"/>
          <w:sz w:val="24"/>
          <w:szCs w:val="24"/>
          <w:lang w:val="en-US" w:eastAsia="zh-CN" w:bidi="ar"/>
        </w:rPr>
        <w:t xml:space="preserve"> </w:t>
      </w:r>
      <w:r>
        <w:rPr>
          <w:rFonts w:hint="eastAsia" w:ascii="宋体" w:hAnsi="宋体" w:eastAsia="宋体" w:cs="宋体"/>
          <w:snapToGrid/>
          <w:color w:val="000000"/>
          <w:spacing w:val="-5"/>
          <w:kern w:val="0"/>
          <w:sz w:val="24"/>
          <w:szCs w:val="24"/>
          <w:lang w:val="en-US" w:eastAsia="zh-CN" w:bidi="ar"/>
        </w:rPr>
        <w:t>服务要求</w:t>
      </w:r>
    </w:p>
    <w:p w14:paraId="7DE2FA8D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6EB1BE8E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78" w:beforeAutospacing="0" w:after="0" w:afterAutospacing="0" w:line="460" w:lineRule="exact"/>
        <w:ind w:left="0" w:right="0"/>
        <w:jc w:val="left"/>
        <w:textAlignment w:val="baseline"/>
        <w:rPr>
          <w:rFonts w:hint="eastAsia" w:ascii="宋体" w:hAnsi="宋体" w:eastAsia="宋体" w:cs="宋体"/>
          <w:spacing w:val="-6"/>
          <w:sz w:val="24"/>
          <w:szCs w:val="24"/>
          <w:vertAlign w:val="baseline"/>
        </w:rPr>
      </w:pPr>
      <w:r>
        <w:rPr>
          <w:rFonts w:hint="eastAsia" w:ascii="宋体" w:hAnsi="宋体" w:eastAsia="宋体" w:cs="宋体"/>
          <w:snapToGrid/>
          <w:color w:val="000000"/>
          <w:spacing w:val="-6"/>
          <w:kern w:val="0"/>
          <w:sz w:val="24"/>
          <w:szCs w:val="24"/>
          <w:vertAlign w:val="baseline"/>
          <w:lang w:val="en-US" w:eastAsia="zh-CN" w:bidi="ar"/>
        </w:rPr>
        <w:t>1.采购清单</w:t>
      </w:r>
    </w:p>
    <w:p w14:paraId="0226A59B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tbl>
      <w:tblPr>
        <w:tblStyle w:val="3"/>
        <w:tblW w:w="5000" w:type="pct"/>
        <w:tblInd w:w="-1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67"/>
        <w:gridCol w:w="1316"/>
        <w:gridCol w:w="5555"/>
        <w:gridCol w:w="808"/>
      </w:tblGrid>
      <w:tr w14:paraId="506F8C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00" w:type="pct"/>
            <w:gridSpan w:val="4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E885A9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一、软件系统采购</w:t>
            </w:r>
          </w:p>
        </w:tc>
      </w:tr>
      <w:tr w14:paraId="6CF84A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C6BDB9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7851F7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系统名称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4EA6EA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模块组成/规格参数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403AA5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数量</w:t>
            </w:r>
          </w:p>
        </w:tc>
      </w:tr>
      <w:tr w14:paraId="295BE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BD8F1A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7324DD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成熟软件系统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340C4B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订单管理系统（</w:t>
            </w: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OMS）、仓库管理系统（WMS）、运输管理系统（TMS）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37B8BF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 套</w:t>
            </w:r>
          </w:p>
        </w:tc>
      </w:tr>
      <w:tr w14:paraId="1F2F5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DE36EE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59FAFF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定制软件系统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70835E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数字化分析系统、移动端适配（</w:t>
            </w: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APP / 小程序）、ERP 促销活动、订货平台 B 端礼券、销售决策分析系统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8BEBCD2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 套</w:t>
            </w:r>
          </w:p>
        </w:tc>
      </w:tr>
      <w:tr w14:paraId="07EDDC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00" w:type="pct"/>
            <w:gridSpan w:val="4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916041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二、硬件设备采购</w:t>
            </w:r>
          </w:p>
        </w:tc>
      </w:tr>
      <w:tr w14:paraId="31064C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94F2A7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39EE55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设备名称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21AAA6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规格参数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4DD261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数量</w:t>
            </w:r>
          </w:p>
        </w:tc>
      </w:tr>
      <w:tr w14:paraId="40069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0C3BDB5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0D937B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98 寸智慧展示大屏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316042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超高清</w:t>
            </w: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 xml:space="preserve"> 4K，4+128G，LED 屏，支持 LAN/HDMI/USB3.0，含支架与安装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62F7B3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2台</w:t>
            </w:r>
          </w:p>
        </w:tc>
      </w:tr>
      <w:tr w14:paraId="1AAE1E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AB515A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2B1468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车载北斗定位终端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074C25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支持北斗</w:t>
            </w: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 xml:space="preserve"> + 4G、六轴陀螺仪、ACC 检测、超速 / 侧翻报警、JT/T 808 协议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302C7F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20台</w:t>
            </w:r>
          </w:p>
        </w:tc>
      </w:tr>
      <w:tr w14:paraId="1196F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AF6FA5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3A1923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400 万网络摄像机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CA7713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2560×1440 分辨率，红外 / 白光双补光，IP67 防护，内置麦克风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324C47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20台</w:t>
            </w:r>
          </w:p>
        </w:tc>
      </w:tr>
      <w:tr w14:paraId="4B2ECE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CE591A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4B758B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云服务器资源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3D80DFB9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应用服务器</w:t>
            </w: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 xml:space="preserve"> 8 核 16G、数据库服务器 16 核 32G、存储 1TB SSD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142B38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1套</w:t>
            </w:r>
          </w:p>
        </w:tc>
      </w:tr>
      <w:tr w14:paraId="0009E4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00" w:type="pct"/>
            <w:gridSpan w:val="4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D9712A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b/>
                <w:bCs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三、配套服务采购</w:t>
            </w:r>
          </w:p>
        </w:tc>
      </w:tr>
      <w:tr w14:paraId="6F59EB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275CFF1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13F5B3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服务类别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266F83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服务内容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9F53BA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b/>
                <w:bCs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服务期限</w:t>
            </w:r>
          </w:p>
        </w:tc>
      </w:tr>
      <w:tr w14:paraId="31F54F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30627B7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C55700E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系统开发实施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587CB75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需求调研、定制开发、部署上线、接口对接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6DE307CF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一次性</w:t>
            </w:r>
          </w:p>
        </w:tc>
      </w:tr>
      <w:tr w14:paraId="11A6AE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FE07CC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56231A3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信息安全服务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1E93FE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等保二级建设、安全加固、漏洞防护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1EDD495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一次性</w:t>
            </w:r>
          </w:p>
        </w:tc>
      </w:tr>
      <w:tr w14:paraId="52064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432DD1D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762A807A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运维服务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A343464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7×24 小时应急响应、系统维护、数据备份、BUG 修复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B89F98B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 年</w:t>
            </w:r>
          </w:p>
        </w:tc>
      </w:tr>
      <w:tr w14:paraId="39BEA4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507" w:type="pct"/>
            <w:tcBorders>
              <w:top w:val="single" w:color="CCCCCC" w:sz="6" w:space="0"/>
              <w:left w:val="single" w:color="CCCCCC" w:sz="6" w:space="0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2885B456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宋体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77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0070DB50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center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人员培训</w:t>
            </w:r>
          </w:p>
        </w:tc>
        <w:tc>
          <w:tcPr>
            <w:tcW w:w="3250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B5429CC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平台操作、设备使用、运维管理、业务流程培训</w:t>
            </w:r>
          </w:p>
        </w:tc>
        <w:tc>
          <w:tcPr>
            <w:tcW w:w="473" w:type="pct"/>
            <w:tcBorders>
              <w:top w:val="single" w:color="CCCCCC" w:sz="6" w:space="0"/>
              <w:left w:val="nil"/>
              <w:bottom w:val="single" w:color="CCCCCC" w:sz="6" w:space="0"/>
              <w:right w:val="single" w:color="CCCCCC" w:sz="6" w:space="0"/>
            </w:tcBorders>
            <w:shd w:val="clear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</w:tcPr>
          <w:p w14:paraId="484F2718">
            <w:pPr>
              <w:keepNext w:val="0"/>
              <w:keepLines w:val="0"/>
              <w:widowControl/>
              <w:suppressLineNumbers w:val="0"/>
              <w:kinsoku w:val="0"/>
              <w:autoSpaceDE w:val="0"/>
              <w:autoSpaceDN w:val="0"/>
              <w:adjustRightInd w:val="0"/>
              <w:snapToGrid w:val="0"/>
              <w:spacing w:before="0" w:beforeAutospacing="0" w:after="0" w:afterAutospacing="0"/>
              <w:ind w:left="0" w:right="0"/>
              <w:jc w:val="left"/>
              <w:textAlignment w:val="baseline"/>
              <w:rPr>
                <w:rFonts w:hint="eastAsia" w:ascii="仿宋" w:hAnsi="仿宋" w:eastAsia="仿宋" w:cs="宋体"/>
                <w:color w:val="000000"/>
                <w:kern w:val="0"/>
                <w:sz w:val="24"/>
                <w:szCs w:val="24"/>
                <w:bdr w:val="none" w:color="auto" w:sz="0" w:space="0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一次性</w:t>
            </w:r>
          </w:p>
        </w:tc>
      </w:tr>
    </w:tbl>
    <w:p w14:paraId="79BF82ED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1D20A8EB">
      <w:pPr>
        <w:keepNext w:val="0"/>
        <w:keepLines w:val="0"/>
        <w:widowControl/>
        <w:numPr>
          <w:ilvl w:val="0"/>
          <w:numId w:val="1"/>
        </w:numPr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业务需求</w:t>
      </w:r>
    </w:p>
    <w:p w14:paraId="4D79BA34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2.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1 </w:t>
      </w: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平台总体业务定位</w:t>
      </w:r>
    </w:p>
    <w:p w14:paraId="0183B6DE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建设覆盖县、乡、村三级的县域物流数字化运营平台，实现工业品下乡、农产品进城双向流通数字化管控，达成揽件、仓储、分拣、运输、配送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 </w:t>
      </w: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“五统一”，支持物流资源整合、统仓共配、智能调度、数据可视。</w:t>
      </w:r>
    </w:p>
    <w:p w14:paraId="3589D9DE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2.2 订单管理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 </w:t>
      </w:r>
    </w:p>
    <w:p w14:paraId="63463929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支持多货主管理、订单自动同步、采购/销售/退货/调拨全流程处理，支持订单分流、时效管控、异常预警。</w:t>
      </w:r>
    </w:p>
    <w:p w14:paraId="733DD21A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2.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3 </w:t>
      </w: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仓储管理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 </w:t>
      </w:r>
    </w:p>
    <w:p w14:paraId="376769D2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覆盖收货预约、入库质检、上架指引、波次拣货、复核打包、库内移位、盘点、库存锁定、理货管理，支持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 </w:t>
      </w: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RF 枪作业、批次/效期管理、绩效自动统计。</w:t>
      </w:r>
    </w:p>
    <w:p w14:paraId="1F730035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2.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4 </w:t>
      </w: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运输配送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  </w:t>
      </w:r>
    </w:p>
    <w:p w14:paraId="512C7291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实现车辆/司机/线路管理、智能派车、路径优化、在途跟踪、轨迹回放、签收管理、货款管理、退货交接。</w:t>
      </w:r>
    </w:p>
    <w:p w14:paraId="48C1EA59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 </w:t>
      </w: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2.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5 </w:t>
      </w: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运营决策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 xml:space="preserve"> </w:t>
      </w:r>
    </w:p>
    <w:p w14:paraId="4AC4EFFF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 w:firstLine="560" w:firstLineChars="20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具备库存周转、ABC 商品分析、滞销分析、调拨差异、配送效率、成本核算等分析能力，为管理决策提供数据支撑。</w:t>
      </w:r>
    </w:p>
    <w:p w14:paraId="3A919E19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3772AADC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78" w:beforeAutospacing="0" w:after="0" w:afterAutospacing="0"/>
        <w:ind w:left="0" w:right="0"/>
        <w:jc w:val="left"/>
        <w:textAlignment w:val="baseline"/>
        <w:rPr>
          <w:rFonts w:hint="eastAsia" w:ascii="宋体" w:hAnsi="宋体" w:eastAsia="宋体" w:cs="宋体"/>
          <w:b/>
          <w:bCs/>
          <w:spacing w:val="-6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napToGrid/>
          <w:color w:val="000000"/>
          <w:spacing w:val="-6"/>
          <w:kern w:val="0"/>
          <w:sz w:val="24"/>
          <w:szCs w:val="24"/>
          <w:lang w:val="en-US" w:eastAsia="zh-CN" w:bidi="ar"/>
        </w:rPr>
        <w:t xml:space="preserve"> </w:t>
      </w:r>
    </w:p>
    <w:p w14:paraId="0D09CF57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78" w:beforeAutospacing="0" w:after="0" w:afterAutospacing="0"/>
        <w:ind w:left="0" w:right="0"/>
        <w:jc w:val="left"/>
        <w:textAlignment w:val="baseline"/>
        <w:rPr>
          <w:rFonts w:hint="eastAsia" w:ascii="宋体" w:hAnsi="宋体" w:eastAsia="宋体" w:cs="宋体"/>
          <w:b/>
          <w:bCs/>
          <w:spacing w:val="-6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napToGrid/>
          <w:color w:val="000000"/>
          <w:spacing w:val="-6"/>
          <w:kern w:val="0"/>
          <w:sz w:val="24"/>
          <w:szCs w:val="24"/>
          <w:lang w:val="en-US" w:eastAsia="zh-CN" w:bidi="ar"/>
        </w:rPr>
        <w:t>注：须完全满足以上服务要求，不满足作无效标处理。</w:t>
      </w:r>
    </w:p>
    <w:p w14:paraId="7AC47A68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2211FA6A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00831B7B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07D3DDB1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244" w:lineRule="auto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0339D9FC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244" w:lineRule="auto"/>
        <w:ind w:left="0" w:right="0"/>
        <w:jc w:val="left"/>
        <w:textAlignment w:val="baseline"/>
        <w:rPr>
          <w:rFonts w:hint="default" w:ascii="Arial" w:hAnsi="Arial" w:cs="Arial"/>
          <w:sz w:val="21"/>
          <w:szCs w:val="21"/>
        </w:rPr>
      </w:pPr>
      <w:r>
        <w:rPr>
          <w:rFonts w:hint="default" w:ascii="Arial" w:hAnsi="Arial" w:cs="Arial" w:eastAsiaTheme="minorEastAsia"/>
          <w:snapToGrid/>
          <w:color w:val="000000"/>
          <w:kern w:val="0"/>
          <w:sz w:val="21"/>
          <w:szCs w:val="21"/>
          <w:lang w:val="en-US" w:eastAsia="zh-CN" w:bidi="ar"/>
        </w:rPr>
        <w:t xml:space="preserve"> </w:t>
      </w:r>
    </w:p>
    <w:p w14:paraId="4B78B026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78" w:beforeAutospacing="0" w:after="0" w:afterAutospacing="0"/>
        <w:ind w:left="0" w:right="0"/>
        <w:jc w:val="left"/>
        <w:textAlignment w:val="baseline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napToGrid/>
          <w:color w:val="000000"/>
          <w:spacing w:val="-6"/>
          <w:kern w:val="0"/>
          <w:sz w:val="24"/>
          <w:szCs w:val="24"/>
          <w:lang w:val="en-US" w:eastAsia="zh-CN" w:bidi="ar"/>
        </w:rPr>
        <w:t>（二）</w:t>
      </w:r>
      <w:r>
        <w:rPr>
          <w:rFonts w:hint="eastAsia" w:ascii="宋体" w:hAnsi="宋体" w:eastAsia="宋体" w:cs="宋体"/>
          <w:snapToGrid/>
          <w:color w:val="000000"/>
          <w:spacing w:val="32"/>
          <w:kern w:val="0"/>
          <w:sz w:val="24"/>
          <w:szCs w:val="24"/>
          <w:lang w:val="en-US" w:eastAsia="zh-CN" w:bidi="ar"/>
        </w:rPr>
        <w:t xml:space="preserve"> </w:t>
      </w:r>
      <w:r>
        <w:rPr>
          <w:rFonts w:hint="eastAsia" w:ascii="宋体" w:hAnsi="宋体" w:eastAsia="宋体" w:cs="宋体"/>
          <w:snapToGrid/>
          <w:color w:val="000000"/>
          <w:spacing w:val="-6"/>
          <w:kern w:val="0"/>
          <w:sz w:val="24"/>
          <w:szCs w:val="24"/>
          <w:lang w:val="en-US" w:eastAsia="zh-CN" w:bidi="ar"/>
        </w:rPr>
        <w:t>商务条件</w:t>
      </w:r>
    </w:p>
    <w:p w14:paraId="180BCA64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1、服务周期</w:t>
      </w:r>
    </w:p>
    <w:p w14:paraId="5A754054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1）签订合同后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>6</w:t>
      </w: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0天内全部完工、验收合格并交付使用；</w:t>
      </w:r>
    </w:p>
    <w:p w14:paraId="737DC072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2）中标单位须按甲方要求按时进场开展服务，全程保障服务连续性，不得擅自暂停、中断服务。</w:t>
      </w:r>
    </w:p>
    <w:p w14:paraId="038D2B2D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2、服务要求：提供 7×24 小时技术支持,故障响应：一般故障 30 分钟响应，重大故障 4 小时解决。</w:t>
      </w:r>
    </w:p>
    <w:p w14:paraId="5C0149E9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3、付款方式：签订合同后</w:t>
      </w:r>
      <w:r>
        <w:rPr>
          <w:rFonts w:hint="eastAsia" w:ascii="仿宋" w:hAnsi="仿宋" w:eastAsia="仿宋" w:cs="Arial"/>
          <w:snapToGrid/>
          <w:color w:val="000000"/>
          <w:kern w:val="0"/>
          <w:sz w:val="28"/>
          <w:szCs w:val="28"/>
          <w:lang w:val="en-US" w:eastAsia="zh-CN" w:bidi="ar"/>
        </w:rPr>
        <w:t>30</w:t>
      </w: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日内支付30%合同款，验收合格后支付剩余70%合同款。（注：以上付款均为无息，付款时间均以收到发票之日起计算）</w:t>
      </w:r>
    </w:p>
    <w:p w14:paraId="45550DFA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4、软件维护服务</w:t>
      </w:r>
    </w:p>
    <w:p w14:paraId="29D4B4B0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（1）投标人应承诺在本项目通过验收并正式投入运行后提供至少三年（质保期）免费软件维护服务，免费服务期后，双方以不超过最终合同价的10%的维护费续约服务。</w:t>
      </w:r>
    </w:p>
    <w:p w14:paraId="533B91E4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（2）投标人对其提供的软件提供长期技术支持。在质保期内，如对软件有新的改进、增加新功能或者为适应最新标准所形成的最新版本，均免费、及时提供给用户使用。说明对系统所配软件的升级与维护方式。</w:t>
      </w:r>
    </w:p>
    <w:p w14:paraId="7CD5272E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（3）软件维护内容包括但不限于：</w:t>
      </w:r>
    </w:p>
    <w:p w14:paraId="416319E8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①程序框架内错误，需要修改程序；</w:t>
      </w:r>
    </w:p>
    <w:p w14:paraId="67C098AB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②程序和数据库的优化，提高系统的性能；</w:t>
      </w:r>
    </w:p>
    <w:p w14:paraId="3E680D80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③小应用模块增加；</w:t>
      </w:r>
    </w:p>
    <w:p w14:paraId="66E67C68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④新设部门的内部开设及流程配置；</w:t>
      </w:r>
    </w:p>
    <w:p w14:paraId="04A32C2D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⑤撤并机构的数据合并。</w:t>
      </w:r>
    </w:p>
    <w:p w14:paraId="5FF928F1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5、其他要求</w:t>
      </w:r>
    </w:p>
    <w:p w14:paraId="2FD5EE14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（1）更换项目主要人员：项目主要人员（指实际参加本项目的管理、技术等方面的负责人，一般指项目经理，项目技术负责人，各专业项目组负责人，质量管理负责人等，需在投标文件中提供相关人员资质证书）未经招标人书面许可不得更换；否则，每更换一人次，在合同总额中扣1%-2%。</w:t>
      </w:r>
    </w:p>
    <w:p w14:paraId="6B13CD14">
      <w:pPr>
        <w:keepNext w:val="0"/>
        <w:keepLines w:val="0"/>
        <w:widowControl/>
        <w:suppressLineNumbers w:val="0"/>
        <w:kinsoku w:val="0"/>
        <w:autoSpaceDE w:val="0"/>
        <w:autoSpaceDN w:val="0"/>
        <w:adjustRightInd w:val="0"/>
        <w:snapToGrid w:val="0"/>
        <w:spacing w:before="0" w:beforeAutospacing="0" w:after="0" w:afterAutospacing="0" w:line="360" w:lineRule="auto"/>
        <w:ind w:left="0" w:right="0" w:firstLine="560" w:firstLineChars="200"/>
        <w:jc w:val="left"/>
        <w:textAlignment w:val="baseline"/>
        <w:rPr>
          <w:rFonts w:hint="eastAsia" w:ascii="仿宋" w:hAnsi="仿宋" w:eastAsia="仿宋" w:cs="Arial"/>
          <w:color w:val="000000"/>
          <w:sz w:val="28"/>
          <w:szCs w:val="28"/>
        </w:rPr>
      </w:pPr>
      <w:r>
        <w:rPr>
          <w:rFonts w:hint="eastAsia" w:ascii="仿宋" w:hAnsi="仿宋" w:eastAsia="仿宋" w:cs="仿宋"/>
          <w:snapToGrid/>
          <w:color w:val="000000"/>
          <w:kern w:val="0"/>
          <w:sz w:val="28"/>
          <w:szCs w:val="28"/>
          <w:lang w:val="en-US" w:eastAsia="zh-CN" w:bidi="ar"/>
        </w:rPr>
        <w:t>（2）保密要求：投标人保证在项目过程中有可能涉及到的涉密数据、个人隐私数据的安全；最终用户对投标人提供的各种形式的相关资料有保密义务，不得提供给与本合同无关的第三方；投标人在实施本项目过程中，接触到用户的涉密信息，包括以各种形式存在的国家秘密、工作秘密和商业秘密信息，有保密义务，不得向第三方泄露；未经用户分管领导批准，投标人不得持有、保存用户的各种涉密载体。如由于投标人不慎泄露涉密数据或隐私数据，由此引发的刑事、民事责任由投标人自行承担。</w:t>
      </w:r>
    </w:p>
    <w:p w14:paraId="197E9037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78" w:beforeAutospacing="0" w:after="0" w:afterAutospacing="0"/>
        <w:ind w:left="0" w:right="0"/>
        <w:jc w:val="left"/>
        <w:textAlignment w:val="baseline"/>
        <w:rPr>
          <w:rFonts w:hint="eastAsia" w:ascii="宋体" w:hAnsi="宋体" w:eastAsia="宋体" w:cs="宋体"/>
          <w:spacing w:val="-6"/>
          <w:sz w:val="24"/>
          <w:szCs w:val="24"/>
        </w:rPr>
      </w:pPr>
      <w:r>
        <w:rPr>
          <w:rFonts w:hint="eastAsia" w:ascii="宋体" w:hAnsi="宋体" w:eastAsia="宋体" w:cs="宋体"/>
          <w:snapToGrid/>
          <w:color w:val="000000"/>
          <w:spacing w:val="-6"/>
          <w:kern w:val="0"/>
          <w:sz w:val="24"/>
          <w:szCs w:val="24"/>
          <w:lang w:val="en-US" w:eastAsia="zh-CN" w:bidi="ar"/>
        </w:rPr>
        <w:t xml:space="preserve"> </w:t>
      </w:r>
    </w:p>
    <w:p w14:paraId="1A08FA2C">
      <w:pPr>
        <w:keepNext w:val="0"/>
        <w:keepLines w:val="0"/>
        <w:widowControl w:val="0"/>
        <w:suppressLineNumbers w:val="0"/>
        <w:kinsoku w:val="0"/>
        <w:autoSpaceDE w:val="0"/>
        <w:autoSpaceDN w:val="0"/>
        <w:adjustRightInd w:val="0"/>
        <w:snapToGrid w:val="0"/>
        <w:spacing w:before="78" w:beforeAutospacing="0" w:after="0" w:afterAutospacing="0"/>
        <w:ind w:left="0" w:right="0"/>
        <w:jc w:val="left"/>
        <w:textAlignment w:val="baseline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napToGrid/>
          <w:color w:val="000000"/>
          <w:spacing w:val="-6"/>
          <w:kern w:val="0"/>
          <w:sz w:val="24"/>
          <w:szCs w:val="24"/>
          <w:lang w:val="en-US" w:eastAsia="zh-CN" w:bidi="ar"/>
        </w:rPr>
        <w:t>注：须完全满足以上商务条件，不满足作无效标处理。</w:t>
      </w:r>
    </w:p>
    <w:p w14:paraId="131E343C">
      <w:pPr>
        <w:pStyle w:val="2"/>
        <w:keepNext w:val="0"/>
        <w:keepLines w:val="0"/>
        <w:widowControl/>
        <w:suppressLineNumbers w:val="0"/>
        <w:rPr>
          <w:rFonts w:hint="eastAsia" w:ascii="仿宋" w:hAnsi="仿宋" w:eastAsia="仿宋" w:cs="仿宋"/>
          <w:color w:val="000000"/>
          <w:sz w:val="30"/>
          <w:szCs w:val="30"/>
        </w:rPr>
      </w:pPr>
    </w:p>
    <w:p w14:paraId="18241D0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87CE1DB"/>
    <w:multiLevelType w:val="multilevel"/>
    <w:tmpl w:val="087CE1DB"/>
    <w:lvl w:ilvl="0" w:tentative="0">
      <w:start w:val="2"/>
      <w:numFmt w:val="decimal"/>
      <w:lvlText w:val="%1."/>
      <w:lvlJc w:val="left"/>
      <w:pPr>
        <w:tabs>
          <w:tab w:val="left" w:pos="312"/>
        </w:tabs>
        <w:ind w:left="0" w:firstLine="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firstLine="65176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firstLine="65176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firstLine="65176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firstLine="65176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firstLine="65176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firstLine="65176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firstLine="65176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firstLine="65176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62970FC"/>
    <w:rsid w:val="37F84F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kinsoku w:val="0"/>
      <w:autoSpaceDE w:val="0"/>
      <w:autoSpaceDN w:val="0"/>
      <w:adjustRightInd w:val="0"/>
      <w:snapToGrid w:val="0"/>
      <w:spacing w:before="0" w:beforeAutospacing="0" w:after="0" w:afterAutospacing="0"/>
      <w:ind w:left="0" w:right="0"/>
      <w:jc w:val="left"/>
      <w:textAlignment w:val="baseline"/>
    </w:pPr>
    <w:rPr>
      <w:rFonts w:hint="eastAsia" w:ascii="仿宋" w:hAnsi="仿宋" w:eastAsia="仿宋" w:cs="仿宋"/>
      <w:snapToGrid/>
      <w:color w:val="000000"/>
      <w:kern w:val="0"/>
      <w:sz w:val="30"/>
      <w:szCs w:val="30"/>
      <w:lang w:val="en-US" w:eastAsia="zh-CN" w:bidi="ar"/>
    </w:rPr>
  </w:style>
  <w:style w:type="table" w:styleId="4">
    <w:name w:val="Table Grid"/>
    <w:basedOn w:val="3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/>
      <w:jc w:val="both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3126</Words>
  <Characters>3222</Characters>
  <Lines>1</Lines>
  <Paragraphs>1</Paragraphs>
  <TotalTime>0</TotalTime>
  <ScaleCrop>false</ScaleCrop>
  <LinksUpToDate>false</LinksUpToDate>
  <CharactersWithSpaces>3224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2026-04-14T07:23:00Z</dcterms:created>
  <dc:creator>Administrator</dc:creator>
  <cp:lastModifiedBy>HP</cp:lastModifiedBy>
  <dcterms:modified xsi:type="dcterms:W3CDTF">2026-05-11T08:28:38Z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eyJoZGlkIjoiYTg3ZjdmN2Q4MzVhOTQyY2QwYTZlYjA1NWQxMGY2ZWQiLCJ1c2VySWQiOiI3ODQ2MzExNDIifQ==</vt:lpwstr>
  </property>
  <property fmtid="{D5CDD505-2E9C-101B-9397-08002B2CF9AE}" pid="4" name="ICV">
    <vt:lpwstr>5917274764A642B88F933FD3FD450826_12</vt:lpwstr>
  </property>
</Properties>
</file>