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before="78" w:line="219" w:lineRule="auto"/>
        <w:jc w:val="center"/>
        <w:outlineLvl w:val="9"/>
        <w:rPr>
          <w:rFonts w:ascii="宋体" w:hAnsi="宋体" w:eastAsia="宋体" w:cs="宋体"/>
          <w:b/>
          <w:bCs/>
          <w:color w:val="auto"/>
          <w:spacing w:val="-5"/>
          <w:sz w:val="24"/>
          <w:szCs w:val="24"/>
          <w:highlight w:val="none"/>
        </w:rPr>
      </w:pPr>
      <w:bookmarkStart w:id="0" w:name="_Toc29217"/>
      <w:r>
        <w:rPr>
          <w:rFonts w:ascii="宋体" w:hAnsi="宋体" w:eastAsia="宋体" w:cs="宋体"/>
          <w:b/>
          <w:bCs/>
          <w:color w:val="auto"/>
          <w:spacing w:val="-5"/>
          <w:sz w:val="24"/>
          <w:szCs w:val="24"/>
          <w:highlight w:val="none"/>
        </w:rPr>
        <w:t>二、采购</w:t>
      </w:r>
      <w:r>
        <w:rPr>
          <w:rFonts w:hint="eastAsia" w:ascii="宋体" w:hAnsi="宋体" w:eastAsia="宋体" w:cs="宋体"/>
          <w:b/>
          <w:bCs/>
          <w:color w:val="auto"/>
          <w:spacing w:val="-5"/>
          <w:sz w:val="24"/>
          <w:szCs w:val="24"/>
          <w:highlight w:val="none"/>
          <w:lang w:val="en-US" w:eastAsia="zh-CN"/>
        </w:rPr>
        <w:t>要</w:t>
      </w:r>
      <w:r>
        <w:rPr>
          <w:rFonts w:ascii="宋体" w:hAnsi="宋体" w:eastAsia="宋体" w:cs="宋体"/>
          <w:b/>
          <w:bCs/>
          <w:color w:val="auto"/>
          <w:spacing w:val="-5"/>
          <w:sz w:val="24"/>
          <w:szCs w:val="24"/>
          <w:highlight w:val="none"/>
        </w:rPr>
        <w:t>求</w:t>
      </w:r>
      <w:bookmarkEnd w:id="0"/>
    </w:p>
    <w:p w14:paraId="5D258939">
      <w:pPr>
        <w:pageBreakBefore w:val="0"/>
        <w:widowControl w:val="0"/>
        <w:wordWrap/>
        <w:overflowPunct/>
        <w:topLinePunct w:val="0"/>
        <w:bidi w:val="0"/>
        <w:spacing w:line="257" w:lineRule="auto"/>
        <w:outlineLvl w:val="9"/>
        <w:rPr>
          <w:color w:val="auto"/>
          <w:highlight w:val="none"/>
        </w:rPr>
      </w:pPr>
    </w:p>
    <w:p w14:paraId="6EF4E5D2">
      <w:pPr>
        <w:pageBreakBefore w:val="0"/>
        <w:widowControl w:val="0"/>
        <w:wordWrap/>
        <w:overflowPunct/>
        <w:topLinePunct w:val="0"/>
        <w:bidi w:val="0"/>
        <w:spacing w:line="258" w:lineRule="auto"/>
        <w:outlineLvl w:val="9"/>
        <w:rPr>
          <w:color w:val="auto"/>
          <w:highlight w:val="none"/>
        </w:rPr>
      </w:pPr>
    </w:p>
    <w:p w14:paraId="0D9C0787">
      <w:pPr>
        <w:pageBreakBefore w:val="0"/>
        <w:widowControl w:val="0"/>
        <w:wordWrap/>
        <w:overflowPunct/>
        <w:topLinePunct w:val="0"/>
        <w:bidi w:val="0"/>
        <w:spacing w:line="258" w:lineRule="auto"/>
        <w:outlineLvl w:val="9"/>
        <w:rPr>
          <w:color w:val="auto"/>
          <w:highlight w:val="none"/>
        </w:rPr>
      </w:pPr>
    </w:p>
    <w:p w14:paraId="213747FE">
      <w:pPr>
        <w:pageBreakBefore w:val="0"/>
        <w:widowControl w:val="0"/>
        <w:wordWrap/>
        <w:overflowPunct/>
        <w:topLinePunct w:val="0"/>
        <w:bidi w:val="0"/>
        <w:spacing w:before="78" w:line="219" w:lineRule="auto"/>
        <w:outlineLvl w:val="9"/>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4A134F56">
      <w:pPr>
        <w:pageBreakBefore w:val="0"/>
        <w:widowControl w:val="0"/>
        <w:wordWrap/>
        <w:overflowPunct/>
        <w:topLinePunct w:val="0"/>
        <w:bidi w:val="0"/>
        <w:spacing w:line="242" w:lineRule="auto"/>
        <w:outlineLvl w:val="9"/>
        <w:rPr>
          <w:color w:val="auto"/>
          <w:highlight w:val="none"/>
        </w:rPr>
      </w:pPr>
    </w:p>
    <w:p w14:paraId="3EF8C992">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一、基本情况</w:t>
      </w:r>
    </w:p>
    <w:p w14:paraId="40F9292A">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全区松林面积</w:t>
      </w:r>
      <w:r>
        <w:rPr>
          <w:rFonts w:hint="eastAsia" w:asciiTheme="minorEastAsia" w:hAnsiTheme="minorEastAsia" w:eastAsiaTheme="minorEastAsia" w:cstheme="minorEastAsia"/>
          <w:b/>
          <w:bCs/>
          <w:color w:val="auto"/>
          <w:spacing w:val="-5"/>
          <w:sz w:val="24"/>
          <w:szCs w:val="24"/>
          <w:lang w:eastAsia="zh-CN"/>
        </w:rPr>
        <w:t>10.86</w:t>
      </w:r>
      <w:r>
        <w:rPr>
          <w:rFonts w:hint="eastAsia" w:asciiTheme="minorEastAsia" w:hAnsiTheme="minorEastAsia" w:eastAsiaTheme="minorEastAsia" w:cstheme="minorEastAsia"/>
          <w:b w:val="0"/>
          <w:bCs w:val="0"/>
          <w:color w:val="auto"/>
          <w:spacing w:val="-5"/>
          <w:sz w:val="24"/>
          <w:szCs w:val="24"/>
          <w:lang w:eastAsia="zh-CN"/>
        </w:rPr>
        <w:t>万亩，普查率达到</w:t>
      </w:r>
      <w:r>
        <w:rPr>
          <w:rFonts w:hint="eastAsia" w:asciiTheme="minorEastAsia" w:hAnsiTheme="minorEastAsia" w:eastAsiaTheme="minorEastAsia" w:cstheme="minorEastAsia"/>
          <w:b/>
          <w:bCs/>
          <w:color w:val="auto"/>
          <w:spacing w:val="-5"/>
          <w:sz w:val="24"/>
          <w:szCs w:val="24"/>
          <w:lang w:eastAsia="zh-CN"/>
        </w:rPr>
        <w:t>100%</w:t>
      </w:r>
      <w:r>
        <w:rPr>
          <w:rFonts w:hint="eastAsia" w:asciiTheme="minorEastAsia" w:hAnsiTheme="minorEastAsia" w:eastAsiaTheme="minorEastAsia" w:cstheme="minorEastAsia"/>
          <w:b w:val="0"/>
          <w:bCs w:val="0"/>
          <w:color w:val="auto"/>
          <w:spacing w:val="-5"/>
          <w:sz w:val="24"/>
          <w:szCs w:val="24"/>
          <w:lang w:eastAsia="zh-CN"/>
        </w:rPr>
        <w:t>。</w:t>
      </w:r>
      <w:r>
        <w:rPr>
          <w:rFonts w:hint="eastAsia" w:asciiTheme="minorEastAsia" w:hAnsiTheme="minorEastAsia" w:eastAsiaTheme="minorEastAsia" w:cstheme="minorEastAsia"/>
          <w:b/>
          <w:bCs/>
          <w:color w:val="auto"/>
          <w:spacing w:val="-5"/>
          <w:sz w:val="24"/>
          <w:szCs w:val="24"/>
          <w:lang w:eastAsia="zh-CN"/>
        </w:rPr>
        <w:t>2025</w:t>
      </w:r>
      <w:r>
        <w:rPr>
          <w:rFonts w:hint="eastAsia" w:asciiTheme="minorEastAsia" w:hAnsiTheme="minorEastAsia" w:eastAsiaTheme="minorEastAsia" w:cstheme="minorEastAsia"/>
          <w:b w:val="0"/>
          <w:bCs w:val="0"/>
          <w:color w:val="auto"/>
          <w:spacing w:val="-5"/>
          <w:sz w:val="24"/>
          <w:szCs w:val="24"/>
          <w:lang w:eastAsia="zh-CN"/>
        </w:rPr>
        <w:t>年秋季普查共发现死树</w:t>
      </w:r>
      <w:r>
        <w:rPr>
          <w:rFonts w:hint="eastAsia" w:asciiTheme="minorEastAsia" w:hAnsiTheme="minorEastAsia" w:eastAsiaTheme="minorEastAsia" w:cstheme="minorEastAsia"/>
          <w:b/>
          <w:bCs/>
          <w:color w:val="auto"/>
          <w:spacing w:val="-5"/>
          <w:sz w:val="24"/>
          <w:szCs w:val="24"/>
          <w:lang w:eastAsia="zh-CN"/>
        </w:rPr>
        <w:t>3514</w:t>
      </w:r>
      <w:r>
        <w:rPr>
          <w:rFonts w:hint="eastAsia" w:asciiTheme="minorEastAsia" w:hAnsiTheme="minorEastAsia" w:eastAsiaTheme="minorEastAsia" w:cstheme="minorEastAsia"/>
          <w:b w:val="0"/>
          <w:bCs w:val="0"/>
          <w:color w:val="auto"/>
          <w:spacing w:val="-5"/>
          <w:sz w:val="24"/>
          <w:szCs w:val="24"/>
          <w:lang w:eastAsia="zh-CN"/>
        </w:rPr>
        <w:t>株，其中松材线虫致病死松树</w:t>
      </w:r>
      <w:r>
        <w:rPr>
          <w:rFonts w:hint="eastAsia" w:asciiTheme="minorEastAsia" w:hAnsiTheme="minorEastAsia" w:eastAsiaTheme="minorEastAsia" w:cstheme="minorEastAsia"/>
          <w:b/>
          <w:bCs/>
          <w:color w:val="auto"/>
          <w:spacing w:val="-5"/>
          <w:sz w:val="24"/>
          <w:szCs w:val="24"/>
          <w:lang w:eastAsia="zh-CN"/>
        </w:rPr>
        <w:t>2533</w:t>
      </w:r>
      <w:r>
        <w:rPr>
          <w:rFonts w:hint="eastAsia" w:asciiTheme="minorEastAsia" w:hAnsiTheme="minorEastAsia" w:eastAsiaTheme="minorEastAsia" w:cstheme="minorEastAsia"/>
          <w:b w:val="0"/>
          <w:bCs w:val="0"/>
          <w:color w:val="auto"/>
          <w:spacing w:val="-5"/>
          <w:sz w:val="24"/>
          <w:szCs w:val="24"/>
          <w:lang w:eastAsia="zh-CN"/>
        </w:rPr>
        <w:t>株，其他原因致死松树</w:t>
      </w:r>
      <w:r>
        <w:rPr>
          <w:rFonts w:hint="eastAsia" w:asciiTheme="minorEastAsia" w:hAnsiTheme="minorEastAsia" w:eastAsiaTheme="minorEastAsia" w:cstheme="minorEastAsia"/>
          <w:b/>
          <w:bCs/>
          <w:color w:val="auto"/>
          <w:spacing w:val="-5"/>
          <w:sz w:val="24"/>
          <w:szCs w:val="24"/>
          <w:lang w:eastAsia="zh-CN"/>
        </w:rPr>
        <w:t>981</w:t>
      </w:r>
      <w:r>
        <w:rPr>
          <w:rFonts w:hint="eastAsia" w:asciiTheme="minorEastAsia" w:hAnsiTheme="minorEastAsia" w:eastAsiaTheme="minorEastAsia" w:cstheme="minorEastAsia"/>
          <w:b w:val="0"/>
          <w:bCs w:val="0"/>
          <w:color w:val="auto"/>
          <w:spacing w:val="-5"/>
          <w:sz w:val="24"/>
          <w:szCs w:val="24"/>
          <w:lang w:eastAsia="zh-CN"/>
        </w:rPr>
        <w:t>株，发生面积</w:t>
      </w:r>
      <w:r>
        <w:rPr>
          <w:rFonts w:hint="eastAsia" w:asciiTheme="minorEastAsia" w:hAnsiTheme="minorEastAsia" w:eastAsiaTheme="minorEastAsia" w:cstheme="minorEastAsia"/>
          <w:b/>
          <w:bCs/>
          <w:color w:val="auto"/>
          <w:spacing w:val="-5"/>
          <w:sz w:val="24"/>
          <w:szCs w:val="24"/>
          <w:lang w:eastAsia="zh-CN"/>
        </w:rPr>
        <w:t>0.40224</w:t>
      </w:r>
      <w:r>
        <w:rPr>
          <w:rFonts w:hint="eastAsia" w:asciiTheme="minorEastAsia" w:hAnsiTheme="minorEastAsia" w:eastAsiaTheme="minorEastAsia" w:cstheme="minorEastAsia"/>
          <w:b w:val="0"/>
          <w:bCs w:val="0"/>
          <w:color w:val="auto"/>
          <w:spacing w:val="-5"/>
          <w:sz w:val="24"/>
          <w:szCs w:val="24"/>
          <w:lang w:eastAsia="zh-CN"/>
        </w:rPr>
        <w:t>万亩，疫情小班</w:t>
      </w:r>
      <w:r>
        <w:rPr>
          <w:rFonts w:hint="eastAsia" w:asciiTheme="minorEastAsia" w:hAnsiTheme="minorEastAsia" w:eastAsiaTheme="minorEastAsia" w:cstheme="minorEastAsia"/>
          <w:b/>
          <w:bCs/>
          <w:color w:val="auto"/>
          <w:spacing w:val="-5"/>
          <w:sz w:val="24"/>
          <w:szCs w:val="24"/>
          <w:lang w:eastAsia="zh-CN"/>
        </w:rPr>
        <w:t>34</w:t>
      </w:r>
      <w:r>
        <w:rPr>
          <w:rFonts w:hint="eastAsia" w:asciiTheme="minorEastAsia" w:hAnsiTheme="minorEastAsia" w:eastAsiaTheme="minorEastAsia" w:cstheme="minorEastAsia"/>
          <w:b w:val="0"/>
          <w:bCs w:val="0"/>
          <w:color w:val="auto"/>
          <w:spacing w:val="-5"/>
          <w:sz w:val="24"/>
          <w:szCs w:val="24"/>
          <w:lang w:eastAsia="zh-CN"/>
        </w:rPr>
        <w:t>个。因松树感染松材线虫病死亡有一个过程，死树的数量是动态变化的，随着时间的推移，死树数量会逐渐增加。</w:t>
      </w:r>
    </w:p>
    <w:p w14:paraId="65940D95">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二、防控目标与步骤</w:t>
      </w:r>
    </w:p>
    <w:p w14:paraId="7CA6CCFF">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（一）目标任务</w:t>
      </w:r>
    </w:p>
    <w:p w14:paraId="44EF03BF">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巩固除治成果，进一步压缩沙溪镇、秦峰镇和朝阳镇的疫情发生面积和病死松树的数量；实现灵溪街道、茅家岭街道和水南街道疫情不反弹；加强北门街道松材线虫病疫情监测，确保第一时间发现新疫情，并及时除治。</w:t>
      </w:r>
    </w:p>
    <w:p w14:paraId="792155B4">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（二）防控步骤</w:t>
      </w:r>
    </w:p>
    <w:p w14:paraId="61309A3E">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1.全面普查阶段。</w:t>
      </w:r>
      <w:r>
        <w:rPr>
          <w:rFonts w:hint="eastAsia" w:asciiTheme="minorEastAsia" w:hAnsiTheme="minorEastAsia" w:eastAsiaTheme="minorEastAsia" w:cstheme="minorEastAsia"/>
          <w:b w:val="0"/>
          <w:bCs w:val="0"/>
          <w:color w:val="auto"/>
          <w:spacing w:val="-5"/>
          <w:sz w:val="24"/>
          <w:szCs w:val="24"/>
          <w:lang w:eastAsia="zh-CN"/>
        </w:rPr>
        <w:t>组织开展枯死松树普查登记、采样，摸清枯死松树分布情况，初步确定疫木除治（择伐清理、皆伐清理）、媒介昆虫防治（打孔注药、释放天敌）的小班，完成报告的提交和数据的录入。</w:t>
      </w:r>
    </w:p>
    <w:p w14:paraId="2B4203EB">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2.前期准备阶段。</w:t>
      </w:r>
      <w:r>
        <w:rPr>
          <w:rFonts w:hint="eastAsia" w:asciiTheme="minorEastAsia" w:hAnsiTheme="minorEastAsia" w:eastAsiaTheme="minorEastAsia" w:cstheme="minorEastAsia"/>
          <w:b w:val="0"/>
          <w:bCs w:val="0"/>
          <w:color w:val="auto"/>
          <w:spacing w:val="-5"/>
          <w:sz w:val="24"/>
          <w:szCs w:val="24"/>
          <w:lang w:eastAsia="zh-CN"/>
        </w:rPr>
        <w:t>制定完成具体防控方案和作业设计等，并报市林业有害生物防控工作指挥部办公室审批。年度防控方案中明确各疫情小班疫木除治（择伐清理、皆伐清理）和媒介昆虫防治（打孔注药、释放天敌）等相应的防控措施。</w:t>
      </w:r>
    </w:p>
    <w:p w14:paraId="3BDDA125">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3.集中会战阶段。</w:t>
      </w:r>
      <w:r>
        <w:rPr>
          <w:rFonts w:hint="eastAsia" w:asciiTheme="minorEastAsia" w:hAnsiTheme="minorEastAsia" w:eastAsiaTheme="minorEastAsia" w:cstheme="minorEastAsia"/>
          <w:b w:val="0"/>
          <w:bCs w:val="0"/>
          <w:color w:val="auto"/>
          <w:spacing w:val="-5"/>
          <w:sz w:val="24"/>
          <w:szCs w:val="24"/>
          <w:lang w:eastAsia="zh-CN"/>
        </w:rPr>
        <w:t>镇街为疫木除治和综合防治（疫木择伐清理、皆伐清理以及松树打孔注药、释放天敌）的责任主体，区林业分局负责业务指导服务、跟踪监督、质量检查等。</w:t>
      </w:r>
    </w:p>
    <w:p w14:paraId="7D14939E">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4.检查验收阶段。</w:t>
      </w:r>
      <w:r>
        <w:rPr>
          <w:rFonts w:hint="eastAsia" w:asciiTheme="minorEastAsia" w:hAnsiTheme="minorEastAsia" w:eastAsiaTheme="minorEastAsia" w:cstheme="minorEastAsia"/>
          <w:b w:val="0"/>
          <w:bCs w:val="0"/>
          <w:color w:val="auto"/>
          <w:spacing w:val="-5"/>
          <w:sz w:val="24"/>
          <w:szCs w:val="24"/>
          <w:lang w:eastAsia="zh-CN"/>
        </w:rPr>
        <w:t>完成本辖区内的松材线虫病除治自查验收工作，并形成报告报区林业分局核查，核查合格后报省市复核。</w:t>
      </w:r>
    </w:p>
    <w:p w14:paraId="05F07887">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（三）防控任务</w:t>
      </w:r>
    </w:p>
    <w:p w14:paraId="4BEBB88D">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做好枯死松树集中和日常的清理工作，枯死松树除治以单株清理为主，结合小片皆伐更新造林;做好综合防治工作，对主要干道沿线、名胜风景区及重点地区实施松林打孔注药、投放花绒寄甲等措施；加强检疫执法，组织林业执法力量对发生疫情村房前屋后、涉木企业和在建工程进行执法检查，集中销毁存放、使用的松木材料（包括松柴），严厉打击违法经营加工行为，最大限度地消除疫情传播源。</w:t>
      </w:r>
    </w:p>
    <w:p w14:paraId="721DB298">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三、疫情防治</w:t>
      </w:r>
    </w:p>
    <w:p w14:paraId="4F5DAC5D">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（一）总体思路</w:t>
      </w:r>
    </w:p>
    <w:p w14:paraId="4A35CB7A">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以保护松林资源，营造健康森林为总原则，坚持预防为主、治理为要、监管为重的防控理念，以全面控制为目标，按照分区分级管理、科学精准施策要求，加大风景名胜区等重点生态区域疫情防控力度，加强疫情监测、强化疫源管控、提高清理质量，确保完成“控制增量，消减存量”和疫情发生面积株数、镇街疫点数量“双下降”的目标任务，切实提高我区松材线虫病防控能力和水平，有效遏制疫情扩散蔓延态势，为城市提供生态保障。</w:t>
      </w:r>
    </w:p>
    <w:p w14:paraId="275401B5">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（二）防控区划</w:t>
      </w:r>
    </w:p>
    <w:p w14:paraId="7C3FD9F0">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根据我区森林资源分布和松材线虫病发生情况，将我区划分为四类区域，即重点预防区、重型疫区、新拔除疫情区、一般预防区。通过划分区域类别，分别确定具体目标和防控措施，因地制宜，分类施策，科学治理。</w:t>
      </w:r>
    </w:p>
    <w:p w14:paraId="2E6E7D01">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1.重点预防区：</w:t>
      </w:r>
      <w:r>
        <w:rPr>
          <w:rFonts w:hint="eastAsia" w:asciiTheme="minorEastAsia" w:hAnsiTheme="minorEastAsia" w:eastAsiaTheme="minorEastAsia" w:cstheme="minorEastAsia"/>
          <w:b w:val="0"/>
          <w:bCs w:val="0"/>
          <w:color w:val="auto"/>
          <w:spacing w:val="-5"/>
          <w:sz w:val="24"/>
          <w:szCs w:val="24"/>
          <w:lang w:eastAsia="zh-CN"/>
        </w:rPr>
        <w:t>云碧峰国家森林公园、三清山机场周边及茅家岭烈士陵园、龙潭湖公园和紫阳公园。</w:t>
      </w:r>
    </w:p>
    <w:p w14:paraId="113E45C6">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防控目标：严防疫情传入，确保始终不发生疫情为目标。</w:t>
      </w:r>
    </w:p>
    <w:p w14:paraId="620FFC36">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采取措施：加强疫情监测和检疫执法，结合打孔注药保护优势松树。</w:t>
      </w:r>
    </w:p>
    <w:p w14:paraId="667C87CC">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2.重型疫区：</w:t>
      </w:r>
      <w:r>
        <w:rPr>
          <w:rFonts w:hint="eastAsia" w:asciiTheme="minorEastAsia" w:hAnsiTheme="minorEastAsia" w:eastAsiaTheme="minorEastAsia" w:cstheme="minorEastAsia"/>
          <w:b w:val="0"/>
          <w:bCs w:val="0"/>
          <w:color w:val="auto"/>
          <w:spacing w:val="-5"/>
          <w:sz w:val="24"/>
          <w:szCs w:val="24"/>
          <w:lang w:eastAsia="zh-CN"/>
        </w:rPr>
        <w:t>沙溪镇、秦峰镇和朝阳镇。</w:t>
      </w:r>
    </w:p>
    <w:p w14:paraId="65967B31">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防控目标：通过严格有效的管控，阻击松材线虫病，防止疫情扩散蔓延，由外向内压缩疫情。</w:t>
      </w:r>
    </w:p>
    <w:p w14:paraId="285B0030">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采取措施：一是按照“由外向内、先轻后重、先易后难、先重点后一般”的原则，采取集中除治和即死即清相结合的方式，全面、及时清除辖区范围内病枯死松树；二是强化疫木监管，严格落实现场监管人员，确保除治质量达标、疫木流向明确；三是加大检疫执法力度，坚决打击违法采伐、调运、经营、加工、利用松科植物及其制品的行为；四是对镇街边界区域，重点生态区域周边，高铁高速、国省道沿线等重点区域以及松树占比较高、死树量大的林分，优先开展林相改造，人工更新，营造以油茶为主的健康林，由外向内压缩疫情范围。五是对疫情发生区域通过媒介昆虫防治等方式，控制松褐天牛种群密度，强化优势松树保护。</w:t>
      </w:r>
    </w:p>
    <w:p w14:paraId="1759328F">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3.新拔除疫情区：</w:t>
      </w:r>
      <w:r>
        <w:rPr>
          <w:rFonts w:hint="eastAsia" w:asciiTheme="minorEastAsia" w:hAnsiTheme="minorEastAsia" w:eastAsiaTheme="minorEastAsia" w:cstheme="minorEastAsia"/>
          <w:b w:val="0"/>
          <w:bCs w:val="0"/>
          <w:color w:val="auto"/>
          <w:spacing w:val="-5"/>
          <w:sz w:val="24"/>
          <w:szCs w:val="24"/>
          <w:lang w:eastAsia="zh-CN"/>
        </w:rPr>
        <w:t>灵溪街道、茅家岭街道和水南街道。</w:t>
      </w:r>
    </w:p>
    <w:p w14:paraId="1C4524D5">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防控目标：加强综合防控，防止疫情反弹为目标。</w:t>
      </w:r>
    </w:p>
    <w:p w14:paraId="034AF16C">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采取措施：按照“集中歼灭”原则，着重突出“清、保、改”三项技术措施歼灭疫情。“集中清理”和“即死即清”相结合，全面、及时采伐清理辖区范围内濒死、枯死、因灾致死松树；对重点区域的大径材松树采取打孔注药保护的方式，有效控制疫情。针对纯松林区域，可采取“改”的方式，即在清理枯死松树的基础上，开展林相改造，补植阔叶树。加大检疫执法力度，严厉打击违法调运、经营、加工、利用松科植物及其制品的行为。</w:t>
      </w:r>
    </w:p>
    <w:p w14:paraId="10C7E032">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4.一般预防区：</w:t>
      </w:r>
      <w:r>
        <w:rPr>
          <w:rFonts w:hint="eastAsia" w:asciiTheme="minorEastAsia" w:hAnsiTheme="minorEastAsia" w:eastAsiaTheme="minorEastAsia" w:cstheme="minorEastAsia"/>
          <w:b w:val="0"/>
          <w:bCs w:val="0"/>
          <w:color w:val="auto"/>
          <w:spacing w:val="-5"/>
          <w:sz w:val="24"/>
          <w:szCs w:val="24"/>
          <w:lang w:eastAsia="zh-CN"/>
        </w:rPr>
        <w:t>北门街道。</w:t>
      </w:r>
    </w:p>
    <w:p w14:paraId="1453DC34">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防控目标：以严防疫情传入为目标。</w:t>
      </w:r>
    </w:p>
    <w:p w14:paraId="609B96DA">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采取措施：采取专项普查和日常监测相结合的普查监测制度，实现监测全覆盖，确保第一时间发现疫情、第一时间开展除治，做到“即死即清”，并增加对大树打孔注药保护。</w:t>
      </w:r>
    </w:p>
    <w:p w14:paraId="7B2E4BF7">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（三）主要防治措施</w:t>
      </w:r>
    </w:p>
    <w:p w14:paraId="6AE3ED7C">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1.疫木除治</w:t>
      </w:r>
    </w:p>
    <w:p w14:paraId="6072FA7D">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（1）择伐清理（由镇街组织实施，区林业分局负责业务指导服务、跟踪监督、质量检查等工作）</w:t>
      </w:r>
    </w:p>
    <w:p w14:paraId="7FBDFA36">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除治时间：详见《饶信府字【2025】83号文》规定要求，若采购人另有要求，以合同为准。</w:t>
      </w:r>
    </w:p>
    <w:p w14:paraId="2F20B131">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除治对象：辖区内所有死亡（病死、其他原因致死）松木。</w:t>
      </w:r>
    </w:p>
    <w:p w14:paraId="6A24B0D9">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施工队伍：由镇街组织招投标（或政府采购），确定信用等级高的专业化除治公司开展除治。</w:t>
      </w:r>
    </w:p>
    <w:p w14:paraId="7F4FC123">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施工队伍基本条件：为更好的确保除治效果，完成除治任务，除治公司不在江西省森林保护专业委员会公布的失信名单内。除治公司在除治过程中出现重大事故、弄虚作假、除治质量不达标或受到上级部门通报等情况的，两年内不得在信州区内从事松材线虫病除治工作等林业灾害综合防治工作。</w:t>
      </w:r>
    </w:p>
    <w:p w14:paraId="200A28AF">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作业要求：清理疫木前以镇街或村居为单位编制采伐设计，填报林木采伐简易申报卡，统一办理采伐许可。疫木清理统一按照“5、1、0”的要求实施，即伐桩高度不得超过5厘米；山场1厘米以上的枝桠和主材全部处理干净；小班及其周边死树和附近村庄松材全部清零。疫木采伐后伐兜需按顺序编号，疫木以焚烧处理为主，为降低防火压力和火场人工看护成本，主材可就地就近送往疫木定点企业进行闭环无害化处理。经区林业分局、属地镇街综合认定，对于人迹罕至、不通道路的小班，可采取钢丝网罩处理（按第三方评估株数结算费用），也可以在满足用火条件的前提下经审批后采取焚烧方式进行无害化处理（按第三方验收株数结算费用）。严禁未经审批擅自焚烧疫木，一经发现将依照《江西省森林防火条例》进行处罚。</w:t>
      </w:r>
    </w:p>
    <w:p w14:paraId="172FB49A">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（2）皆伐清理（由镇街组织实施，区林业分局负责业务指导服务、跟踪监督等工作）</w:t>
      </w:r>
    </w:p>
    <w:p w14:paraId="1581FB3A">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除治对象：对疫情严重的或森林生态条件好的区域，可结合疫木除治开展低产低效林改造，更新采伐，营造以油茶为主的健康林，提高对松材线虫病的抵御能力。</w:t>
      </w:r>
    </w:p>
    <w:p w14:paraId="5AA6ABFA">
      <w:pPr>
        <w:widowControl w:val="0"/>
        <w:spacing w:before="78" w:line="360" w:lineRule="auto"/>
        <w:ind w:firstLine="460" w:firstLineChars="200"/>
        <w:rPr>
          <w:rFonts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皆伐小班应以镇街或村居为单位编制采伐设计和造林作业设计。皆伐后的林木就地就近运往疫木无害化处理定点企业闭环无害化处理。</w:t>
      </w:r>
    </w:p>
    <w:p w14:paraId="7A92381B">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作业要求：同择伐清理，参照“5、1、0”标准实施。</w:t>
      </w:r>
    </w:p>
    <w:p w14:paraId="65494D2C">
      <w:pPr>
        <w:widowControl w:val="0"/>
        <w:spacing w:before="78"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（3）即死即清（由各镇街组织实施，区林业分局做好配合工作）</w:t>
      </w:r>
    </w:p>
    <w:p w14:paraId="3F6E8DC1">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除治对象：集中除治后又发现的零星死亡松树。</w:t>
      </w:r>
    </w:p>
    <w:p w14:paraId="3AAA3152">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施工队伍：由属地镇街组织信用等级高的专业化除治公司进行日常清理。</w:t>
      </w:r>
    </w:p>
    <w:p w14:paraId="7D525C61">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作业要求：按照“5、1、0”标准执行。其中，针对零星分布和重点区域内的病枯死松树，发现一株、除治一株，采取就地焚烧处理，并进行编号、定位，拍照存档，“即死即清”处理的疫木，按株数结算费用（价格参考集中除治单价）。</w:t>
      </w:r>
    </w:p>
    <w:p w14:paraId="48EE4194">
      <w:pPr>
        <w:widowControl w:val="0"/>
        <w:spacing w:before="78"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（4）征占用林地采伐</w:t>
      </w:r>
    </w:p>
    <w:p w14:paraId="25F22BB4">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征占用林地、低产低效林改造、森林抚育、火烧迹地清理等涉及采伐松木的建设项目，要按照《关于进一步加强松木采伐管理的通知》（饶林防字〔2022〕52号）文件要求对采伐的松科植物实行单独堆放，凭《建设项目涉及的松木采伐疫木无害化处理联系单》，由符合疫木运输条件的封闭型厢式货车就地就近送往疫木定点企业进行无害化处理，其他任何车辆均不得擅自运输。松木原则上做到日采日处，即当天伐倒松木的当天下山、当天装车运至疫木定点企业、当天实行无害化处理，做到松木采伐、集材、装车、运输、送达、处理等环节全过程闭环监管。采伐期间由所在镇街指定专人对松木的采伐和运输实施监管，认真登记采伐规格、数量、运输车辆等信息，确保采伐与运输的数量一致，严防松木外流。</w:t>
      </w:r>
    </w:p>
    <w:p w14:paraId="102A6E91">
      <w:pPr>
        <w:widowControl w:val="0"/>
        <w:spacing w:before="78"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（5）焚烧要求</w:t>
      </w:r>
    </w:p>
    <w:p w14:paraId="59B4CCD0">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一是实行审批报备。按照《江西省森林防火条例》规定，实行审批报备，报告用火时间、植被情况、气候条件、用火人员、看护人员、管护措施。施工单位在作业施工前，需将《特殊野外用火审批表》报告所在镇街，经区林业主管部门与区应急管理部门审核后，由区人民政府审批，并在江西省野外特殊用火监管平台备案。</w:t>
      </w:r>
    </w:p>
    <w:p w14:paraId="0A24BC9F">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二是明确用火条件。松材线虫病疫木销毁野外用火必须在阴雨天，地面、空气达到相应湿度等条件下方能实施，用火范围周边相对空旷，确保安全用火。</w:t>
      </w:r>
    </w:p>
    <w:p w14:paraId="20E1040D">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三是提升应急能力。焚烧现场必须配备不少于2名施工人员、1名镇（村）现场监管人员以及必要的扑火器具，实行全过程旁站式监管。疫木烧毁处理现场，施工作业人员应当做好影像记录、台账登记，并存档备查。每日17：00前各焚烧点必须将余火熄灭，余火未彻底熄灭前看守人员不允许离开。</w:t>
      </w:r>
    </w:p>
    <w:p w14:paraId="0C695EC8">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各镇街应密切关注各地疫木野外用火情况，提升森林消防应急能力，有效杜绝因疫木销毁用火造成的森林火灾。</w:t>
      </w:r>
    </w:p>
    <w:p w14:paraId="2BA332FE">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四是执行禁烧规定。做到焚烧场地不安全不烧、点火时间晚不烧、风较大不烧、值守人员不到位不烧、打火工具不备齐不烧、重点区域不烧。对违反相关要求的责任单位或个人，将视情况依法依规严肃处理。</w:t>
      </w:r>
    </w:p>
    <w:p w14:paraId="001F6898">
      <w:pPr>
        <w:widowControl w:val="0"/>
        <w:spacing w:before="78"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2.综合防治措施</w:t>
      </w:r>
    </w:p>
    <w:p w14:paraId="03965205">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为切实做好松褐天牛防治工作，特别是做好重点预防区松褐天牛防治，降低松褐天牛的虫口密度，严防疫情发生和蔓延，采取天敌生物、打孔注药和改造林分等多种举措对重点预防区进行综合防治。</w:t>
      </w:r>
    </w:p>
    <w:p w14:paraId="6B57C330">
      <w:pPr>
        <w:widowControl w:val="0"/>
        <w:spacing w:before="78" w:line="360" w:lineRule="auto"/>
        <w:ind w:firstLine="482"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bCs/>
          <w:color w:val="auto"/>
          <w:sz w:val="24"/>
          <w:szCs w:val="24"/>
          <w:lang w:eastAsia="zh-CN"/>
        </w:rPr>
        <w:t>（1）天敌生物</w:t>
      </w:r>
    </w:p>
    <w:p w14:paraId="2E62A655">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设置地点:重点治理区和一般预防区，实施面积4000亩，预计施放8万头花绒寄甲。（沙溪镇、秦峰镇和朝阳镇）。</w:t>
      </w:r>
    </w:p>
    <w:p w14:paraId="2AC7AED7">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作业要求：在弱势松树上按每株1管，每亩3-4管，进行投放，将装有花绒寄甲的试管瓶口朝下倾斜固定在松树上。</w:t>
      </w:r>
    </w:p>
    <w:p w14:paraId="10A58B3A">
      <w:pPr>
        <w:widowControl w:val="0"/>
        <w:spacing w:before="78"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（2）打孔注药</w:t>
      </w:r>
    </w:p>
    <w:p w14:paraId="47D144FD">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实施对象：干道沿线、名胜风景区及重点地区实施松林打孔注药，预计打孔注药1.5万株，注药2万针（沙溪镇、秦峰镇和朝阳镇）。</w:t>
      </w:r>
    </w:p>
    <w:p w14:paraId="4896FD80">
      <w:pPr>
        <w:widowControl w:val="0"/>
        <w:spacing w:before="78" w:line="360" w:lineRule="auto"/>
        <w:ind w:firstLine="480" w:firstLineChars="200"/>
        <w:rPr>
          <w:rFonts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实施方法：对实施小班打孔注药，胸径20cm松树注药1瓶，21-30cm胸径注药增加1瓶，以此类推，注孔向下倾斜。</w:t>
      </w:r>
    </w:p>
    <w:p w14:paraId="4D8DA43A">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严格按照相关技术要求实施打孔注药工作，打孔注药所需费用，严格按照市林防指办《关于做好重点预防区打孔注药工作的紧急通知》（饶林防指办〔2022〕11号）要求，经验收合格后按“4、5、1”的比例分3年进行支付。</w:t>
      </w:r>
    </w:p>
    <w:p w14:paraId="4B3548F1">
      <w:pPr>
        <w:widowControl w:val="0"/>
        <w:spacing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3、检疫监管</w:t>
      </w:r>
    </w:p>
    <w:p w14:paraId="493DF018">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1）强化除治山场监管。镇街要落实属地管理责任，成立现场监管队伍，对每一个疫情小班的除治工作进行现场监管。其中，钢丝网罩处理的，处理前、后要使用元道经纬相机App的水印照片模式定位拍照存档，并由现场监管人员签字确认，确保质量。区林业主管部门组织专业技术人员到山场进行现场技术指导和抽查监管。所有除治小班做到除治一个，监管检查一个，确保除治质量到位、疫木源头不流失。</w:t>
      </w:r>
    </w:p>
    <w:p w14:paraId="1B3F4BA6">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（2）强化涉木企业监管。区林业主管部门对辖区内木材经营加工企业建档，经常性开展检疫检查，严肃查处违法违规收购、采伐、运输、经营、加工、利用松科植物及其制品的行为。</w:t>
      </w:r>
    </w:p>
    <w:p w14:paraId="0A506618">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3）强化疫木处置监管。疫木处理以焚烧为主，对现场条件不满足焚烧条件的疫木，则主材下山并一律送往疫木定点无害化处理企业进行无害化处理。定点企业必须凭运输车辆同行的疫木联系单收购疫木，并建立包括疫木入厂时间、疫木运输车牌号、联系单号、疫木种类（原木、枝桠）及数量（吨）、疫木来源等内容的收购台账。</w:t>
      </w:r>
    </w:p>
    <w:p w14:paraId="7E7FFBE5">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严禁定点企业收购无联系单的疫木、严禁跨县级行政区域收购疫木、严禁非定点企业从事疫木的收购和加工经营活动，一经发现将按照非法收购疫木案件严肃查处。</w:t>
      </w:r>
    </w:p>
    <w:p w14:paraId="79D23D6B">
      <w:pPr>
        <w:widowControl w:val="0"/>
        <w:spacing w:line="360" w:lineRule="auto"/>
        <w:ind w:firstLine="482"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bCs/>
          <w:color w:val="auto"/>
          <w:sz w:val="24"/>
          <w:szCs w:val="24"/>
          <w:lang w:eastAsia="zh-CN"/>
        </w:rPr>
        <w:t>4、检疫检查</w:t>
      </w:r>
      <w:r>
        <w:rPr>
          <w:rFonts w:hint="eastAsia" w:asciiTheme="minorEastAsia" w:hAnsiTheme="minorEastAsia" w:eastAsiaTheme="minorEastAsia" w:cstheme="minorEastAsia"/>
          <w:b w:val="0"/>
          <w:bCs w:val="0"/>
          <w:color w:val="auto"/>
          <w:sz w:val="24"/>
          <w:szCs w:val="24"/>
          <w:lang w:eastAsia="zh-CN"/>
        </w:rPr>
        <w:t>（该项工作由区林业分局牵头，相关职能部门各负其职）</w:t>
      </w:r>
    </w:p>
    <w:p w14:paraId="6C1A6356">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在全区范围内开展检疫检查，主要查处涉木企业是否有违规加工经营疫木，百姓房前屋后是否有疫木堆放。强调住房和城乡建设（园林）、交通运输、民政、市管、工信、文广新旅、科技、出入境检验检疫、铁路、电力、通信、邮政等部门的分工协作，严肃“森林植物及产品落地报检”制度。</w:t>
      </w:r>
    </w:p>
    <w:p w14:paraId="426A149B">
      <w:pPr>
        <w:widowControl w:val="0"/>
        <w:spacing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（四）档案管理</w:t>
      </w:r>
    </w:p>
    <w:p w14:paraId="0D7BEA8A">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建立完整的松材线虫病防控资料，所有资料要求专人保管，主要包括：</w:t>
      </w:r>
    </w:p>
    <w:p w14:paraId="1BFCF3D6">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1、政府和主管部门制定印发的松材线虫病相关文件、防治方案、防治经费以及相关会议资料。</w:t>
      </w:r>
    </w:p>
    <w:p w14:paraId="213DCE39">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2、松材线虫病疫情监测、普查、取样、检测和除治监督等工作台账。</w:t>
      </w:r>
    </w:p>
    <w:p w14:paraId="284DAF62">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3、辖区内检疫检查、涉木企业及个人登记备案情况。</w:t>
      </w:r>
    </w:p>
    <w:p w14:paraId="2720790D">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4、松材线虫病除治作业、疫木监管等情况。</w:t>
      </w:r>
    </w:p>
    <w:p w14:paraId="66BA5F86">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5、松材线虫病除治现场图片、影像等资料。</w:t>
      </w:r>
    </w:p>
    <w:p w14:paraId="06F06355">
      <w:pPr>
        <w:widowControl w:val="0"/>
        <w:spacing w:line="360" w:lineRule="auto"/>
        <w:ind w:firstLine="480" w:firstLineChars="200"/>
        <w:rPr>
          <w:rFonts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6、松材线虫病防治成效检查、工作总结等材料。</w:t>
      </w:r>
    </w:p>
    <w:p w14:paraId="6FD28AB7">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四、除治质量验收及绩效评价</w:t>
      </w:r>
    </w:p>
    <w:p w14:paraId="2F244CDA">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（一）除治质量验收</w:t>
      </w:r>
    </w:p>
    <w:p w14:paraId="594E177C">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1、验收组织</w:t>
      </w:r>
    </w:p>
    <w:p w14:paraId="6D06CF7C">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3月31日前，由各镇街组织相关人员或聘请第三方评估公司完成本辖区内松材线虫病除治自查验收工作，并形成验收报告报区林业分局，由区林业分局组织进行核查，合格后报省市进行复核。</w:t>
      </w:r>
    </w:p>
    <w:p w14:paraId="0CF01EBC">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2、核查内容</w:t>
      </w:r>
    </w:p>
    <w:p w14:paraId="017EA938">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枯死松木除治完成情况、除治质量情况、疫木源头管理情况和影像资料档案管理情况等内容。</w:t>
      </w:r>
    </w:p>
    <w:p w14:paraId="2410900F">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（1）除治完成情况。实地调查除治小班病（枯）死松木的伐除率。</w:t>
      </w:r>
    </w:p>
    <w:p w14:paraId="46403BAC">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（2）除治质量情况。实地调查除治小班是否严格按照技术规程开展除治，调查病（枯）死松木除治合格率。</w:t>
      </w:r>
    </w:p>
    <w:p w14:paraId="7479DC53">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3）疫木源头管理情况。通过随机抽查除治小班所在村的3－5户农户，核查房前屋后是否堆放松木、松枝、松柴块和松木制品；通过实地核查疫点镇街境内的涉木企业是否存在违规加工、收购松木及其制品行为；通过核实小班被采伐松木去向是否明确等方式检查疫木源头管理情况。</w:t>
      </w:r>
    </w:p>
    <w:p w14:paraId="2B49C864">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（4）影像资料档案管理情况。检查除治日报表、现场监督记录、除治照片等资料是否完整。</w:t>
      </w:r>
    </w:p>
    <w:p w14:paraId="48ABF6C5">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五、经费预算</w:t>
      </w:r>
    </w:p>
    <w:p w14:paraId="255391C5">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根据询价及参考周边县区情况，结合我区实际，原则上以株数结算疫木除治费用（地径8厘米以下不计算费用），结算情况：疫木除治单价分区域定价，水南街道、茅家岭街道和北门街道单价最高为60元/株；沙溪镇、秦峰镇、朝阳镇和灵溪街道单价最高为70元/株（相对集中连片的择伐清理单价最高为60元/株）；打孔注药所需费用，严格按照市林防指办《关于做好重点预防区打孔注药工作的紧急通知》（饶林防指办〔2022〕11号）要求，每针不能高于12元。</w:t>
      </w:r>
    </w:p>
    <w:p w14:paraId="01643E85">
      <w:pPr>
        <w:widowControl w:val="0"/>
        <w:spacing w:before="78" w:line="360" w:lineRule="auto"/>
        <w:jc w:val="center"/>
        <w:rPr>
          <w:rFonts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2025-2026年度松材线虫病防治工作所需经费预算表</w:t>
      </w:r>
    </w:p>
    <w:tbl>
      <w:tblPr>
        <w:tblStyle w:val="26"/>
        <w:tblW w:w="937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28"/>
        <w:gridCol w:w="2178"/>
        <w:gridCol w:w="1570"/>
        <w:gridCol w:w="1633"/>
        <w:gridCol w:w="1183"/>
        <w:gridCol w:w="1381"/>
      </w:tblGrid>
      <w:tr w14:paraId="61BE3A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3606" w:type="dxa"/>
            <w:gridSpan w:val="2"/>
            <w:vAlign w:val="top"/>
          </w:tcPr>
          <w:p w14:paraId="0C8E67DF">
            <w:pPr>
              <w:spacing w:before="229" w:line="222" w:lineRule="auto"/>
              <w:ind w:left="153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5"/>
                <w:sz w:val="24"/>
                <w:szCs w:val="24"/>
              </w:rPr>
              <w:t>项目</w:t>
            </w:r>
          </w:p>
        </w:tc>
        <w:tc>
          <w:tcPr>
            <w:tcW w:w="1570" w:type="dxa"/>
            <w:vAlign w:val="top"/>
          </w:tcPr>
          <w:p w14:paraId="3AD188CE">
            <w:pPr>
              <w:spacing w:before="229" w:line="223" w:lineRule="auto"/>
              <w:ind w:left="51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6"/>
                <w:sz w:val="24"/>
                <w:szCs w:val="24"/>
              </w:rPr>
              <w:t>数量</w:t>
            </w:r>
          </w:p>
        </w:tc>
        <w:tc>
          <w:tcPr>
            <w:tcW w:w="1633" w:type="dxa"/>
            <w:vAlign w:val="top"/>
          </w:tcPr>
          <w:p w14:paraId="76CB83A8">
            <w:pPr>
              <w:spacing w:before="229" w:line="222" w:lineRule="auto"/>
              <w:ind w:left="55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9"/>
                <w:sz w:val="24"/>
                <w:szCs w:val="24"/>
              </w:rPr>
              <w:t>单价</w:t>
            </w:r>
          </w:p>
        </w:tc>
        <w:tc>
          <w:tcPr>
            <w:tcW w:w="1183" w:type="dxa"/>
            <w:vAlign w:val="top"/>
          </w:tcPr>
          <w:p w14:paraId="0DE9D281">
            <w:pPr>
              <w:spacing w:before="229" w:line="222" w:lineRule="auto"/>
              <w:ind w:left="323"/>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6"/>
                <w:sz w:val="24"/>
                <w:szCs w:val="24"/>
              </w:rPr>
              <w:t>金额</w:t>
            </w:r>
          </w:p>
        </w:tc>
        <w:tc>
          <w:tcPr>
            <w:tcW w:w="1381" w:type="dxa"/>
            <w:vAlign w:val="top"/>
          </w:tcPr>
          <w:p w14:paraId="6B15ACCD">
            <w:pPr>
              <w:spacing w:before="230" w:line="224" w:lineRule="auto"/>
              <w:ind w:left="41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6"/>
                <w:sz w:val="24"/>
                <w:szCs w:val="24"/>
              </w:rPr>
              <w:t>合计</w:t>
            </w:r>
          </w:p>
        </w:tc>
      </w:tr>
      <w:tr w14:paraId="51DE63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428" w:type="dxa"/>
            <w:vMerge w:val="restart"/>
            <w:tcBorders>
              <w:bottom w:val="nil"/>
            </w:tcBorders>
            <w:vAlign w:val="center"/>
          </w:tcPr>
          <w:p w14:paraId="0CF51067">
            <w:pPr>
              <w:pStyle w:val="27"/>
              <w:spacing w:before="91" w:line="221" w:lineRule="auto"/>
              <w:jc w:val="center"/>
              <w:rPr>
                <w:rFonts w:hint="eastAsia" w:asciiTheme="majorEastAsia" w:hAnsiTheme="majorEastAsia" w:eastAsiaTheme="majorEastAsia" w:cstheme="majorEastAsia"/>
                <w:b w:val="0"/>
                <w:bCs w:val="0"/>
                <w:spacing w:val="-2"/>
                <w:sz w:val="24"/>
                <w:szCs w:val="24"/>
              </w:rPr>
            </w:pPr>
            <w:r>
              <w:rPr>
                <w:rFonts w:hint="eastAsia" w:asciiTheme="majorEastAsia" w:hAnsiTheme="majorEastAsia" w:eastAsiaTheme="majorEastAsia" w:cstheme="majorEastAsia"/>
                <w:b w:val="0"/>
                <w:bCs w:val="0"/>
                <w:spacing w:val="-2"/>
                <w:sz w:val="24"/>
                <w:szCs w:val="24"/>
              </w:rPr>
              <w:t>监测</w:t>
            </w:r>
          </w:p>
        </w:tc>
        <w:tc>
          <w:tcPr>
            <w:tcW w:w="2178" w:type="dxa"/>
            <w:vAlign w:val="top"/>
          </w:tcPr>
          <w:p w14:paraId="535ABFDD">
            <w:pPr>
              <w:spacing w:before="223" w:line="219" w:lineRule="auto"/>
              <w:ind w:left="12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3"/>
                <w:sz w:val="24"/>
                <w:szCs w:val="24"/>
              </w:rPr>
              <w:t>春、秋专项普查</w:t>
            </w:r>
          </w:p>
        </w:tc>
        <w:tc>
          <w:tcPr>
            <w:tcW w:w="1570" w:type="dxa"/>
            <w:vAlign w:val="top"/>
          </w:tcPr>
          <w:p w14:paraId="5EFEF7E6">
            <w:pPr>
              <w:pStyle w:val="27"/>
              <w:spacing w:before="225" w:line="221" w:lineRule="auto"/>
              <w:ind w:left="17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7"/>
                <w:sz w:val="24"/>
                <w:szCs w:val="24"/>
              </w:rPr>
              <w:t>10.86</w:t>
            </w:r>
            <w:r>
              <w:rPr>
                <w:rFonts w:hint="eastAsia" w:asciiTheme="majorEastAsia" w:hAnsiTheme="majorEastAsia" w:eastAsiaTheme="majorEastAsia" w:cstheme="majorEastAsia"/>
                <w:spacing w:val="-7"/>
                <w:sz w:val="24"/>
                <w:szCs w:val="24"/>
              </w:rPr>
              <w:t>万亩</w:t>
            </w:r>
          </w:p>
        </w:tc>
        <w:tc>
          <w:tcPr>
            <w:tcW w:w="1633" w:type="dxa"/>
            <w:vAlign w:val="top"/>
          </w:tcPr>
          <w:p w14:paraId="3423B7FD">
            <w:pPr>
              <w:pStyle w:val="27"/>
              <w:spacing w:before="224" w:line="222" w:lineRule="auto"/>
              <w:ind w:left="29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0.1</w:t>
            </w:r>
            <w:r>
              <w:rPr>
                <w:rFonts w:hint="eastAsia" w:asciiTheme="majorEastAsia" w:hAnsiTheme="majorEastAsia" w:eastAsiaTheme="majorEastAsia" w:cstheme="majorEastAsia"/>
                <w:spacing w:val="-5"/>
                <w:sz w:val="24"/>
                <w:szCs w:val="24"/>
              </w:rPr>
              <w:t>元</w:t>
            </w:r>
            <w:r>
              <w:rPr>
                <w:rFonts w:hint="eastAsia" w:asciiTheme="majorEastAsia" w:hAnsiTheme="majorEastAsia" w:eastAsiaTheme="majorEastAsia" w:cstheme="majorEastAsia"/>
                <w:b/>
                <w:bCs/>
                <w:spacing w:val="-5"/>
                <w:sz w:val="24"/>
                <w:szCs w:val="24"/>
              </w:rPr>
              <w:t>/</w:t>
            </w:r>
            <w:r>
              <w:rPr>
                <w:rFonts w:hint="eastAsia" w:asciiTheme="majorEastAsia" w:hAnsiTheme="majorEastAsia" w:eastAsiaTheme="majorEastAsia" w:cstheme="majorEastAsia"/>
                <w:spacing w:val="-5"/>
                <w:sz w:val="24"/>
                <w:szCs w:val="24"/>
              </w:rPr>
              <w:t>亩</w:t>
            </w:r>
          </w:p>
        </w:tc>
        <w:tc>
          <w:tcPr>
            <w:tcW w:w="1183" w:type="dxa"/>
            <w:vAlign w:val="top"/>
          </w:tcPr>
          <w:p w14:paraId="362C0F5C">
            <w:pPr>
              <w:pStyle w:val="27"/>
              <w:spacing w:before="225" w:line="221" w:lineRule="auto"/>
              <w:ind w:left="24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2.2</w:t>
            </w:r>
            <w:r>
              <w:rPr>
                <w:rFonts w:hint="eastAsia" w:asciiTheme="majorEastAsia" w:hAnsiTheme="majorEastAsia" w:eastAsiaTheme="majorEastAsia" w:cstheme="majorEastAsia"/>
                <w:spacing w:val="-2"/>
                <w:sz w:val="24"/>
                <w:szCs w:val="24"/>
              </w:rPr>
              <w:t>万</w:t>
            </w:r>
          </w:p>
        </w:tc>
        <w:tc>
          <w:tcPr>
            <w:tcW w:w="1381" w:type="dxa"/>
            <w:vMerge w:val="restart"/>
            <w:tcBorders>
              <w:bottom w:val="nil"/>
            </w:tcBorders>
            <w:vAlign w:val="center"/>
          </w:tcPr>
          <w:p w14:paraId="539E27EC">
            <w:pPr>
              <w:pStyle w:val="27"/>
              <w:spacing w:before="91" w:line="221" w:lineRule="auto"/>
              <w:jc w:val="cente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4.2</w:t>
            </w:r>
            <w:r>
              <w:rPr>
                <w:rFonts w:hint="eastAsia" w:asciiTheme="majorEastAsia" w:hAnsiTheme="majorEastAsia" w:eastAsiaTheme="majorEastAsia" w:cstheme="majorEastAsia"/>
                <w:spacing w:val="-2"/>
                <w:sz w:val="24"/>
                <w:szCs w:val="24"/>
              </w:rPr>
              <w:t>万</w:t>
            </w:r>
          </w:p>
        </w:tc>
      </w:tr>
      <w:tr w14:paraId="69ED68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428" w:type="dxa"/>
            <w:vMerge w:val="continue"/>
            <w:tcBorders>
              <w:top w:val="nil"/>
            </w:tcBorders>
            <w:vAlign w:val="center"/>
          </w:tcPr>
          <w:p w14:paraId="06C86E3A">
            <w:pPr>
              <w:pStyle w:val="27"/>
              <w:spacing w:before="91" w:line="221" w:lineRule="auto"/>
              <w:jc w:val="center"/>
              <w:rPr>
                <w:rFonts w:hint="eastAsia" w:asciiTheme="majorEastAsia" w:hAnsiTheme="majorEastAsia" w:eastAsiaTheme="majorEastAsia" w:cstheme="majorEastAsia"/>
                <w:b w:val="0"/>
                <w:bCs w:val="0"/>
                <w:spacing w:val="-2"/>
                <w:sz w:val="24"/>
                <w:szCs w:val="24"/>
              </w:rPr>
            </w:pPr>
          </w:p>
        </w:tc>
        <w:tc>
          <w:tcPr>
            <w:tcW w:w="2178" w:type="dxa"/>
            <w:vAlign w:val="top"/>
          </w:tcPr>
          <w:p w14:paraId="4BE02E03">
            <w:pPr>
              <w:spacing w:before="225" w:line="218" w:lineRule="auto"/>
              <w:ind w:left="58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16"/>
                <w:sz w:val="24"/>
                <w:szCs w:val="24"/>
              </w:rPr>
              <w:t>日常监测</w:t>
            </w:r>
          </w:p>
        </w:tc>
        <w:tc>
          <w:tcPr>
            <w:tcW w:w="1570" w:type="dxa"/>
            <w:vAlign w:val="top"/>
          </w:tcPr>
          <w:p w14:paraId="44ADE30F">
            <w:pPr>
              <w:pStyle w:val="27"/>
              <w:spacing w:before="226" w:line="221" w:lineRule="auto"/>
              <w:ind w:left="22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20.3</w:t>
            </w:r>
            <w:r>
              <w:rPr>
                <w:rFonts w:hint="eastAsia" w:asciiTheme="majorEastAsia" w:hAnsiTheme="majorEastAsia" w:eastAsiaTheme="majorEastAsia" w:cstheme="majorEastAsia"/>
                <w:spacing w:val="-6"/>
                <w:sz w:val="24"/>
                <w:szCs w:val="24"/>
              </w:rPr>
              <w:t>万亩</w:t>
            </w:r>
          </w:p>
        </w:tc>
        <w:tc>
          <w:tcPr>
            <w:tcW w:w="1633" w:type="dxa"/>
            <w:vAlign w:val="top"/>
          </w:tcPr>
          <w:p w14:paraId="635BD4BF">
            <w:pPr>
              <w:pStyle w:val="27"/>
              <w:spacing w:before="226" w:line="222" w:lineRule="auto"/>
              <w:ind w:left="29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0.1</w:t>
            </w:r>
            <w:r>
              <w:rPr>
                <w:rFonts w:hint="eastAsia" w:asciiTheme="majorEastAsia" w:hAnsiTheme="majorEastAsia" w:eastAsiaTheme="majorEastAsia" w:cstheme="majorEastAsia"/>
                <w:spacing w:val="-5"/>
                <w:sz w:val="24"/>
                <w:szCs w:val="24"/>
              </w:rPr>
              <w:t>元</w:t>
            </w:r>
            <w:r>
              <w:rPr>
                <w:rFonts w:hint="eastAsia" w:asciiTheme="majorEastAsia" w:hAnsiTheme="majorEastAsia" w:eastAsiaTheme="majorEastAsia" w:cstheme="majorEastAsia"/>
                <w:b/>
                <w:bCs/>
                <w:spacing w:val="-5"/>
                <w:sz w:val="24"/>
                <w:szCs w:val="24"/>
              </w:rPr>
              <w:t>/</w:t>
            </w:r>
            <w:r>
              <w:rPr>
                <w:rFonts w:hint="eastAsia" w:asciiTheme="majorEastAsia" w:hAnsiTheme="majorEastAsia" w:eastAsiaTheme="majorEastAsia" w:cstheme="majorEastAsia"/>
                <w:spacing w:val="-5"/>
                <w:sz w:val="24"/>
                <w:szCs w:val="24"/>
              </w:rPr>
              <w:t>亩</w:t>
            </w:r>
          </w:p>
        </w:tc>
        <w:tc>
          <w:tcPr>
            <w:tcW w:w="1183" w:type="dxa"/>
            <w:vAlign w:val="top"/>
          </w:tcPr>
          <w:p w14:paraId="656DB5B8">
            <w:pPr>
              <w:pStyle w:val="27"/>
              <w:spacing w:before="226" w:line="221" w:lineRule="auto"/>
              <w:ind w:left="35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4"/>
                <w:sz w:val="24"/>
                <w:szCs w:val="24"/>
              </w:rPr>
              <w:t>2</w:t>
            </w:r>
            <w:r>
              <w:rPr>
                <w:rFonts w:hint="eastAsia" w:asciiTheme="majorEastAsia" w:hAnsiTheme="majorEastAsia" w:eastAsiaTheme="majorEastAsia" w:cstheme="majorEastAsia"/>
                <w:spacing w:val="-4"/>
                <w:sz w:val="24"/>
                <w:szCs w:val="24"/>
              </w:rPr>
              <w:t>万</w:t>
            </w:r>
          </w:p>
        </w:tc>
        <w:tc>
          <w:tcPr>
            <w:tcW w:w="1381" w:type="dxa"/>
            <w:vMerge w:val="continue"/>
            <w:tcBorders>
              <w:top w:val="nil"/>
            </w:tcBorders>
            <w:vAlign w:val="center"/>
          </w:tcPr>
          <w:p w14:paraId="3BAC5672">
            <w:pPr>
              <w:jc w:val="center"/>
              <w:rPr>
                <w:rFonts w:hint="eastAsia" w:asciiTheme="majorEastAsia" w:hAnsiTheme="majorEastAsia" w:eastAsiaTheme="majorEastAsia" w:cstheme="majorEastAsia"/>
                <w:sz w:val="24"/>
                <w:szCs w:val="24"/>
              </w:rPr>
            </w:pPr>
          </w:p>
        </w:tc>
      </w:tr>
      <w:tr w14:paraId="416DEB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428" w:type="dxa"/>
            <w:vMerge w:val="restart"/>
            <w:tcBorders>
              <w:bottom w:val="nil"/>
            </w:tcBorders>
            <w:vAlign w:val="center"/>
          </w:tcPr>
          <w:p w14:paraId="7F41820D">
            <w:pPr>
              <w:pStyle w:val="27"/>
              <w:spacing w:before="91" w:line="221" w:lineRule="auto"/>
              <w:jc w:val="center"/>
              <w:rPr>
                <w:rFonts w:hint="eastAsia" w:asciiTheme="majorEastAsia" w:hAnsiTheme="majorEastAsia" w:eastAsiaTheme="majorEastAsia" w:cstheme="majorEastAsia"/>
                <w:b w:val="0"/>
                <w:bCs w:val="0"/>
                <w:spacing w:val="-2"/>
                <w:sz w:val="24"/>
                <w:szCs w:val="24"/>
              </w:rPr>
            </w:pPr>
            <w:r>
              <w:rPr>
                <w:rFonts w:hint="eastAsia" w:asciiTheme="majorEastAsia" w:hAnsiTheme="majorEastAsia" w:eastAsiaTheme="majorEastAsia" w:cstheme="majorEastAsia"/>
                <w:b w:val="0"/>
                <w:bCs w:val="0"/>
                <w:spacing w:val="-2"/>
                <w:sz w:val="24"/>
                <w:szCs w:val="24"/>
              </w:rPr>
              <w:t>病（枯死）清理</w:t>
            </w:r>
          </w:p>
        </w:tc>
        <w:tc>
          <w:tcPr>
            <w:tcW w:w="2178" w:type="dxa"/>
            <w:vAlign w:val="top"/>
          </w:tcPr>
          <w:p w14:paraId="350C7733">
            <w:pPr>
              <w:spacing w:before="226" w:line="219" w:lineRule="auto"/>
              <w:ind w:left="69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9"/>
                <w:sz w:val="24"/>
                <w:szCs w:val="24"/>
              </w:rPr>
              <w:t>沙溪镇</w:t>
            </w:r>
          </w:p>
        </w:tc>
        <w:tc>
          <w:tcPr>
            <w:tcW w:w="1570" w:type="dxa"/>
            <w:vAlign w:val="top"/>
          </w:tcPr>
          <w:p w14:paraId="75611498">
            <w:pPr>
              <w:pStyle w:val="27"/>
              <w:spacing w:before="227" w:line="215" w:lineRule="auto"/>
              <w:ind w:left="26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
                <w:sz w:val="24"/>
                <w:szCs w:val="24"/>
              </w:rPr>
              <w:t>21430</w:t>
            </w:r>
            <w:r>
              <w:rPr>
                <w:rFonts w:hint="eastAsia" w:asciiTheme="majorEastAsia" w:hAnsiTheme="majorEastAsia" w:eastAsiaTheme="majorEastAsia" w:cstheme="majorEastAsia"/>
                <w:spacing w:val="-1"/>
                <w:sz w:val="24"/>
                <w:szCs w:val="24"/>
              </w:rPr>
              <w:t>株</w:t>
            </w:r>
          </w:p>
        </w:tc>
        <w:tc>
          <w:tcPr>
            <w:tcW w:w="1633" w:type="dxa"/>
            <w:vAlign w:val="top"/>
          </w:tcPr>
          <w:p w14:paraId="7A6579E8">
            <w:pPr>
              <w:pStyle w:val="27"/>
              <w:spacing w:before="227"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70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08C8F8BB">
            <w:pPr>
              <w:pStyle w:val="27"/>
              <w:spacing w:before="227" w:line="221" w:lineRule="auto"/>
              <w:ind w:left="22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150</w:t>
            </w:r>
            <w:r>
              <w:rPr>
                <w:rFonts w:hint="eastAsia" w:asciiTheme="majorEastAsia" w:hAnsiTheme="majorEastAsia" w:eastAsiaTheme="majorEastAsia" w:cstheme="majorEastAsia"/>
                <w:spacing w:val="-5"/>
                <w:sz w:val="24"/>
                <w:szCs w:val="24"/>
              </w:rPr>
              <w:t>万</w:t>
            </w:r>
          </w:p>
        </w:tc>
        <w:tc>
          <w:tcPr>
            <w:tcW w:w="1381" w:type="dxa"/>
            <w:vMerge w:val="restart"/>
            <w:tcBorders>
              <w:bottom w:val="nil"/>
            </w:tcBorders>
            <w:vAlign w:val="center"/>
          </w:tcPr>
          <w:p w14:paraId="5364F58C">
            <w:pPr>
              <w:pStyle w:val="27"/>
              <w:spacing w:before="91" w:line="221" w:lineRule="auto"/>
              <w:ind w:left="133"/>
              <w:jc w:val="cente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457.85</w:t>
            </w:r>
            <w:r>
              <w:rPr>
                <w:rFonts w:hint="eastAsia" w:asciiTheme="majorEastAsia" w:hAnsiTheme="majorEastAsia" w:eastAsiaTheme="majorEastAsia" w:cstheme="majorEastAsia"/>
                <w:spacing w:val="-2"/>
                <w:sz w:val="24"/>
                <w:szCs w:val="24"/>
              </w:rPr>
              <w:t>万</w:t>
            </w:r>
          </w:p>
        </w:tc>
      </w:tr>
      <w:tr w14:paraId="5DA131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428" w:type="dxa"/>
            <w:vMerge w:val="continue"/>
            <w:tcBorders>
              <w:top w:val="nil"/>
              <w:bottom w:val="nil"/>
            </w:tcBorders>
            <w:vAlign w:val="top"/>
          </w:tcPr>
          <w:p w14:paraId="38ED4801">
            <w:pPr>
              <w:rPr>
                <w:rFonts w:hint="eastAsia" w:asciiTheme="majorEastAsia" w:hAnsiTheme="majorEastAsia" w:eastAsiaTheme="majorEastAsia" w:cstheme="majorEastAsia"/>
                <w:sz w:val="24"/>
                <w:szCs w:val="24"/>
              </w:rPr>
            </w:pPr>
          </w:p>
        </w:tc>
        <w:tc>
          <w:tcPr>
            <w:tcW w:w="2178" w:type="dxa"/>
            <w:vAlign w:val="top"/>
          </w:tcPr>
          <w:p w14:paraId="6E853F03">
            <w:pPr>
              <w:spacing w:before="228" w:line="218" w:lineRule="auto"/>
              <w:ind w:left="67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2"/>
                <w:sz w:val="24"/>
                <w:szCs w:val="24"/>
              </w:rPr>
              <w:t>秦峰镇</w:t>
            </w:r>
          </w:p>
        </w:tc>
        <w:tc>
          <w:tcPr>
            <w:tcW w:w="1570" w:type="dxa"/>
            <w:vAlign w:val="top"/>
          </w:tcPr>
          <w:p w14:paraId="1B60F055">
            <w:pPr>
              <w:pStyle w:val="27"/>
              <w:spacing w:before="228" w:line="215" w:lineRule="auto"/>
              <w:ind w:left="27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3"/>
                <w:sz w:val="24"/>
                <w:szCs w:val="24"/>
              </w:rPr>
              <w:t>19720</w:t>
            </w:r>
            <w:r>
              <w:rPr>
                <w:rFonts w:hint="eastAsia" w:asciiTheme="majorEastAsia" w:hAnsiTheme="majorEastAsia" w:eastAsiaTheme="majorEastAsia" w:cstheme="majorEastAsia"/>
                <w:spacing w:val="-3"/>
                <w:sz w:val="24"/>
                <w:szCs w:val="24"/>
              </w:rPr>
              <w:t>株</w:t>
            </w:r>
          </w:p>
        </w:tc>
        <w:tc>
          <w:tcPr>
            <w:tcW w:w="1633" w:type="dxa"/>
            <w:vAlign w:val="top"/>
          </w:tcPr>
          <w:p w14:paraId="672A81B0">
            <w:pPr>
              <w:pStyle w:val="27"/>
              <w:spacing w:before="228"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70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7D780B6F">
            <w:pPr>
              <w:pStyle w:val="27"/>
              <w:spacing w:before="229" w:line="221" w:lineRule="auto"/>
              <w:ind w:left="22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138</w:t>
            </w:r>
            <w:r>
              <w:rPr>
                <w:rFonts w:hint="eastAsia" w:asciiTheme="majorEastAsia" w:hAnsiTheme="majorEastAsia" w:eastAsiaTheme="majorEastAsia" w:cstheme="majorEastAsia"/>
                <w:spacing w:val="-5"/>
                <w:sz w:val="24"/>
                <w:szCs w:val="24"/>
              </w:rPr>
              <w:t>万</w:t>
            </w:r>
          </w:p>
        </w:tc>
        <w:tc>
          <w:tcPr>
            <w:tcW w:w="1381" w:type="dxa"/>
            <w:vMerge w:val="continue"/>
            <w:tcBorders>
              <w:top w:val="nil"/>
              <w:bottom w:val="nil"/>
            </w:tcBorders>
            <w:vAlign w:val="center"/>
          </w:tcPr>
          <w:p w14:paraId="470EC6BB">
            <w:pPr>
              <w:jc w:val="center"/>
              <w:rPr>
                <w:rFonts w:hint="eastAsia" w:asciiTheme="majorEastAsia" w:hAnsiTheme="majorEastAsia" w:eastAsiaTheme="majorEastAsia" w:cstheme="majorEastAsia"/>
                <w:sz w:val="24"/>
                <w:szCs w:val="24"/>
              </w:rPr>
            </w:pPr>
          </w:p>
        </w:tc>
      </w:tr>
      <w:tr w14:paraId="0CF9A3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1428" w:type="dxa"/>
            <w:vMerge w:val="continue"/>
            <w:tcBorders>
              <w:top w:val="nil"/>
              <w:bottom w:val="nil"/>
            </w:tcBorders>
            <w:vAlign w:val="top"/>
          </w:tcPr>
          <w:p w14:paraId="13658393">
            <w:pPr>
              <w:rPr>
                <w:rFonts w:hint="eastAsia" w:asciiTheme="majorEastAsia" w:hAnsiTheme="majorEastAsia" w:eastAsiaTheme="majorEastAsia" w:cstheme="majorEastAsia"/>
                <w:sz w:val="24"/>
                <w:szCs w:val="24"/>
              </w:rPr>
            </w:pPr>
          </w:p>
        </w:tc>
        <w:tc>
          <w:tcPr>
            <w:tcW w:w="2178" w:type="dxa"/>
            <w:vAlign w:val="top"/>
          </w:tcPr>
          <w:p w14:paraId="06128E24">
            <w:pPr>
              <w:spacing w:before="229" w:line="219" w:lineRule="auto"/>
              <w:ind w:left="67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5"/>
                <w:sz w:val="24"/>
                <w:szCs w:val="24"/>
              </w:rPr>
              <w:t>朝阳镇</w:t>
            </w:r>
          </w:p>
        </w:tc>
        <w:tc>
          <w:tcPr>
            <w:tcW w:w="1570" w:type="dxa"/>
            <w:vAlign w:val="top"/>
          </w:tcPr>
          <w:p w14:paraId="293F6D7C">
            <w:pPr>
              <w:pStyle w:val="27"/>
              <w:spacing w:before="230" w:line="215" w:lineRule="auto"/>
              <w:ind w:left="27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3"/>
                <w:sz w:val="24"/>
                <w:szCs w:val="24"/>
              </w:rPr>
              <w:t>18570</w:t>
            </w:r>
            <w:r>
              <w:rPr>
                <w:rFonts w:hint="eastAsia" w:asciiTheme="majorEastAsia" w:hAnsiTheme="majorEastAsia" w:eastAsiaTheme="majorEastAsia" w:cstheme="majorEastAsia"/>
                <w:spacing w:val="-3"/>
                <w:sz w:val="24"/>
                <w:szCs w:val="24"/>
              </w:rPr>
              <w:t>株</w:t>
            </w:r>
          </w:p>
        </w:tc>
        <w:tc>
          <w:tcPr>
            <w:tcW w:w="1633" w:type="dxa"/>
            <w:vAlign w:val="top"/>
          </w:tcPr>
          <w:p w14:paraId="2C5EF260">
            <w:pPr>
              <w:pStyle w:val="27"/>
              <w:spacing w:before="230"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70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592119F4">
            <w:pPr>
              <w:pStyle w:val="27"/>
              <w:spacing w:before="230" w:line="221" w:lineRule="auto"/>
              <w:ind w:left="22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130</w:t>
            </w:r>
            <w:r>
              <w:rPr>
                <w:rFonts w:hint="eastAsia" w:asciiTheme="majorEastAsia" w:hAnsiTheme="majorEastAsia" w:eastAsiaTheme="majorEastAsia" w:cstheme="majorEastAsia"/>
                <w:spacing w:val="-5"/>
                <w:sz w:val="24"/>
                <w:szCs w:val="24"/>
              </w:rPr>
              <w:t>万</w:t>
            </w:r>
          </w:p>
        </w:tc>
        <w:tc>
          <w:tcPr>
            <w:tcW w:w="1381" w:type="dxa"/>
            <w:vMerge w:val="continue"/>
            <w:tcBorders>
              <w:top w:val="nil"/>
              <w:bottom w:val="nil"/>
            </w:tcBorders>
            <w:vAlign w:val="center"/>
          </w:tcPr>
          <w:p w14:paraId="26D5FF56">
            <w:pPr>
              <w:jc w:val="center"/>
              <w:rPr>
                <w:rFonts w:hint="eastAsia" w:asciiTheme="majorEastAsia" w:hAnsiTheme="majorEastAsia" w:eastAsiaTheme="majorEastAsia" w:cstheme="majorEastAsia"/>
                <w:sz w:val="24"/>
                <w:szCs w:val="24"/>
              </w:rPr>
            </w:pPr>
          </w:p>
        </w:tc>
      </w:tr>
      <w:tr w14:paraId="136027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1428" w:type="dxa"/>
            <w:vMerge w:val="continue"/>
            <w:tcBorders>
              <w:top w:val="nil"/>
              <w:bottom w:val="nil"/>
            </w:tcBorders>
            <w:vAlign w:val="top"/>
          </w:tcPr>
          <w:p w14:paraId="4A3D1521">
            <w:pPr>
              <w:rPr>
                <w:rFonts w:hint="eastAsia" w:asciiTheme="majorEastAsia" w:hAnsiTheme="majorEastAsia" w:eastAsiaTheme="majorEastAsia" w:cstheme="majorEastAsia"/>
                <w:sz w:val="24"/>
                <w:szCs w:val="24"/>
              </w:rPr>
            </w:pPr>
          </w:p>
        </w:tc>
        <w:tc>
          <w:tcPr>
            <w:tcW w:w="2178" w:type="dxa"/>
            <w:vAlign w:val="top"/>
          </w:tcPr>
          <w:p w14:paraId="32C3BEB8">
            <w:pPr>
              <w:spacing w:before="230" w:line="218" w:lineRule="auto"/>
              <w:ind w:left="397"/>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3"/>
                <w:sz w:val="24"/>
                <w:szCs w:val="24"/>
              </w:rPr>
              <w:t>茅家岭街道</w:t>
            </w:r>
          </w:p>
        </w:tc>
        <w:tc>
          <w:tcPr>
            <w:tcW w:w="1570" w:type="dxa"/>
            <w:vAlign w:val="top"/>
          </w:tcPr>
          <w:p w14:paraId="3234F418">
            <w:pPr>
              <w:pStyle w:val="27"/>
              <w:spacing w:before="230" w:line="215" w:lineRule="auto"/>
              <w:ind w:left="337"/>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3"/>
                <w:sz w:val="24"/>
                <w:szCs w:val="24"/>
              </w:rPr>
              <w:t>6000</w:t>
            </w:r>
            <w:r>
              <w:rPr>
                <w:rFonts w:hint="eastAsia" w:asciiTheme="majorEastAsia" w:hAnsiTheme="majorEastAsia" w:eastAsiaTheme="majorEastAsia" w:cstheme="majorEastAsia"/>
                <w:spacing w:val="-3"/>
                <w:sz w:val="24"/>
                <w:szCs w:val="24"/>
              </w:rPr>
              <w:t>株</w:t>
            </w:r>
          </w:p>
        </w:tc>
        <w:tc>
          <w:tcPr>
            <w:tcW w:w="1633" w:type="dxa"/>
            <w:vAlign w:val="top"/>
          </w:tcPr>
          <w:p w14:paraId="267C2898">
            <w:pPr>
              <w:pStyle w:val="27"/>
              <w:spacing w:before="230"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60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4AAFEA62">
            <w:pPr>
              <w:pStyle w:val="27"/>
              <w:spacing w:before="231" w:line="221" w:lineRule="auto"/>
              <w:ind w:left="27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36</w:t>
            </w:r>
            <w:r>
              <w:rPr>
                <w:rFonts w:hint="eastAsia" w:asciiTheme="majorEastAsia" w:hAnsiTheme="majorEastAsia" w:eastAsiaTheme="majorEastAsia" w:cstheme="majorEastAsia"/>
                <w:spacing w:val="-2"/>
                <w:sz w:val="24"/>
                <w:szCs w:val="24"/>
              </w:rPr>
              <w:t>万</w:t>
            </w:r>
          </w:p>
        </w:tc>
        <w:tc>
          <w:tcPr>
            <w:tcW w:w="1381" w:type="dxa"/>
            <w:vMerge w:val="continue"/>
            <w:tcBorders>
              <w:top w:val="nil"/>
              <w:bottom w:val="nil"/>
            </w:tcBorders>
            <w:vAlign w:val="center"/>
          </w:tcPr>
          <w:p w14:paraId="1EF9A474">
            <w:pPr>
              <w:jc w:val="center"/>
              <w:rPr>
                <w:rFonts w:hint="eastAsia" w:asciiTheme="majorEastAsia" w:hAnsiTheme="majorEastAsia" w:eastAsiaTheme="majorEastAsia" w:cstheme="majorEastAsia"/>
                <w:sz w:val="24"/>
                <w:szCs w:val="24"/>
              </w:rPr>
            </w:pPr>
          </w:p>
        </w:tc>
      </w:tr>
      <w:tr w14:paraId="5BEC70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1428" w:type="dxa"/>
            <w:vMerge w:val="continue"/>
            <w:tcBorders>
              <w:top w:val="nil"/>
              <w:bottom w:val="nil"/>
            </w:tcBorders>
            <w:vAlign w:val="top"/>
          </w:tcPr>
          <w:p w14:paraId="31B1B29A">
            <w:pPr>
              <w:rPr>
                <w:rFonts w:hint="eastAsia" w:asciiTheme="majorEastAsia" w:hAnsiTheme="majorEastAsia" w:eastAsiaTheme="majorEastAsia" w:cstheme="majorEastAsia"/>
                <w:sz w:val="24"/>
                <w:szCs w:val="24"/>
              </w:rPr>
            </w:pPr>
          </w:p>
        </w:tc>
        <w:tc>
          <w:tcPr>
            <w:tcW w:w="2178" w:type="dxa"/>
            <w:vAlign w:val="top"/>
          </w:tcPr>
          <w:p w14:paraId="26C0B180">
            <w:pPr>
              <w:spacing w:before="228" w:line="218" w:lineRule="auto"/>
              <w:ind w:left="535"/>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3"/>
                <w:sz w:val="24"/>
                <w:szCs w:val="24"/>
              </w:rPr>
              <w:t>水南街道</w:t>
            </w:r>
          </w:p>
        </w:tc>
        <w:tc>
          <w:tcPr>
            <w:tcW w:w="1570" w:type="dxa"/>
            <w:vAlign w:val="top"/>
          </w:tcPr>
          <w:p w14:paraId="55604A10">
            <w:pPr>
              <w:pStyle w:val="27"/>
              <w:spacing w:before="228" w:line="215" w:lineRule="auto"/>
              <w:ind w:left="415"/>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108</w:t>
            </w:r>
            <w:r>
              <w:rPr>
                <w:rFonts w:hint="eastAsia" w:asciiTheme="majorEastAsia" w:hAnsiTheme="majorEastAsia" w:eastAsiaTheme="majorEastAsia" w:cstheme="majorEastAsia"/>
                <w:spacing w:val="-5"/>
                <w:sz w:val="24"/>
                <w:szCs w:val="24"/>
              </w:rPr>
              <w:t>株</w:t>
            </w:r>
          </w:p>
        </w:tc>
        <w:tc>
          <w:tcPr>
            <w:tcW w:w="1633" w:type="dxa"/>
            <w:vAlign w:val="top"/>
          </w:tcPr>
          <w:p w14:paraId="45CEB445">
            <w:pPr>
              <w:pStyle w:val="27"/>
              <w:spacing w:before="228"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60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52A51920">
            <w:pPr>
              <w:pStyle w:val="27"/>
              <w:spacing w:before="229" w:line="221" w:lineRule="auto"/>
              <w:ind w:left="17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0.65</w:t>
            </w:r>
            <w:r>
              <w:rPr>
                <w:rFonts w:hint="eastAsia" w:asciiTheme="majorEastAsia" w:hAnsiTheme="majorEastAsia" w:eastAsiaTheme="majorEastAsia" w:cstheme="majorEastAsia"/>
                <w:spacing w:val="-2"/>
                <w:sz w:val="24"/>
                <w:szCs w:val="24"/>
              </w:rPr>
              <w:t>万</w:t>
            </w:r>
          </w:p>
        </w:tc>
        <w:tc>
          <w:tcPr>
            <w:tcW w:w="1381" w:type="dxa"/>
            <w:vMerge w:val="continue"/>
            <w:tcBorders>
              <w:top w:val="nil"/>
              <w:bottom w:val="nil"/>
            </w:tcBorders>
            <w:vAlign w:val="center"/>
          </w:tcPr>
          <w:p w14:paraId="717F77CD">
            <w:pPr>
              <w:jc w:val="center"/>
              <w:rPr>
                <w:rFonts w:hint="eastAsia" w:asciiTheme="majorEastAsia" w:hAnsiTheme="majorEastAsia" w:eastAsiaTheme="majorEastAsia" w:cstheme="majorEastAsia"/>
                <w:sz w:val="24"/>
                <w:szCs w:val="24"/>
              </w:rPr>
            </w:pPr>
          </w:p>
        </w:tc>
      </w:tr>
      <w:tr w14:paraId="20E3B4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1428" w:type="dxa"/>
            <w:vMerge w:val="continue"/>
            <w:tcBorders>
              <w:top w:val="nil"/>
            </w:tcBorders>
            <w:vAlign w:val="top"/>
          </w:tcPr>
          <w:p w14:paraId="0E6E3C6D">
            <w:pPr>
              <w:rPr>
                <w:rFonts w:hint="eastAsia" w:asciiTheme="majorEastAsia" w:hAnsiTheme="majorEastAsia" w:eastAsiaTheme="majorEastAsia" w:cstheme="majorEastAsia"/>
                <w:sz w:val="24"/>
                <w:szCs w:val="24"/>
              </w:rPr>
            </w:pPr>
          </w:p>
        </w:tc>
        <w:tc>
          <w:tcPr>
            <w:tcW w:w="2178" w:type="dxa"/>
            <w:vAlign w:val="top"/>
          </w:tcPr>
          <w:p w14:paraId="18D8C1B5">
            <w:pPr>
              <w:spacing w:before="229" w:line="217" w:lineRule="auto"/>
              <w:ind w:left="54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4"/>
                <w:sz w:val="24"/>
                <w:szCs w:val="24"/>
              </w:rPr>
              <w:t>北门街道</w:t>
            </w:r>
          </w:p>
        </w:tc>
        <w:tc>
          <w:tcPr>
            <w:tcW w:w="1570" w:type="dxa"/>
            <w:vAlign w:val="top"/>
          </w:tcPr>
          <w:p w14:paraId="79C5A8B4">
            <w:pPr>
              <w:pStyle w:val="27"/>
              <w:spacing w:before="228" w:line="215" w:lineRule="auto"/>
              <w:ind w:left="40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
                <w:sz w:val="24"/>
                <w:szCs w:val="24"/>
              </w:rPr>
              <w:t>533</w:t>
            </w:r>
            <w:r>
              <w:rPr>
                <w:rFonts w:hint="eastAsia" w:asciiTheme="majorEastAsia" w:hAnsiTheme="majorEastAsia" w:eastAsiaTheme="majorEastAsia" w:cstheme="majorEastAsia"/>
                <w:spacing w:val="-1"/>
                <w:sz w:val="24"/>
                <w:szCs w:val="24"/>
              </w:rPr>
              <w:t>株</w:t>
            </w:r>
          </w:p>
        </w:tc>
        <w:tc>
          <w:tcPr>
            <w:tcW w:w="1633" w:type="dxa"/>
            <w:vAlign w:val="top"/>
          </w:tcPr>
          <w:p w14:paraId="202D3DBD">
            <w:pPr>
              <w:pStyle w:val="27"/>
              <w:spacing w:before="228"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60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04F05D11">
            <w:pPr>
              <w:pStyle w:val="27"/>
              <w:spacing w:before="229" w:line="221" w:lineRule="auto"/>
              <w:ind w:left="24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3.2</w:t>
            </w:r>
            <w:r>
              <w:rPr>
                <w:rFonts w:hint="eastAsia" w:asciiTheme="majorEastAsia" w:hAnsiTheme="majorEastAsia" w:eastAsiaTheme="majorEastAsia" w:cstheme="majorEastAsia"/>
                <w:spacing w:val="-2"/>
                <w:sz w:val="24"/>
                <w:szCs w:val="24"/>
              </w:rPr>
              <w:t>万</w:t>
            </w:r>
          </w:p>
        </w:tc>
        <w:tc>
          <w:tcPr>
            <w:tcW w:w="1381" w:type="dxa"/>
            <w:vMerge w:val="continue"/>
            <w:tcBorders>
              <w:top w:val="nil"/>
            </w:tcBorders>
            <w:vAlign w:val="center"/>
          </w:tcPr>
          <w:p w14:paraId="62C0B4A5">
            <w:pPr>
              <w:jc w:val="center"/>
              <w:rPr>
                <w:rFonts w:hint="eastAsia" w:asciiTheme="majorEastAsia" w:hAnsiTheme="majorEastAsia" w:eastAsiaTheme="majorEastAsia" w:cstheme="majorEastAsia"/>
                <w:sz w:val="24"/>
                <w:szCs w:val="24"/>
              </w:rPr>
            </w:pPr>
          </w:p>
        </w:tc>
      </w:tr>
      <w:tr w14:paraId="0CF992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1428" w:type="dxa"/>
            <w:vMerge w:val="restart"/>
            <w:vAlign w:val="center"/>
          </w:tcPr>
          <w:p w14:paraId="69B4177D">
            <w:pPr>
              <w:pStyle w:val="27"/>
              <w:spacing w:before="91" w:line="221" w:lineRule="auto"/>
              <w:jc w:val="center"/>
              <w:rPr>
                <w:rFonts w:hint="eastAsia" w:asciiTheme="majorEastAsia" w:hAnsiTheme="majorEastAsia" w:eastAsiaTheme="majorEastAsia" w:cstheme="majorEastAsia"/>
                <w:b w:val="0"/>
                <w:bCs w:val="0"/>
                <w:spacing w:val="-2"/>
                <w:sz w:val="24"/>
                <w:szCs w:val="24"/>
              </w:rPr>
            </w:pPr>
            <w:r>
              <w:rPr>
                <w:rFonts w:hint="eastAsia" w:asciiTheme="majorEastAsia" w:hAnsiTheme="majorEastAsia" w:eastAsiaTheme="majorEastAsia" w:cstheme="majorEastAsia"/>
                <w:b w:val="0"/>
                <w:bCs w:val="0"/>
                <w:spacing w:val="-2"/>
                <w:sz w:val="24"/>
                <w:szCs w:val="24"/>
              </w:rPr>
              <w:t>综合防治</w:t>
            </w:r>
          </w:p>
        </w:tc>
        <w:tc>
          <w:tcPr>
            <w:tcW w:w="2178" w:type="dxa"/>
            <w:vAlign w:val="top"/>
          </w:tcPr>
          <w:p w14:paraId="3CE89851">
            <w:pPr>
              <w:spacing w:before="228" w:line="216" w:lineRule="auto"/>
              <w:ind w:left="53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4"/>
                <w:sz w:val="24"/>
                <w:szCs w:val="24"/>
              </w:rPr>
              <w:t>花绒寄甲</w:t>
            </w:r>
          </w:p>
        </w:tc>
        <w:tc>
          <w:tcPr>
            <w:tcW w:w="1570" w:type="dxa"/>
            <w:vAlign w:val="top"/>
          </w:tcPr>
          <w:p w14:paraId="15A97996">
            <w:pPr>
              <w:pStyle w:val="27"/>
              <w:spacing w:before="229" w:line="219" w:lineRule="auto"/>
              <w:ind w:left="40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2"/>
                <w:sz w:val="24"/>
                <w:szCs w:val="24"/>
              </w:rPr>
              <w:t>8</w:t>
            </w:r>
            <w:r>
              <w:rPr>
                <w:rFonts w:hint="eastAsia" w:asciiTheme="majorEastAsia" w:hAnsiTheme="majorEastAsia" w:eastAsiaTheme="majorEastAsia" w:cstheme="majorEastAsia"/>
                <w:spacing w:val="-12"/>
                <w:sz w:val="24"/>
                <w:szCs w:val="24"/>
              </w:rPr>
              <w:t>万头</w:t>
            </w:r>
          </w:p>
        </w:tc>
        <w:tc>
          <w:tcPr>
            <w:tcW w:w="1633" w:type="dxa"/>
            <w:vAlign w:val="top"/>
          </w:tcPr>
          <w:p w14:paraId="27969506">
            <w:pPr>
              <w:pStyle w:val="27"/>
              <w:spacing w:before="229" w:line="219" w:lineRule="auto"/>
              <w:ind w:left="41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0"/>
                <w:sz w:val="24"/>
                <w:szCs w:val="24"/>
              </w:rPr>
              <w:t>1</w:t>
            </w:r>
            <w:r>
              <w:rPr>
                <w:rFonts w:hint="eastAsia" w:asciiTheme="majorEastAsia" w:hAnsiTheme="majorEastAsia" w:eastAsiaTheme="majorEastAsia" w:cstheme="majorEastAsia"/>
                <w:spacing w:val="-10"/>
                <w:sz w:val="24"/>
                <w:szCs w:val="24"/>
              </w:rPr>
              <w:t>元</w:t>
            </w:r>
            <w:r>
              <w:rPr>
                <w:rFonts w:hint="eastAsia" w:asciiTheme="majorEastAsia" w:hAnsiTheme="majorEastAsia" w:eastAsiaTheme="majorEastAsia" w:cstheme="majorEastAsia"/>
                <w:b/>
                <w:bCs/>
                <w:spacing w:val="-10"/>
                <w:sz w:val="24"/>
                <w:szCs w:val="24"/>
              </w:rPr>
              <w:t>/</w:t>
            </w:r>
            <w:r>
              <w:rPr>
                <w:rFonts w:hint="eastAsia" w:asciiTheme="majorEastAsia" w:hAnsiTheme="majorEastAsia" w:eastAsiaTheme="majorEastAsia" w:cstheme="majorEastAsia"/>
                <w:spacing w:val="-10"/>
                <w:sz w:val="24"/>
                <w:szCs w:val="24"/>
              </w:rPr>
              <w:t>头</w:t>
            </w:r>
          </w:p>
        </w:tc>
        <w:tc>
          <w:tcPr>
            <w:tcW w:w="1183" w:type="dxa"/>
            <w:vAlign w:val="top"/>
          </w:tcPr>
          <w:p w14:paraId="7A973582">
            <w:pPr>
              <w:pStyle w:val="27"/>
              <w:spacing w:before="229" w:line="221" w:lineRule="auto"/>
              <w:ind w:left="35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8</w:t>
            </w:r>
            <w:r>
              <w:rPr>
                <w:rFonts w:hint="eastAsia" w:asciiTheme="majorEastAsia" w:hAnsiTheme="majorEastAsia" w:eastAsiaTheme="majorEastAsia" w:cstheme="majorEastAsia"/>
                <w:spacing w:val="-5"/>
                <w:sz w:val="24"/>
                <w:szCs w:val="24"/>
              </w:rPr>
              <w:t>万</w:t>
            </w:r>
          </w:p>
        </w:tc>
        <w:tc>
          <w:tcPr>
            <w:tcW w:w="1381" w:type="dxa"/>
            <w:vMerge w:val="restart"/>
            <w:vAlign w:val="center"/>
          </w:tcPr>
          <w:p w14:paraId="6F9D9F19">
            <w:pPr>
              <w:pStyle w:val="27"/>
              <w:spacing w:before="91" w:line="221" w:lineRule="auto"/>
              <w:ind w:left="133"/>
              <w:jc w:val="cente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34.4</w:t>
            </w:r>
            <w:r>
              <w:rPr>
                <w:rFonts w:hint="eastAsia" w:asciiTheme="majorEastAsia" w:hAnsiTheme="majorEastAsia" w:eastAsiaTheme="majorEastAsia" w:cstheme="majorEastAsia"/>
                <w:b w:val="0"/>
                <w:bCs w:val="0"/>
                <w:spacing w:val="-2"/>
                <w:sz w:val="24"/>
                <w:szCs w:val="24"/>
              </w:rPr>
              <w:t>万</w:t>
            </w:r>
          </w:p>
        </w:tc>
      </w:tr>
      <w:tr w14:paraId="57EC7F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1428" w:type="dxa"/>
            <w:vMerge w:val="continue"/>
            <w:vAlign w:val="center"/>
          </w:tcPr>
          <w:p w14:paraId="08655E5E">
            <w:pPr>
              <w:pStyle w:val="27"/>
              <w:spacing w:before="91" w:line="221" w:lineRule="auto"/>
              <w:jc w:val="center"/>
              <w:rPr>
                <w:rFonts w:hint="eastAsia" w:asciiTheme="majorEastAsia" w:hAnsiTheme="majorEastAsia" w:eastAsiaTheme="majorEastAsia" w:cstheme="majorEastAsia"/>
                <w:b w:val="0"/>
                <w:bCs w:val="0"/>
                <w:spacing w:val="-2"/>
                <w:sz w:val="24"/>
                <w:szCs w:val="24"/>
              </w:rPr>
            </w:pPr>
          </w:p>
        </w:tc>
        <w:tc>
          <w:tcPr>
            <w:tcW w:w="2178" w:type="dxa"/>
            <w:vAlign w:val="top"/>
          </w:tcPr>
          <w:p w14:paraId="298B662A">
            <w:pPr>
              <w:spacing w:before="229" w:line="219" w:lineRule="auto"/>
              <w:ind w:left="53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4"/>
                <w:sz w:val="24"/>
                <w:szCs w:val="24"/>
              </w:rPr>
              <w:t>打孔注药</w:t>
            </w:r>
          </w:p>
        </w:tc>
        <w:tc>
          <w:tcPr>
            <w:tcW w:w="1570" w:type="dxa"/>
            <w:vAlign w:val="top"/>
          </w:tcPr>
          <w:p w14:paraId="539C0EE9">
            <w:pPr>
              <w:pStyle w:val="27"/>
              <w:spacing w:before="229" w:line="218" w:lineRule="auto"/>
              <w:ind w:left="403"/>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1"/>
                <w:sz w:val="24"/>
                <w:szCs w:val="24"/>
              </w:rPr>
              <w:t>2</w:t>
            </w:r>
            <w:r>
              <w:rPr>
                <w:rFonts w:hint="eastAsia" w:asciiTheme="majorEastAsia" w:hAnsiTheme="majorEastAsia" w:eastAsiaTheme="majorEastAsia" w:cstheme="majorEastAsia"/>
                <w:spacing w:val="-11"/>
                <w:sz w:val="24"/>
                <w:szCs w:val="24"/>
              </w:rPr>
              <w:t>万针</w:t>
            </w:r>
          </w:p>
        </w:tc>
        <w:tc>
          <w:tcPr>
            <w:tcW w:w="1633" w:type="dxa"/>
            <w:vAlign w:val="top"/>
          </w:tcPr>
          <w:p w14:paraId="3266A00E">
            <w:pPr>
              <w:pStyle w:val="27"/>
              <w:spacing w:before="229" w:line="218" w:lineRule="auto"/>
              <w:ind w:left="33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8"/>
                <w:sz w:val="24"/>
                <w:szCs w:val="24"/>
              </w:rPr>
              <w:t>12</w:t>
            </w:r>
            <w:r>
              <w:rPr>
                <w:rFonts w:hint="eastAsia" w:asciiTheme="majorEastAsia" w:hAnsiTheme="majorEastAsia" w:eastAsiaTheme="majorEastAsia" w:cstheme="majorEastAsia"/>
                <w:spacing w:val="-8"/>
                <w:sz w:val="24"/>
                <w:szCs w:val="24"/>
              </w:rPr>
              <w:t>元</w:t>
            </w:r>
            <w:r>
              <w:rPr>
                <w:rFonts w:hint="eastAsia" w:asciiTheme="majorEastAsia" w:hAnsiTheme="majorEastAsia" w:eastAsiaTheme="majorEastAsia" w:cstheme="majorEastAsia"/>
                <w:b/>
                <w:bCs/>
                <w:spacing w:val="-8"/>
                <w:sz w:val="24"/>
                <w:szCs w:val="24"/>
              </w:rPr>
              <w:t>/</w:t>
            </w:r>
            <w:r>
              <w:rPr>
                <w:rFonts w:hint="eastAsia" w:asciiTheme="majorEastAsia" w:hAnsiTheme="majorEastAsia" w:eastAsiaTheme="majorEastAsia" w:cstheme="majorEastAsia"/>
                <w:spacing w:val="-8"/>
                <w:sz w:val="24"/>
                <w:szCs w:val="24"/>
              </w:rPr>
              <w:t>针</w:t>
            </w:r>
          </w:p>
        </w:tc>
        <w:tc>
          <w:tcPr>
            <w:tcW w:w="1183" w:type="dxa"/>
            <w:vAlign w:val="top"/>
          </w:tcPr>
          <w:p w14:paraId="4023EEE7">
            <w:pPr>
              <w:pStyle w:val="27"/>
              <w:spacing w:before="230" w:line="221" w:lineRule="auto"/>
              <w:ind w:left="28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3"/>
                <w:sz w:val="24"/>
                <w:szCs w:val="24"/>
              </w:rPr>
              <w:t>24</w:t>
            </w:r>
            <w:r>
              <w:rPr>
                <w:rFonts w:hint="eastAsia" w:asciiTheme="majorEastAsia" w:hAnsiTheme="majorEastAsia" w:eastAsiaTheme="majorEastAsia" w:cstheme="majorEastAsia"/>
                <w:spacing w:val="-3"/>
                <w:sz w:val="24"/>
                <w:szCs w:val="24"/>
              </w:rPr>
              <w:t>万</w:t>
            </w:r>
          </w:p>
        </w:tc>
        <w:tc>
          <w:tcPr>
            <w:tcW w:w="1381" w:type="dxa"/>
            <w:vMerge w:val="continue"/>
            <w:vAlign w:val="top"/>
          </w:tcPr>
          <w:p w14:paraId="27237EA6">
            <w:pPr>
              <w:rPr>
                <w:rFonts w:hint="eastAsia" w:asciiTheme="majorEastAsia" w:hAnsiTheme="majorEastAsia" w:eastAsiaTheme="majorEastAsia" w:cstheme="majorEastAsia"/>
                <w:sz w:val="24"/>
                <w:szCs w:val="24"/>
              </w:rPr>
            </w:pPr>
          </w:p>
        </w:tc>
      </w:tr>
      <w:tr w14:paraId="6233EE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8" w:hRule="atLeast"/>
        </w:trPr>
        <w:tc>
          <w:tcPr>
            <w:tcW w:w="1428" w:type="dxa"/>
            <w:vMerge w:val="continue"/>
            <w:vAlign w:val="center"/>
          </w:tcPr>
          <w:p w14:paraId="0AC670D4">
            <w:pPr>
              <w:pStyle w:val="27"/>
              <w:spacing w:before="91" w:line="221" w:lineRule="auto"/>
              <w:jc w:val="center"/>
              <w:rPr>
                <w:rFonts w:hint="eastAsia" w:asciiTheme="majorEastAsia" w:hAnsiTheme="majorEastAsia" w:eastAsiaTheme="majorEastAsia" w:cstheme="majorEastAsia"/>
                <w:b w:val="0"/>
                <w:bCs w:val="0"/>
                <w:spacing w:val="-2"/>
                <w:sz w:val="24"/>
                <w:szCs w:val="24"/>
              </w:rPr>
            </w:pPr>
          </w:p>
        </w:tc>
        <w:tc>
          <w:tcPr>
            <w:tcW w:w="2178" w:type="dxa"/>
            <w:vAlign w:val="top"/>
          </w:tcPr>
          <w:p w14:paraId="68C0BF56">
            <w:pPr>
              <w:spacing w:before="231" w:line="216" w:lineRule="auto"/>
              <w:ind w:left="55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7"/>
                <w:sz w:val="24"/>
                <w:szCs w:val="24"/>
              </w:rPr>
              <w:t>药械设备</w:t>
            </w:r>
          </w:p>
        </w:tc>
        <w:tc>
          <w:tcPr>
            <w:tcW w:w="1570" w:type="dxa"/>
            <w:vAlign w:val="top"/>
          </w:tcPr>
          <w:p w14:paraId="7CD914F0">
            <w:pPr>
              <w:pStyle w:val="27"/>
              <w:spacing w:before="229" w:line="219" w:lineRule="auto"/>
              <w:ind w:left="545"/>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8</w:t>
            </w:r>
            <w:r>
              <w:rPr>
                <w:rFonts w:hint="eastAsia" w:asciiTheme="majorEastAsia" w:hAnsiTheme="majorEastAsia" w:eastAsiaTheme="majorEastAsia" w:cstheme="majorEastAsia"/>
                <w:spacing w:val="-5"/>
                <w:sz w:val="24"/>
                <w:szCs w:val="24"/>
              </w:rPr>
              <w:t>个</w:t>
            </w:r>
          </w:p>
        </w:tc>
        <w:tc>
          <w:tcPr>
            <w:tcW w:w="1633" w:type="dxa"/>
            <w:vAlign w:val="top"/>
          </w:tcPr>
          <w:p w14:paraId="064CD9A1">
            <w:pPr>
              <w:pStyle w:val="27"/>
              <w:spacing w:before="229" w:line="219" w:lineRule="auto"/>
              <w:ind w:left="18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4"/>
                <w:sz w:val="24"/>
                <w:szCs w:val="24"/>
              </w:rPr>
              <w:t>3000</w:t>
            </w:r>
            <w:r>
              <w:rPr>
                <w:rFonts w:hint="eastAsia" w:asciiTheme="majorEastAsia" w:hAnsiTheme="majorEastAsia" w:eastAsiaTheme="majorEastAsia" w:cstheme="majorEastAsia"/>
                <w:spacing w:val="-4"/>
                <w:sz w:val="24"/>
                <w:szCs w:val="24"/>
              </w:rPr>
              <w:t>元</w:t>
            </w:r>
            <w:r>
              <w:rPr>
                <w:rFonts w:hint="eastAsia" w:asciiTheme="majorEastAsia" w:hAnsiTheme="majorEastAsia" w:eastAsiaTheme="majorEastAsia" w:cstheme="majorEastAsia"/>
                <w:b/>
                <w:bCs/>
                <w:spacing w:val="-4"/>
                <w:sz w:val="24"/>
                <w:szCs w:val="24"/>
              </w:rPr>
              <w:t>/</w:t>
            </w:r>
            <w:r>
              <w:rPr>
                <w:rFonts w:hint="eastAsia" w:asciiTheme="majorEastAsia" w:hAnsiTheme="majorEastAsia" w:eastAsiaTheme="majorEastAsia" w:cstheme="majorEastAsia"/>
                <w:spacing w:val="-4"/>
                <w:sz w:val="24"/>
                <w:szCs w:val="24"/>
              </w:rPr>
              <w:t>个</w:t>
            </w:r>
          </w:p>
        </w:tc>
        <w:tc>
          <w:tcPr>
            <w:tcW w:w="1183" w:type="dxa"/>
            <w:vAlign w:val="top"/>
          </w:tcPr>
          <w:p w14:paraId="712ACC1B">
            <w:pPr>
              <w:pStyle w:val="27"/>
              <w:spacing w:before="231" w:line="221" w:lineRule="auto"/>
              <w:ind w:left="24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2.4</w:t>
            </w:r>
            <w:r>
              <w:rPr>
                <w:rFonts w:hint="eastAsia" w:asciiTheme="majorEastAsia" w:hAnsiTheme="majorEastAsia" w:eastAsiaTheme="majorEastAsia" w:cstheme="majorEastAsia"/>
                <w:spacing w:val="-2"/>
                <w:sz w:val="24"/>
                <w:szCs w:val="24"/>
              </w:rPr>
              <w:t>万</w:t>
            </w:r>
          </w:p>
        </w:tc>
        <w:tc>
          <w:tcPr>
            <w:tcW w:w="1381" w:type="dxa"/>
            <w:vMerge w:val="continue"/>
            <w:vAlign w:val="top"/>
          </w:tcPr>
          <w:p w14:paraId="2FAA75AB">
            <w:pPr>
              <w:rPr>
                <w:rFonts w:hint="eastAsia" w:asciiTheme="majorEastAsia" w:hAnsiTheme="majorEastAsia" w:eastAsiaTheme="majorEastAsia" w:cstheme="majorEastAsia"/>
                <w:sz w:val="24"/>
                <w:szCs w:val="24"/>
              </w:rPr>
            </w:pPr>
          </w:p>
        </w:tc>
      </w:tr>
      <w:tr w14:paraId="582EBB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428" w:type="dxa"/>
            <w:vMerge w:val="restart"/>
            <w:tcBorders>
              <w:bottom w:val="nil"/>
            </w:tcBorders>
            <w:vAlign w:val="center"/>
          </w:tcPr>
          <w:p w14:paraId="3441FA92">
            <w:pPr>
              <w:pStyle w:val="27"/>
              <w:spacing w:before="91" w:line="221" w:lineRule="auto"/>
              <w:jc w:val="center"/>
              <w:rPr>
                <w:rFonts w:hint="eastAsia" w:asciiTheme="majorEastAsia" w:hAnsiTheme="majorEastAsia" w:eastAsiaTheme="majorEastAsia" w:cstheme="majorEastAsia"/>
                <w:b w:val="0"/>
                <w:bCs w:val="0"/>
                <w:spacing w:val="-2"/>
                <w:sz w:val="24"/>
                <w:szCs w:val="24"/>
              </w:rPr>
            </w:pPr>
            <w:r>
              <w:rPr>
                <w:rFonts w:hint="eastAsia" w:asciiTheme="majorEastAsia" w:hAnsiTheme="majorEastAsia" w:eastAsiaTheme="majorEastAsia" w:cstheme="majorEastAsia"/>
                <w:b w:val="0"/>
                <w:bCs w:val="0"/>
                <w:spacing w:val="-2"/>
                <w:sz w:val="24"/>
                <w:szCs w:val="24"/>
              </w:rPr>
              <w:t>检疫</w:t>
            </w:r>
          </w:p>
        </w:tc>
        <w:tc>
          <w:tcPr>
            <w:tcW w:w="2178" w:type="dxa"/>
            <w:vAlign w:val="top"/>
          </w:tcPr>
          <w:p w14:paraId="6F4BB220">
            <w:pPr>
              <w:spacing w:before="225" w:line="216" w:lineRule="auto"/>
              <w:ind w:left="53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2"/>
                <w:sz w:val="24"/>
                <w:szCs w:val="24"/>
              </w:rPr>
              <w:t>检疫执法</w:t>
            </w:r>
          </w:p>
        </w:tc>
        <w:tc>
          <w:tcPr>
            <w:tcW w:w="1570" w:type="dxa"/>
            <w:vAlign w:val="top"/>
          </w:tcPr>
          <w:p w14:paraId="784FF3B0">
            <w:pPr>
              <w:pStyle w:val="27"/>
              <w:spacing w:before="224" w:line="219" w:lineRule="auto"/>
              <w:ind w:left="54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4"/>
                <w:sz w:val="24"/>
                <w:szCs w:val="24"/>
              </w:rPr>
              <w:t>2</w:t>
            </w:r>
            <w:r>
              <w:rPr>
                <w:rFonts w:hint="eastAsia" w:asciiTheme="majorEastAsia" w:hAnsiTheme="majorEastAsia" w:eastAsiaTheme="majorEastAsia" w:cstheme="majorEastAsia"/>
                <w:spacing w:val="-4"/>
                <w:sz w:val="24"/>
                <w:szCs w:val="24"/>
              </w:rPr>
              <w:t>次</w:t>
            </w:r>
          </w:p>
        </w:tc>
        <w:tc>
          <w:tcPr>
            <w:tcW w:w="1633" w:type="dxa"/>
            <w:vAlign w:val="top"/>
          </w:tcPr>
          <w:p w14:paraId="41DCCEF0">
            <w:pPr>
              <w:pStyle w:val="27"/>
              <w:spacing w:before="224" w:line="219" w:lineRule="auto"/>
              <w:ind w:left="41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1"/>
                <w:sz w:val="24"/>
                <w:szCs w:val="24"/>
              </w:rPr>
              <w:t>1</w:t>
            </w:r>
            <w:r>
              <w:rPr>
                <w:rFonts w:hint="eastAsia" w:asciiTheme="majorEastAsia" w:hAnsiTheme="majorEastAsia" w:eastAsiaTheme="majorEastAsia" w:cstheme="majorEastAsia"/>
                <w:spacing w:val="-11"/>
                <w:sz w:val="24"/>
                <w:szCs w:val="24"/>
              </w:rPr>
              <w:t>万</w:t>
            </w:r>
            <w:r>
              <w:rPr>
                <w:rFonts w:hint="eastAsia" w:asciiTheme="majorEastAsia" w:hAnsiTheme="majorEastAsia" w:eastAsiaTheme="majorEastAsia" w:cstheme="majorEastAsia"/>
                <w:b/>
                <w:bCs/>
                <w:spacing w:val="-11"/>
                <w:sz w:val="24"/>
                <w:szCs w:val="24"/>
              </w:rPr>
              <w:t>/</w:t>
            </w:r>
            <w:r>
              <w:rPr>
                <w:rFonts w:hint="eastAsia" w:asciiTheme="majorEastAsia" w:hAnsiTheme="majorEastAsia" w:eastAsiaTheme="majorEastAsia" w:cstheme="majorEastAsia"/>
                <w:spacing w:val="-11"/>
                <w:sz w:val="24"/>
                <w:szCs w:val="24"/>
              </w:rPr>
              <w:t>次</w:t>
            </w:r>
          </w:p>
        </w:tc>
        <w:tc>
          <w:tcPr>
            <w:tcW w:w="2564" w:type="dxa"/>
            <w:gridSpan w:val="2"/>
            <w:vMerge w:val="restart"/>
            <w:tcBorders>
              <w:bottom w:val="nil"/>
            </w:tcBorders>
            <w:vAlign w:val="top"/>
          </w:tcPr>
          <w:p w14:paraId="1BEEDE83">
            <w:pPr>
              <w:spacing w:line="274" w:lineRule="auto"/>
              <w:rPr>
                <w:rFonts w:hint="eastAsia" w:asciiTheme="majorEastAsia" w:hAnsiTheme="majorEastAsia" w:eastAsiaTheme="majorEastAsia" w:cstheme="majorEastAsia"/>
                <w:sz w:val="24"/>
                <w:szCs w:val="24"/>
              </w:rPr>
            </w:pPr>
          </w:p>
          <w:p w14:paraId="5FE5640B">
            <w:pPr>
              <w:pStyle w:val="27"/>
              <w:spacing w:before="91" w:line="221" w:lineRule="auto"/>
              <w:ind w:left="103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3</w:t>
            </w:r>
            <w:r>
              <w:rPr>
                <w:rFonts w:hint="eastAsia" w:asciiTheme="majorEastAsia" w:hAnsiTheme="majorEastAsia" w:eastAsiaTheme="majorEastAsia" w:cstheme="majorEastAsia"/>
                <w:spacing w:val="-2"/>
                <w:sz w:val="24"/>
                <w:szCs w:val="24"/>
              </w:rPr>
              <w:t>万</w:t>
            </w:r>
          </w:p>
        </w:tc>
      </w:tr>
      <w:tr w14:paraId="28DA34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7" w:hRule="atLeast"/>
        </w:trPr>
        <w:tc>
          <w:tcPr>
            <w:tcW w:w="1428" w:type="dxa"/>
            <w:vMerge w:val="continue"/>
            <w:tcBorders>
              <w:top w:val="nil"/>
            </w:tcBorders>
            <w:vAlign w:val="top"/>
          </w:tcPr>
          <w:p w14:paraId="4BC16672">
            <w:pPr>
              <w:rPr>
                <w:rFonts w:hint="eastAsia" w:asciiTheme="majorEastAsia" w:hAnsiTheme="majorEastAsia" w:eastAsiaTheme="majorEastAsia" w:cstheme="majorEastAsia"/>
                <w:sz w:val="24"/>
                <w:szCs w:val="24"/>
              </w:rPr>
            </w:pPr>
          </w:p>
        </w:tc>
        <w:tc>
          <w:tcPr>
            <w:tcW w:w="2178" w:type="dxa"/>
            <w:vAlign w:val="top"/>
          </w:tcPr>
          <w:p w14:paraId="7A84A0AD">
            <w:pPr>
              <w:spacing w:line="256" w:lineRule="auto"/>
              <w:rPr>
                <w:rFonts w:hint="eastAsia" w:asciiTheme="majorEastAsia" w:hAnsiTheme="majorEastAsia" w:eastAsiaTheme="majorEastAsia" w:cstheme="majorEastAsia"/>
                <w:sz w:val="24"/>
                <w:szCs w:val="24"/>
              </w:rPr>
            </w:pPr>
          </w:p>
          <w:p w14:paraId="658DFE1E">
            <w:pPr>
              <w:spacing w:before="91" w:line="218" w:lineRule="auto"/>
              <w:ind w:left="117"/>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2"/>
                <w:sz w:val="24"/>
                <w:szCs w:val="24"/>
              </w:rPr>
              <w:t>松材线虫病宣传</w:t>
            </w:r>
          </w:p>
        </w:tc>
        <w:tc>
          <w:tcPr>
            <w:tcW w:w="1570" w:type="dxa"/>
            <w:vAlign w:val="top"/>
          </w:tcPr>
          <w:p w14:paraId="05522CC8">
            <w:pPr>
              <w:spacing w:line="256" w:lineRule="auto"/>
              <w:rPr>
                <w:rFonts w:hint="eastAsia" w:asciiTheme="majorEastAsia" w:hAnsiTheme="majorEastAsia" w:eastAsiaTheme="majorEastAsia" w:cstheme="majorEastAsia"/>
                <w:sz w:val="24"/>
                <w:szCs w:val="24"/>
              </w:rPr>
            </w:pPr>
          </w:p>
          <w:p w14:paraId="1F3BDC18">
            <w:pPr>
              <w:pStyle w:val="27"/>
              <w:spacing w:before="91" w:line="219" w:lineRule="auto"/>
              <w:ind w:left="54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4"/>
                <w:sz w:val="24"/>
                <w:szCs w:val="24"/>
              </w:rPr>
              <w:t>2</w:t>
            </w:r>
            <w:r>
              <w:rPr>
                <w:rFonts w:hint="eastAsia" w:asciiTheme="majorEastAsia" w:hAnsiTheme="majorEastAsia" w:eastAsiaTheme="majorEastAsia" w:cstheme="majorEastAsia"/>
                <w:spacing w:val="-4"/>
                <w:sz w:val="24"/>
                <w:szCs w:val="24"/>
              </w:rPr>
              <w:t>次</w:t>
            </w:r>
          </w:p>
        </w:tc>
        <w:tc>
          <w:tcPr>
            <w:tcW w:w="1633" w:type="dxa"/>
            <w:vAlign w:val="top"/>
          </w:tcPr>
          <w:p w14:paraId="763A7F52">
            <w:pPr>
              <w:spacing w:line="256" w:lineRule="auto"/>
              <w:rPr>
                <w:rFonts w:hint="eastAsia" w:asciiTheme="majorEastAsia" w:hAnsiTheme="majorEastAsia" w:eastAsiaTheme="majorEastAsia" w:cstheme="majorEastAsia"/>
                <w:sz w:val="24"/>
                <w:szCs w:val="24"/>
              </w:rPr>
            </w:pPr>
          </w:p>
          <w:p w14:paraId="4E03985B">
            <w:pPr>
              <w:pStyle w:val="27"/>
              <w:spacing w:before="91" w:line="219" w:lineRule="auto"/>
              <w:ind w:left="15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0.5</w:t>
            </w:r>
            <w:r>
              <w:rPr>
                <w:rFonts w:hint="eastAsia" w:asciiTheme="majorEastAsia" w:hAnsiTheme="majorEastAsia" w:eastAsiaTheme="majorEastAsia" w:cstheme="majorEastAsia"/>
                <w:spacing w:val="-6"/>
                <w:sz w:val="24"/>
                <w:szCs w:val="24"/>
              </w:rPr>
              <w:t>万元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次</w:t>
            </w:r>
          </w:p>
        </w:tc>
        <w:tc>
          <w:tcPr>
            <w:tcW w:w="2564" w:type="dxa"/>
            <w:gridSpan w:val="2"/>
            <w:vMerge w:val="continue"/>
            <w:tcBorders>
              <w:top w:val="nil"/>
            </w:tcBorders>
            <w:vAlign w:val="top"/>
          </w:tcPr>
          <w:p w14:paraId="7CF237C2">
            <w:pPr>
              <w:rPr>
                <w:rFonts w:hint="eastAsia" w:asciiTheme="majorEastAsia" w:hAnsiTheme="majorEastAsia" w:eastAsiaTheme="majorEastAsia" w:cstheme="majorEastAsia"/>
                <w:sz w:val="24"/>
                <w:szCs w:val="24"/>
              </w:rPr>
            </w:pPr>
          </w:p>
        </w:tc>
      </w:tr>
      <w:tr w14:paraId="628B03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428" w:type="dxa"/>
            <w:vAlign w:val="top"/>
          </w:tcPr>
          <w:p w14:paraId="78B451A9">
            <w:pPr>
              <w:spacing w:before="229" w:line="218" w:lineRule="auto"/>
              <w:ind w:left="445"/>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7"/>
                <w:sz w:val="24"/>
                <w:szCs w:val="24"/>
              </w:rPr>
              <w:t>合计</w:t>
            </w:r>
          </w:p>
        </w:tc>
        <w:tc>
          <w:tcPr>
            <w:tcW w:w="7945" w:type="dxa"/>
            <w:gridSpan w:val="5"/>
            <w:vAlign w:val="top"/>
          </w:tcPr>
          <w:p w14:paraId="62906ADC">
            <w:pPr>
              <w:pStyle w:val="27"/>
              <w:spacing w:before="230" w:line="221" w:lineRule="auto"/>
              <w:ind w:left="341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495.25</w:t>
            </w:r>
            <w:r>
              <w:rPr>
                <w:rFonts w:hint="eastAsia" w:asciiTheme="majorEastAsia" w:hAnsiTheme="majorEastAsia" w:eastAsiaTheme="majorEastAsia" w:cstheme="majorEastAsia"/>
                <w:spacing w:val="-2"/>
                <w:sz w:val="24"/>
                <w:szCs w:val="24"/>
              </w:rPr>
              <w:t>万</w:t>
            </w:r>
          </w:p>
        </w:tc>
      </w:tr>
    </w:tbl>
    <w:p w14:paraId="40CDF104">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疫木除治经费最终以镇街实际验收数量审计结算为准。各镇街松材线虫病防控工作成效将作为区财政资金使用绩效评估重要依据。区林业分局将根据省级、市级年度松材线虫病防控质量评估成果和区级日常检查情况对各相关镇街疫病防控工作成效进行评定，对防控成效优秀的镇街，将在当年工作经费拨付中给予适当倾斜；对措施不力，防控成效较差的镇街，将酌情扣发此项工作经费。</w:t>
      </w:r>
    </w:p>
    <w:p w14:paraId="556E4CA6">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对现场环境不适合焚烧，需主材下山的疫木，各镇街应做好本辖区内疫木无害化处理的对接工作，督促无害化企业及时支付疫木收购费用，疫木收购费补贴除治公司用于搬运、装车、运输等支出。</w:t>
      </w:r>
    </w:p>
    <w:p w14:paraId="081B64BE">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六、保障措施</w:t>
      </w:r>
    </w:p>
    <w:p w14:paraId="1B30CA74">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（一）加强组织领导，明确工作职责，层层落实目标责任制</w:t>
      </w:r>
    </w:p>
    <w:p w14:paraId="25508D22">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区林业分局负责松材线虫病防治的检疫检查、疫情监测、除治方案的设计、技术指导以及相关监督管理工作；区财政局负责松材线虫病防治工作经费的安排，资金使用的管理监督检查；各镇街负责疫木除治、统一清理和除治工作的监督；其他各单位部门在各自职责范围内做好松材线虫病防治相关工作。</w:t>
      </w:r>
    </w:p>
    <w:p w14:paraId="2FEBF318">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（二）落实防控资金，严格资金管理</w:t>
      </w:r>
    </w:p>
    <w:p w14:paraId="4D2CEFAF">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松材线虫病防控经费实行地方投入为主，国家重点扶持为辅的原则。区财政年初优先安排松材线虫病防控资金，并建立有效的资金使用管理和监督制度。</w:t>
      </w:r>
    </w:p>
    <w:p w14:paraId="5B313D19">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（三）加强疫情监测，做好联防联治</w:t>
      </w:r>
    </w:p>
    <w:p w14:paraId="028EC544">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各镇街应加强疫情监测的及时性、准确性和全覆盖，加强与周边县（市、区）协调联防，在周边县（市、区）交界区域增设固定疫情监测点，加强监测，一旦发现疫情及时上报。</w:t>
      </w:r>
    </w:p>
    <w:p w14:paraId="0D9AEC15">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（四）加强技术指导，提高科学防治水平</w:t>
      </w:r>
    </w:p>
    <w:p w14:paraId="5F2D2EBB">
      <w:pPr>
        <w:pageBreakBefore w:val="0"/>
        <w:widowControl w:val="0"/>
        <w:wordWrap/>
        <w:overflowPunct/>
        <w:topLinePunct w:val="0"/>
        <w:bidi w:val="0"/>
        <w:spacing w:line="360" w:lineRule="auto"/>
        <w:outlineLvl w:val="9"/>
        <w:rPr>
          <w:color w:val="auto"/>
          <w:highlight w:val="none"/>
        </w:rPr>
      </w:pPr>
      <w:r>
        <w:rPr>
          <w:rFonts w:hint="eastAsia" w:asciiTheme="minorEastAsia" w:hAnsiTheme="minorEastAsia" w:eastAsiaTheme="minorEastAsia" w:cstheme="minorEastAsia"/>
          <w:b w:val="0"/>
          <w:bCs w:val="0"/>
          <w:color w:val="auto"/>
          <w:spacing w:val="-5"/>
          <w:sz w:val="24"/>
          <w:szCs w:val="24"/>
          <w:lang w:eastAsia="zh-CN"/>
        </w:rPr>
        <w:t>认真做好基层监测和防治人员的技术培训工作，特别是做好镇街和村级监测员、护林员的培训。尽快对各种行之有效的防治技术进行组装配套。需要重点保护的地区，必须开展多措并举的综合防控。</w:t>
      </w:r>
    </w:p>
    <w:p w14:paraId="025077BE">
      <w:pPr>
        <w:pageBreakBefore w:val="0"/>
        <w:widowControl w:val="0"/>
        <w:wordWrap/>
        <w:overflowPunct/>
        <w:topLinePunct w:val="0"/>
        <w:bidi w:val="0"/>
        <w:spacing w:line="242" w:lineRule="auto"/>
        <w:outlineLvl w:val="9"/>
        <w:rPr>
          <w:color w:val="auto"/>
          <w:highlight w:val="none"/>
        </w:rPr>
      </w:pPr>
      <w:bookmarkStart w:id="1" w:name="_GoBack"/>
      <w:bookmarkEnd w:id="1"/>
    </w:p>
    <w:p w14:paraId="40676D53">
      <w:pPr>
        <w:pageBreakBefore w:val="0"/>
        <w:widowControl w:val="0"/>
        <w:wordWrap/>
        <w:overflowPunct/>
        <w:topLinePunct w:val="0"/>
        <w:bidi w:val="0"/>
        <w:spacing w:line="242" w:lineRule="auto"/>
        <w:outlineLvl w:val="9"/>
        <w:rPr>
          <w:color w:val="auto"/>
          <w:highlight w:val="none"/>
        </w:rPr>
      </w:pPr>
    </w:p>
    <w:p w14:paraId="653CD893">
      <w:pPr>
        <w:pStyle w:val="7"/>
        <w:pageBreakBefore w:val="0"/>
        <w:overflowPunct/>
        <w:topLinePunct w:val="0"/>
        <w:bidi w:val="0"/>
        <w:outlineLvl w:val="9"/>
        <w:rPr>
          <w:color w:val="auto"/>
          <w:highlight w:val="none"/>
          <w:lang w:eastAsia="zh-CN"/>
        </w:rPr>
      </w:pPr>
    </w:p>
    <w:sectPr>
      <w:footerReference r:id="rId3" w:type="default"/>
      <w:pgSz w:w="11906" w:h="16839"/>
      <w:pgMar w:top="1134" w:right="1134" w:bottom="1134" w:left="1134" w:header="0" w:footer="994" w:gutter="0"/>
      <w:pgNumType w:fmt="decimal"/>
      <w:cols w:space="72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Arial"/>
    <w:panose1 w:val="020B0604020202020204"/>
    <w:charset w:val="00"/>
    <w:family w:val="roman"/>
    <w:pitch w:val="default"/>
    <w:sig w:usb0="00000000" w:usb1="00000000" w:usb2="00000000" w:usb3="00000000" w:csb0="00000001" w:csb1="00000000"/>
  </w:font>
  <w:font w:name="Wingdings 2">
    <w:panose1 w:val="05020102010507070707"/>
    <w:charset w:val="00"/>
    <w:family w:val="auto"/>
    <w:pitch w:val="default"/>
    <w:sig w:usb0="00000000" w:usb1="00000000" w:usb2="00000000" w:usb3="00000000" w:csb0="80000000" w:csb1="00000000"/>
  </w:font>
  <w:font w:name="Cambria Math">
    <w:panose1 w:val="02040503050406030204"/>
    <w:charset w:val="00"/>
    <w:family w:val="auto"/>
    <w:pitch w:val="default"/>
    <w:sig w:usb0="E00006FF" w:usb1="420024FF" w:usb2="02000000" w:usb3="00000000" w:csb0="2000019F" w:csb1="00000000"/>
  </w:font>
  <w:font w:name="WPSEMBED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C17A4">
    <w:pPr>
      <w:pStyle w:val="11"/>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F15292">
                          <w:pPr>
                            <w:pStyle w:val="11"/>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0F15292">
                    <w:pPr>
                      <w:pStyle w:val="11"/>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hdrShapeDefaults>
    <o:shapelayout v:ext="edit">
      <o:idmap v:ext="edit" data="2"/>
    </o:shapelayout>
  </w:hdrShapeDefault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4E6C2D"/>
    <w:rsid w:val="005B1C4A"/>
    <w:rsid w:val="005D75BC"/>
    <w:rsid w:val="006308AB"/>
    <w:rsid w:val="007E7821"/>
    <w:rsid w:val="00847DE1"/>
    <w:rsid w:val="00A95A9A"/>
    <w:rsid w:val="00CD47AB"/>
    <w:rsid w:val="00D6521D"/>
    <w:rsid w:val="00F72BE7"/>
    <w:rsid w:val="013D404E"/>
    <w:rsid w:val="014707D5"/>
    <w:rsid w:val="0183453D"/>
    <w:rsid w:val="019B3009"/>
    <w:rsid w:val="01C0501B"/>
    <w:rsid w:val="01D12DF8"/>
    <w:rsid w:val="01D856D2"/>
    <w:rsid w:val="01E178D6"/>
    <w:rsid w:val="01F176F8"/>
    <w:rsid w:val="023D46EC"/>
    <w:rsid w:val="02F62DEB"/>
    <w:rsid w:val="03A14F29"/>
    <w:rsid w:val="044D1E30"/>
    <w:rsid w:val="047C47B6"/>
    <w:rsid w:val="04F64D19"/>
    <w:rsid w:val="04FA27AC"/>
    <w:rsid w:val="052B325D"/>
    <w:rsid w:val="055600A9"/>
    <w:rsid w:val="059A29F4"/>
    <w:rsid w:val="05A90C13"/>
    <w:rsid w:val="05F07017"/>
    <w:rsid w:val="062D088E"/>
    <w:rsid w:val="06F25881"/>
    <w:rsid w:val="076566A7"/>
    <w:rsid w:val="079A2F4B"/>
    <w:rsid w:val="07B64740"/>
    <w:rsid w:val="081F5E69"/>
    <w:rsid w:val="0893590C"/>
    <w:rsid w:val="08D800EA"/>
    <w:rsid w:val="08D86F1C"/>
    <w:rsid w:val="098C4275"/>
    <w:rsid w:val="099C2AD0"/>
    <w:rsid w:val="09E36E7B"/>
    <w:rsid w:val="0A385599"/>
    <w:rsid w:val="0A5474C3"/>
    <w:rsid w:val="0A5F7AD5"/>
    <w:rsid w:val="0A630BD7"/>
    <w:rsid w:val="0AAA50E9"/>
    <w:rsid w:val="0ABB6AF5"/>
    <w:rsid w:val="0B201BF1"/>
    <w:rsid w:val="0B212C64"/>
    <w:rsid w:val="0B3C7C36"/>
    <w:rsid w:val="0B614FF2"/>
    <w:rsid w:val="0B8D0492"/>
    <w:rsid w:val="0BCE5A19"/>
    <w:rsid w:val="0BD25EA5"/>
    <w:rsid w:val="0C027923"/>
    <w:rsid w:val="0C1E16F8"/>
    <w:rsid w:val="0C3B4061"/>
    <w:rsid w:val="0C4F6BDA"/>
    <w:rsid w:val="0DB63714"/>
    <w:rsid w:val="0DBF7C0D"/>
    <w:rsid w:val="0DD264ED"/>
    <w:rsid w:val="0DD809E2"/>
    <w:rsid w:val="0DE84CCE"/>
    <w:rsid w:val="0E045967"/>
    <w:rsid w:val="0E306947"/>
    <w:rsid w:val="0E4F3BC3"/>
    <w:rsid w:val="0E7A2A88"/>
    <w:rsid w:val="0EAA115A"/>
    <w:rsid w:val="0F8346BB"/>
    <w:rsid w:val="0FA80009"/>
    <w:rsid w:val="0FAD17DF"/>
    <w:rsid w:val="0FAE5D7D"/>
    <w:rsid w:val="107F306E"/>
    <w:rsid w:val="10D80401"/>
    <w:rsid w:val="114948FA"/>
    <w:rsid w:val="119D0D43"/>
    <w:rsid w:val="11CB5781"/>
    <w:rsid w:val="121E36B7"/>
    <w:rsid w:val="126757A9"/>
    <w:rsid w:val="128B5679"/>
    <w:rsid w:val="1292624E"/>
    <w:rsid w:val="12955EB0"/>
    <w:rsid w:val="129C0FBA"/>
    <w:rsid w:val="129D2A07"/>
    <w:rsid w:val="139F6FB4"/>
    <w:rsid w:val="143E0B0F"/>
    <w:rsid w:val="148D0306"/>
    <w:rsid w:val="14B561ED"/>
    <w:rsid w:val="14F13A81"/>
    <w:rsid w:val="1538599A"/>
    <w:rsid w:val="155802A4"/>
    <w:rsid w:val="158B0678"/>
    <w:rsid w:val="15A703A2"/>
    <w:rsid w:val="15D1725F"/>
    <w:rsid w:val="16422A31"/>
    <w:rsid w:val="166C4D26"/>
    <w:rsid w:val="16A356CC"/>
    <w:rsid w:val="16E53E90"/>
    <w:rsid w:val="173418E5"/>
    <w:rsid w:val="17342109"/>
    <w:rsid w:val="178E538D"/>
    <w:rsid w:val="17D60801"/>
    <w:rsid w:val="182E6B2B"/>
    <w:rsid w:val="18363C5F"/>
    <w:rsid w:val="186009B5"/>
    <w:rsid w:val="18846779"/>
    <w:rsid w:val="18C97898"/>
    <w:rsid w:val="18E4551E"/>
    <w:rsid w:val="18E84F59"/>
    <w:rsid w:val="18F643B3"/>
    <w:rsid w:val="19241D0A"/>
    <w:rsid w:val="193E2DCB"/>
    <w:rsid w:val="196206F1"/>
    <w:rsid w:val="198158BA"/>
    <w:rsid w:val="19DB5E7F"/>
    <w:rsid w:val="19F33BB6"/>
    <w:rsid w:val="1A551963"/>
    <w:rsid w:val="1AAF3BB2"/>
    <w:rsid w:val="1AD0292A"/>
    <w:rsid w:val="1AF44F33"/>
    <w:rsid w:val="1B1E113A"/>
    <w:rsid w:val="1B4548E5"/>
    <w:rsid w:val="1B702014"/>
    <w:rsid w:val="1B8F6D81"/>
    <w:rsid w:val="1BD32665"/>
    <w:rsid w:val="1BD47A17"/>
    <w:rsid w:val="1D085BCA"/>
    <w:rsid w:val="1D74500E"/>
    <w:rsid w:val="1DA110CA"/>
    <w:rsid w:val="1DD800C0"/>
    <w:rsid w:val="1E43791C"/>
    <w:rsid w:val="1EB678A8"/>
    <w:rsid w:val="1F274302"/>
    <w:rsid w:val="1F2952CA"/>
    <w:rsid w:val="1FAB6CE1"/>
    <w:rsid w:val="1FCD3D8A"/>
    <w:rsid w:val="20026D16"/>
    <w:rsid w:val="206155F1"/>
    <w:rsid w:val="207F650F"/>
    <w:rsid w:val="20B54DB2"/>
    <w:rsid w:val="21042B4C"/>
    <w:rsid w:val="210A6AC5"/>
    <w:rsid w:val="213A566A"/>
    <w:rsid w:val="21444A90"/>
    <w:rsid w:val="2195298B"/>
    <w:rsid w:val="21CE72BA"/>
    <w:rsid w:val="22072FB3"/>
    <w:rsid w:val="22112B50"/>
    <w:rsid w:val="224433AA"/>
    <w:rsid w:val="22791318"/>
    <w:rsid w:val="22A85555"/>
    <w:rsid w:val="22FD3CF7"/>
    <w:rsid w:val="23056708"/>
    <w:rsid w:val="232A7934"/>
    <w:rsid w:val="234D0A23"/>
    <w:rsid w:val="23746473"/>
    <w:rsid w:val="23B5012E"/>
    <w:rsid w:val="23C04A55"/>
    <w:rsid w:val="248E1514"/>
    <w:rsid w:val="24920136"/>
    <w:rsid w:val="25076D21"/>
    <w:rsid w:val="25533D7B"/>
    <w:rsid w:val="25823163"/>
    <w:rsid w:val="25E2090D"/>
    <w:rsid w:val="25F37706"/>
    <w:rsid w:val="26A07A67"/>
    <w:rsid w:val="26BE3321"/>
    <w:rsid w:val="2722776F"/>
    <w:rsid w:val="27457A1B"/>
    <w:rsid w:val="274B704D"/>
    <w:rsid w:val="279C2686"/>
    <w:rsid w:val="27EF1D1C"/>
    <w:rsid w:val="28042C4F"/>
    <w:rsid w:val="280660E7"/>
    <w:rsid w:val="283965C3"/>
    <w:rsid w:val="28706D19"/>
    <w:rsid w:val="28CF7D70"/>
    <w:rsid w:val="28DA1BB1"/>
    <w:rsid w:val="291F3D28"/>
    <w:rsid w:val="29DA5D7B"/>
    <w:rsid w:val="29F02881"/>
    <w:rsid w:val="2A071140"/>
    <w:rsid w:val="2AB2711F"/>
    <w:rsid w:val="2AC967C3"/>
    <w:rsid w:val="2B020E86"/>
    <w:rsid w:val="2B0F5B99"/>
    <w:rsid w:val="2B20622F"/>
    <w:rsid w:val="2B5C1158"/>
    <w:rsid w:val="2B6C5691"/>
    <w:rsid w:val="2B797C93"/>
    <w:rsid w:val="2BDA2720"/>
    <w:rsid w:val="2BE93C1A"/>
    <w:rsid w:val="2BED313B"/>
    <w:rsid w:val="2C695F59"/>
    <w:rsid w:val="2CA90A4C"/>
    <w:rsid w:val="2CE90E48"/>
    <w:rsid w:val="2CE97170"/>
    <w:rsid w:val="2CF55C1F"/>
    <w:rsid w:val="2D5B1D46"/>
    <w:rsid w:val="2D665E74"/>
    <w:rsid w:val="2D99286E"/>
    <w:rsid w:val="2DA9678E"/>
    <w:rsid w:val="2DF41412"/>
    <w:rsid w:val="2DF84522"/>
    <w:rsid w:val="2E234DC0"/>
    <w:rsid w:val="2E2B0E5E"/>
    <w:rsid w:val="2E575FCC"/>
    <w:rsid w:val="2E693B84"/>
    <w:rsid w:val="2E8645F4"/>
    <w:rsid w:val="2EB108A7"/>
    <w:rsid w:val="2ED9380E"/>
    <w:rsid w:val="2F3C1896"/>
    <w:rsid w:val="2F5F3B7C"/>
    <w:rsid w:val="2FAD15F5"/>
    <w:rsid w:val="2FB63E0A"/>
    <w:rsid w:val="2FC17E5A"/>
    <w:rsid w:val="30136908"/>
    <w:rsid w:val="302A2D00"/>
    <w:rsid w:val="305E1890"/>
    <w:rsid w:val="30677FAE"/>
    <w:rsid w:val="30FF6F51"/>
    <w:rsid w:val="31104BF6"/>
    <w:rsid w:val="31353885"/>
    <w:rsid w:val="314D409C"/>
    <w:rsid w:val="31526CE7"/>
    <w:rsid w:val="316B62D0"/>
    <w:rsid w:val="318178A1"/>
    <w:rsid w:val="31AC0DC2"/>
    <w:rsid w:val="31C55E0D"/>
    <w:rsid w:val="31E76326"/>
    <w:rsid w:val="31FE5396"/>
    <w:rsid w:val="321C6AB4"/>
    <w:rsid w:val="3233535A"/>
    <w:rsid w:val="323572F6"/>
    <w:rsid w:val="3292724F"/>
    <w:rsid w:val="329A3D4F"/>
    <w:rsid w:val="32BE2A91"/>
    <w:rsid w:val="33074498"/>
    <w:rsid w:val="330D4250"/>
    <w:rsid w:val="33525E3B"/>
    <w:rsid w:val="3392781A"/>
    <w:rsid w:val="33AE791F"/>
    <w:rsid w:val="33F26834"/>
    <w:rsid w:val="3408478C"/>
    <w:rsid w:val="34325184"/>
    <w:rsid w:val="346E1C27"/>
    <w:rsid w:val="34DF14AF"/>
    <w:rsid w:val="34F27B67"/>
    <w:rsid w:val="351D0E38"/>
    <w:rsid w:val="3522571C"/>
    <w:rsid w:val="35591BE5"/>
    <w:rsid w:val="35FE0154"/>
    <w:rsid w:val="36064E50"/>
    <w:rsid w:val="362863AF"/>
    <w:rsid w:val="36597105"/>
    <w:rsid w:val="36844F22"/>
    <w:rsid w:val="368F749F"/>
    <w:rsid w:val="36D178DD"/>
    <w:rsid w:val="37AF0454"/>
    <w:rsid w:val="37D05C01"/>
    <w:rsid w:val="381C0324"/>
    <w:rsid w:val="384E10B3"/>
    <w:rsid w:val="38590496"/>
    <w:rsid w:val="38613F89"/>
    <w:rsid w:val="3899102A"/>
    <w:rsid w:val="38B12F90"/>
    <w:rsid w:val="38B62F41"/>
    <w:rsid w:val="38E34C6A"/>
    <w:rsid w:val="39012FAB"/>
    <w:rsid w:val="39225E0E"/>
    <w:rsid w:val="398A76FF"/>
    <w:rsid w:val="39A352DB"/>
    <w:rsid w:val="39D440DC"/>
    <w:rsid w:val="39D96E5F"/>
    <w:rsid w:val="3A1B5E20"/>
    <w:rsid w:val="3A6B125E"/>
    <w:rsid w:val="3A954F3B"/>
    <w:rsid w:val="3ACC4E51"/>
    <w:rsid w:val="3AD218BA"/>
    <w:rsid w:val="3B163B4E"/>
    <w:rsid w:val="3B3B216B"/>
    <w:rsid w:val="3B7E51F7"/>
    <w:rsid w:val="3B8811A4"/>
    <w:rsid w:val="3BAC10D3"/>
    <w:rsid w:val="3BC6514F"/>
    <w:rsid w:val="3C0F220A"/>
    <w:rsid w:val="3C1C4D96"/>
    <w:rsid w:val="3C267544"/>
    <w:rsid w:val="3C8C6D91"/>
    <w:rsid w:val="3CD44D29"/>
    <w:rsid w:val="3CDE029E"/>
    <w:rsid w:val="3D36354C"/>
    <w:rsid w:val="3D3831E2"/>
    <w:rsid w:val="3D5A0F8B"/>
    <w:rsid w:val="3DBB413B"/>
    <w:rsid w:val="3DC93A44"/>
    <w:rsid w:val="3DD11BB1"/>
    <w:rsid w:val="3DD54D90"/>
    <w:rsid w:val="3DED4811"/>
    <w:rsid w:val="3E1D6EB4"/>
    <w:rsid w:val="3E1F3CAD"/>
    <w:rsid w:val="3E292C29"/>
    <w:rsid w:val="3E417CA1"/>
    <w:rsid w:val="3E78615B"/>
    <w:rsid w:val="3E8E35FE"/>
    <w:rsid w:val="3E8F22E6"/>
    <w:rsid w:val="3F19434D"/>
    <w:rsid w:val="3F261A88"/>
    <w:rsid w:val="3F984C13"/>
    <w:rsid w:val="3FA82971"/>
    <w:rsid w:val="40271DD6"/>
    <w:rsid w:val="409F2538"/>
    <w:rsid w:val="41015B84"/>
    <w:rsid w:val="410C362B"/>
    <w:rsid w:val="4162149D"/>
    <w:rsid w:val="428E7BE1"/>
    <w:rsid w:val="42B20B36"/>
    <w:rsid w:val="42B62128"/>
    <w:rsid w:val="42FB66C8"/>
    <w:rsid w:val="43192944"/>
    <w:rsid w:val="43394480"/>
    <w:rsid w:val="43F93E87"/>
    <w:rsid w:val="446025B9"/>
    <w:rsid w:val="447255E6"/>
    <w:rsid w:val="44B30D3B"/>
    <w:rsid w:val="44CD7E13"/>
    <w:rsid w:val="453A628D"/>
    <w:rsid w:val="454B2248"/>
    <w:rsid w:val="456B28EB"/>
    <w:rsid w:val="45B61DB8"/>
    <w:rsid w:val="45D2152F"/>
    <w:rsid w:val="45EE0F95"/>
    <w:rsid w:val="45F42F70"/>
    <w:rsid w:val="45F85626"/>
    <w:rsid w:val="462273F5"/>
    <w:rsid w:val="466556B5"/>
    <w:rsid w:val="46710516"/>
    <w:rsid w:val="467529A8"/>
    <w:rsid w:val="4692195B"/>
    <w:rsid w:val="46994609"/>
    <w:rsid w:val="46B609DC"/>
    <w:rsid w:val="470E15D4"/>
    <w:rsid w:val="47234C6F"/>
    <w:rsid w:val="476A6B3A"/>
    <w:rsid w:val="47E36768"/>
    <w:rsid w:val="4810142F"/>
    <w:rsid w:val="48142C67"/>
    <w:rsid w:val="484162BE"/>
    <w:rsid w:val="48643D4D"/>
    <w:rsid w:val="487D7E3E"/>
    <w:rsid w:val="48967192"/>
    <w:rsid w:val="489A6313"/>
    <w:rsid w:val="48A95C04"/>
    <w:rsid w:val="48CE0A5C"/>
    <w:rsid w:val="48E92A95"/>
    <w:rsid w:val="4949445D"/>
    <w:rsid w:val="495A3295"/>
    <w:rsid w:val="49B51BAE"/>
    <w:rsid w:val="4A1225DB"/>
    <w:rsid w:val="4A442B3D"/>
    <w:rsid w:val="4A5E47CC"/>
    <w:rsid w:val="4A7E09CA"/>
    <w:rsid w:val="4A884CC6"/>
    <w:rsid w:val="4AA55BC3"/>
    <w:rsid w:val="4ABC7D85"/>
    <w:rsid w:val="4AC97E97"/>
    <w:rsid w:val="4BA3693A"/>
    <w:rsid w:val="4C254B4B"/>
    <w:rsid w:val="4C676E45"/>
    <w:rsid w:val="4D07114B"/>
    <w:rsid w:val="4D403EDA"/>
    <w:rsid w:val="4D954046"/>
    <w:rsid w:val="4E202AF3"/>
    <w:rsid w:val="4E6D29C4"/>
    <w:rsid w:val="4E7A06F8"/>
    <w:rsid w:val="4E9A0D74"/>
    <w:rsid w:val="4F282F37"/>
    <w:rsid w:val="4F701691"/>
    <w:rsid w:val="4FAA2095"/>
    <w:rsid w:val="4FC60E49"/>
    <w:rsid w:val="4FCD31AD"/>
    <w:rsid w:val="4FF52C71"/>
    <w:rsid w:val="503A7A08"/>
    <w:rsid w:val="50512976"/>
    <w:rsid w:val="5052092F"/>
    <w:rsid w:val="5055041F"/>
    <w:rsid w:val="509A51EA"/>
    <w:rsid w:val="509E3ED1"/>
    <w:rsid w:val="50B44F07"/>
    <w:rsid w:val="514E559A"/>
    <w:rsid w:val="51D610EC"/>
    <w:rsid w:val="51E92988"/>
    <w:rsid w:val="520E62B8"/>
    <w:rsid w:val="528312E8"/>
    <w:rsid w:val="529A4BA7"/>
    <w:rsid w:val="52B50FFA"/>
    <w:rsid w:val="52BB3578"/>
    <w:rsid w:val="52C31E67"/>
    <w:rsid w:val="52DA54E7"/>
    <w:rsid w:val="52E442D5"/>
    <w:rsid w:val="52E468A6"/>
    <w:rsid w:val="52E8669F"/>
    <w:rsid w:val="531F42E7"/>
    <w:rsid w:val="53D6797D"/>
    <w:rsid w:val="53E775E0"/>
    <w:rsid w:val="54723052"/>
    <w:rsid w:val="54BC690A"/>
    <w:rsid w:val="54D8428A"/>
    <w:rsid w:val="54FD5330"/>
    <w:rsid w:val="55132EB9"/>
    <w:rsid w:val="55E101CF"/>
    <w:rsid w:val="55F00828"/>
    <w:rsid w:val="56062637"/>
    <w:rsid w:val="56174AC2"/>
    <w:rsid w:val="56431446"/>
    <w:rsid w:val="56821241"/>
    <w:rsid w:val="56E5591B"/>
    <w:rsid w:val="56E8059A"/>
    <w:rsid w:val="57091C60"/>
    <w:rsid w:val="57186B20"/>
    <w:rsid w:val="57631674"/>
    <w:rsid w:val="5794495B"/>
    <w:rsid w:val="57A500D0"/>
    <w:rsid w:val="57C351F2"/>
    <w:rsid w:val="57C6432D"/>
    <w:rsid w:val="57D4431F"/>
    <w:rsid w:val="57FA67BA"/>
    <w:rsid w:val="58532224"/>
    <w:rsid w:val="586903C5"/>
    <w:rsid w:val="58711142"/>
    <w:rsid w:val="588726B7"/>
    <w:rsid w:val="58F57085"/>
    <w:rsid w:val="593212FE"/>
    <w:rsid w:val="59590F80"/>
    <w:rsid w:val="59A732EE"/>
    <w:rsid w:val="59C3464B"/>
    <w:rsid w:val="59DE2BBE"/>
    <w:rsid w:val="5A28151F"/>
    <w:rsid w:val="5A410A6F"/>
    <w:rsid w:val="5A4A2677"/>
    <w:rsid w:val="5AC55338"/>
    <w:rsid w:val="5B3F45CC"/>
    <w:rsid w:val="5B8007B6"/>
    <w:rsid w:val="5BC17152"/>
    <w:rsid w:val="5C157C52"/>
    <w:rsid w:val="5C432399"/>
    <w:rsid w:val="5C65447A"/>
    <w:rsid w:val="5CCD039C"/>
    <w:rsid w:val="5CE05C01"/>
    <w:rsid w:val="5D067F46"/>
    <w:rsid w:val="5D670D19"/>
    <w:rsid w:val="5DEA6484"/>
    <w:rsid w:val="5E2A0506"/>
    <w:rsid w:val="5F816B3B"/>
    <w:rsid w:val="5F8A2976"/>
    <w:rsid w:val="5F8B5C0B"/>
    <w:rsid w:val="5FB9070F"/>
    <w:rsid w:val="5FE039CC"/>
    <w:rsid w:val="600E7957"/>
    <w:rsid w:val="606D70BF"/>
    <w:rsid w:val="60C87067"/>
    <w:rsid w:val="60D137C0"/>
    <w:rsid w:val="60EB4FAC"/>
    <w:rsid w:val="611C2FBF"/>
    <w:rsid w:val="613D03AF"/>
    <w:rsid w:val="615269E1"/>
    <w:rsid w:val="622C1128"/>
    <w:rsid w:val="62840C9B"/>
    <w:rsid w:val="62E95123"/>
    <w:rsid w:val="63753EA0"/>
    <w:rsid w:val="63923347"/>
    <w:rsid w:val="63A60D41"/>
    <w:rsid w:val="63C45248"/>
    <w:rsid w:val="63C6035F"/>
    <w:rsid w:val="646E0F66"/>
    <w:rsid w:val="64912F7B"/>
    <w:rsid w:val="649A1D1D"/>
    <w:rsid w:val="64E04304"/>
    <w:rsid w:val="659B691E"/>
    <w:rsid w:val="65D242C5"/>
    <w:rsid w:val="65D43361"/>
    <w:rsid w:val="65F10142"/>
    <w:rsid w:val="66124991"/>
    <w:rsid w:val="662D4F6B"/>
    <w:rsid w:val="66770C98"/>
    <w:rsid w:val="66E10C4D"/>
    <w:rsid w:val="67035B0B"/>
    <w:rsid w:val="676236F6"/>
    <w:rsid w:val="67D22629"/>
    <w:rsid w:val="685D140B"/>
    <w:rsid w:val="68D47A7B"/>
    <w:rsid w:val="68DF193E"/>
    <w:rsid w:val="68E84E3F"/>
    <w:rsid w:val="68F76E5C"/>
    <w:rsid w:val="69455133"/>
    <w:rsid w:val="69937B96"/>
    <w:rsid w:val="69C2222A"/>
    <w:rsid w:val="69DF21C2"/>
    <w:rsid w:val="6A3757AC"/>
    <w:rsid w:val="6A62031D"/>
    <w:rsid w:val="6A701523"/>
    <w:rsid w:val="6AC1406F"/>
    <w:rsid w:val="6B4120C8"/>
    <w:rsid w:val="6B58506D"/>
    <w:rsid w:val="6B79224C"/>
    <w:rsid w:val="6B8E33C6"/>
    <w:rsid w:val="6B9B5986"/>
    <w:rsid w:val="6BDD42B9"/>
    <w:rsid w:val="6BE84649"/>
    <w:rsid w:val="6C085287"/>
    <w:rsid w:val="6C401523"/>
    <w:rsid w:val="6C517895"/>
    <w:rsid w:val="6C7D0E73"/>
    <w:rsid w:val="6CD00EA6"/>
    <w:rsid w:val="6CE6131C"/>
    <w:rsid w:val="6D050817"/>
    <w:rsid w:val="6D1A174C"/>
    <w:rsid w:val="6D1A2C05"/>
    <w:rsid w:val="6D313420"/>
    <w:rsid w:val="6D5A2E00"/>
    <w:rsid w:val="6DDB7D5E"/>
    <w:rsid w:val="6DDD5A51"/>
    <w:rsid w:val="6DE51FC5"/>
    <w:rsid w:val="6E042F01"/>
    <w:rsid w:val="6E506196"/>
    <w:rsid w:val="6E9047F2"/>
    <w:rsid w:val="6EA15698"/>
    <w:rsid w:val="6EA231BA"/>
    <w:rsid w:val="6ED30F77"/>
    <w:rsid w:val="6F3A3E03"/>
    <w:rsid w:val="6F482D42"/>
    <w:rsid w:val="6FA523D2"/>
    <w:rsid w:val="6FAA57D6"/>
    <w:rsid w:val="6FDE58E3"/>
    <w:rsid w:val="701045B5"/>
    <w:rsid w:val="701C133B"/>
    <w:rsid w:val="703D37EB"/>
    <w:rsid w:val="704D3E78"/>
    <w:rsid w:val="70BF5715"/>
    <w:rsid w:val="712D6B22"/>
    <w:rsid w:val="71305754"/>
    <w:rsid w:val="715B4B81"/>
    <w:rsid w:val="717B055E"/>
    <w:rsid w:val="71B16C93"/>
    <w:rsid w:val="71C06959"/>
    <w:rsid w:val="724F0F1D"/>
    <w:rsid w:val="729C3F60"/>
    <w:rsid w:val="729E26DA"/>
    <w:rsid w:val="72D4516E"/>
    <w:rsid w:val="7301390F"/>
    <w:rsid w:val="73070F3B"/>
    <w:rsid w:val="73B07EB2"/>
    <w:rsid w:val="73B9773F"/>
    <w:rsid w:val="73ED585D"/>
    <w:rsid w:val="741E6BF6"/>
    <w:rsid w:val="74257F85"/>
    <w:rsid w:val="747607E0"/>
    <w:rsid w:val="74885165"/>
    <w:rsid w:val="751000FD"/>
    <w:rsid w:val="757A7E5C"/>
    <w:rsid w:val="75E01033"/>
    <w:rsid w:val="76065B94"/>
    <w:rsid w:val="768C7E47"/>
    <w:rsid w:val="76B15B00"/>
    <w:rsid w:val="76BB01D4"/>
    <w:rsid w:val="76D56593"/>
    <w:rsid w:val="76EB40DE"/>
    <w:rsid w:val="775A1CF3"/>
    <w:rsid w:val="77624692"/>
    <w:rsid w:val="778446AD"/>
    <w:rsid w:val="77845FB9"/>
    <w:rsid w:val="77DF59B7"/>
    <w:rsid w:val="783F4636"/>
    <w:rsid w:val="78836D0C"/>
    <w:rsid w:val="78AE6557"/>
    <w:rsid w:val="78E75FB4"/>
    <w:rsid w:val="794949B1"/>
    <w:rsid w:val="79F151EA"/>
    <w:rsid w:val="79FE1404"/>
    <w:rsid w:val="7A043533"/>
    <w:rsid w:val="7A4B1055"/>
    <w:rsid w:val="7A63567B"/>
    <w:rsid w:val="7A7F4E68"/>
    <w:rsid w:val="7ADC47C3"/>
    <w:rsid w:val="7B4B6523"/>
    <w:rsid w:val="7B764AA9"/>
    <w:rsid w:val="7BD07335"/>
    <w:rsid w:val="7BD227A0"/>
    <w:rsid w:val="7C07399B"/>
    <w:rsid w:val="7C2D5E41"/>
    <w:rsid w:val="7C7F0961"/>
    <w:rsid w:val="7CA010C3"/>
    <w:rsid w:val="7CA34E54"/>
    <w:rsid w:val="7CCE6A29"/>
    <w:rsid w:val="7CF33270"/>
    <w:rsid w:val="7D02603F"/>
    <w:rsid w:val="7D2C2B03"/>
    <w:rsid w:val="7D4A280A"/>
    <w:rsid w:val="7D515C70"/>
    <w:rsid w:val="7D5D44AD"/>
    <w:rsid w:val="7D7550E8"/>
    <w:rsid w:val="7DA95D47"/>
    <w:rsid w:val="7DC205F3"/>
    <w:rsid w:val="7E146C66"/>
    <w:rsid w:val="7E1D3989"/>
    <w:rsid w:val="7E261D0D"/>
    <w:rsid w:val="7E6E437D"/>
    <w:rsid w:val="7ED61979"/>
    <w:rsid w:val="7F051133"/>
    <w:rsid w:val="7F150C8C"/>
    <w:rsid w:val="7F61079B"/>
    <w:rsid w:val="7FC50E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100" w:after="90" w:line="578" w:lineRule="auto"/>
      <w:ind w:left="0" w:right="0"/>
      <w:jc w:val="center"/>
      <w:outlineLvl w:val="0"/>
    </w:pPr>
    <w:rPr>
      <w:rFonts w:ascii="Times New Roman" w:hAnsi="Times New Roman" w:eastAsia="仿宋" w:cs="Times New Roman"/>
      <w:b/>
      <w:bCs/>
      <w:kern w:val="44"/>
      <w:sz w:val="32"/>
      <w:szCs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7"/>
    <w:qFormat/>
    <w:uiPriority w:val="0"/>
    <w:rPr>
      <w:rFonts w:ascii="仿宋" w:hAnsi="仿宋" w:eastAsia="仿宋" w:cs="仿宋"/>
      <w:sz w:val="30"/>
      <w:szCs w:val="30"/>
    </w:rPr>
  </w:style>
  <w:style w:type="paragraph" w:styleId="7">
    <w:name w:val="Body Text First Indent"/>
    <w:basedOn w:val="6"/>
    <w:qFormat/>
    <w:uiPriority w:val="0"/>
    <w:pPr>
      <w:ind w:firstLine="420" w:firstLineChars="100"/>
    </w:pPr>
  </w:style>
  <w:style w:type="paragraph" w:styleId="8">
    <w:name w:val="Body Text Indent"/>
    <w:basedOn w:val="1"/>
    <w:next w:val="9"/>
    <w:unhideWhenUsed/>
    <w:qFormat/>
    <w:uiPriority w:val="99"/>
    <w:pPr>
      <w:spacing w:after="120"/>
      <w:ind w:left="420" w:leftChars="200"/>
    </w:pPr>
    <w:rPr>
      <w:rFonts w:eastAsia="微软雅黑"/>
      <w:kern w:val="0"/>
      <w:sz w:val="24"/>
      <w:szCs w:val="20"/>
    </w:rPr>
  </w:style>
  <w:style w:type="paragraph" w:styleId="9">
    <w:name w:val="Body Text First Indent 2"/>
    <w:basedOn w:val="8"/>
    <w:qFormat/>
    <w:uiPriority w:val="0"/>
    <w:pPr>
      <w:ind w:firstLine="420"/>
    </w:pPr>
  </w:style>
  <w:style w:type="paragraph" w:styleId="10">
    <w:name w:val="Plain Text"/>
    <w:basedOn w:val="1"/>
    <w:qFormat/>
    <w:uiPriority w:val="0"/>
    <w:rPr>
      <w:rFonts w:ascii="宋体" w:hAnsi="Courier New"/>
      <w:kern w:val="0"/>
      <w:sz w:val="20"/>
      <w:szCs w:val="21"/>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toc 1"/>
    <w:basedOn w:val="1"/>
    <w:next w:val="1"/>
    <w:qFormat/>
    <w:uiPriority w:val="0"/>
  </w:style>
  <w:style w:type="paragraph" w:styleId="14">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5">
    <w:name w:val="toc 2"/>
    <w:basedOn w:val="1"/>
    <w:next w:val="1"/>
    <w:qFormat/>
    <w:uiPriority w:val="0"/>
    <w:pPr>
      <w:ind w:left="420" w:leftChars="200"/>
    </w:pPr>
  </w:style>
  <w:style w:type="paragraph" w:styleId="1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basedOn w:val="19"/>
    <w:qFormat/>
    <w:uiPriority w:val="0"/>
    <w:rPr>
      <w:b/>
    </w:rPr>
  </w:style>
  <w:style w:type="character" w:styleId="21">
    <w:name w:val="page number"/>
    <w:basedOn w:val="19"/>
    <w:qFormat/>
    <w:uiPriority w:val="99"/>
    <w:rPr>
      <w:rFonts w:cs="Times New Roman"/>
    </w:rPr>
  </w:style>
  <w:style w:type="character" w:styleId="22">
    <w:name w:val="Emphasis"/>
    <w:qFormat/>
    <w:uiPriority w:val="0"/>
  </w:style>
  <w:style w:type="character" w:styleId="23">
    <w:name w:val="Hyperlink"/>
    <w:basedOn w:val="19"/>
    <w:qFormat/>
    <w:uiPriority w:val="0"/>
    <w:rPr>
      <w:color w:val="0000FF"/>
      <w:u w:val="single"/>
    </w:rPr>
  </w:style>
  <w:style w:type="character" w:styleId="24">
    <w:name w:val="annotation reference"/>
    <w:unhideWhenUsed/>
    <w:qFormat/>
    <w:uiPriority w:val="0"/>
    <w:rPr>
      <w:sz w:val="21"/>
      <w:szCs w:val="21"/>
    </w:rPr>
  </w:style>
  <w:style w:type="paragraph" w:customStyle="1" w:styleId="25">
    <w:name w:val="Normal Indent"/>
    <w:basedOn w:val="1"/>
    <w:qFormat/>
    <w:uiPriority w:val="0"/>
    <w:pPr>
      <w:widowControl/>
      <w:ind w:firstLine="420" w:firstLineChars="200"/>
    </w:p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style>
  <w:style w:type="paragraph" w:customStyle="1" w:styleId="28">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9">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0">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1">
    <w:name w:val="标题 4 Char"/>
    <w:link w:val="4"/>
    <w:qFormat/>
    <w:uiPriority w:val="0"/>
    <w:rPr>
      <w:rFonts w:ascii="Arial" w:hAnsi="Arial" w:eastAsia="黑体"/>
      <w:b/>
      <w:sz w:val="28"/>
    </w:rPr>
  </w:style>
  <w:style w:type="paragraph" w:customStyle="1" w:styleId="32">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3">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4">
    <w:name w:val="font31"/>
    <w:qFormat/>
    <w:uiPriority w:val="0"/>
    <w:rPr>
      <w:rFonts w:hint="eastAsia" w:ascii="宋体" w:hAnsi="宋体" w:eastAsia="宋体" w:cs="宋体"/>
      <w:color w:val="000000"/>
      <w:sz w:val="21"/>
      <w:szCs w:val="21"/>
      <w:u w:val="none"/>
    </w:rPr>
  </w:style>
  <w:style w:type="paragraph" w:customStyle="1" w:styleId="3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6">
    <w:name w:val="纯文本1"/>
    <w:basedOn w:val="1"/>
    <w:qFormat/>
    <w:uiPriority w:val="0"/>
    <w:rPr>
      <w:rFonts w:ascii="宋体" w:hAnsi="Courier New"/>
      <w:kern w:val="0"/>
      <w:sz w:val="20"/>
    </w:rPr>
  </w:style>
  <w:style w:type="paragraph" w:customStyle="1" w:styleId="37">
    <w:name w:val="正文 A"/>
    <w:qFormat/>
    <w:uiPriority w:val="0"/>
    <w:pPr>
      <w:widowControl w:val="0"/>
      <w:jc w:val="both"/>
    </w:pPr>
    <w:rPr>
      <w:rFonts w:ascii="Times New Roman" w:hAnsi="Arial Unicode MS" w:eastAsia="Arial Unicode MS" w:cs="Arial Unicode MS"/>
      <w:color w:val="000000"/>
      <w:kern w:val="2"/>
      <w:sz w:val="21"/>
      <w:szCs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2189</Words>
  <Characters>2439</Characters>
  <Lines>230</Lines>
  <Paragraphs>64</Paragraphs>
  <TotalTime>3</TotalTime>
  <ScaleCrop>false</ScaleCrop>
  <LinksUpToDate>false</LinksUpToDate>
  <CharactersWithSpaces>2528</CharactersWithSpaces>
  <Application>WPS Office_12.1.0.25225_F1E327BC-269C-435d-A152-05C5408002CA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Administrator</cp:lastModifiedBy>
  <cp:lastPrinted>2026-01-19T01:43:00Z</cp:lastPrinted>
  <dcterms:modified xsi:type="dcterms:W3CDTF">2026-05-11T06:25:09Z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2052-12.1.0.25225</vt:lpwstr>
  </property>
  <property fmtid="{D5CDD505-2E9C-101B-9397-08002B2CF9AE}" pid="5" name="ICV">
    <vt:lpwstr>40B226246714404AAFF4707452B783C0</vt:lpwstr>
  </property>
  <property fmtid="{D5CDD505-2E9C-101B-9397-08002B2CF9AE}" pid="6" name="KSOTemplateDocerSaveRecord">
    <vt:lpwstr>eyJoZGlkIjoiMjExMTUxYTRmODlkMjZkYzRmYjg1NDc4OWJjMWQ0ZWMiLCJ1c2VySWQiOiI1NDQ5ODI0NzMifQ==</vt:lpwstr>
  </property>
</Properties>
</file>