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D0C3C8">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Start w:id="2" w:name="_GoBack"/>
      <w:bookmarkEnd w:id="2"/>
    </w:p>
    <w:p w14:paraId="02AE7F01">
      <w:pPr>
        <w:pageBreakBefore w:val="0"/>
        <w:widowControl w:val="0"/>
        <w:wordWrap/>
        <w:overflowPunct/>
        <w:topLinePunct w:val="0"/>
        <w:bidi w:val="0"/>
        <w:spacing w:line="309" w:lineRule="auto"/>
        <w:jc w:val="center"/>
        <w:rPr>
          <w:color w:val="auto"/>
          <w:highlight w:val="none"/>
          <w:lang w:eastAsia="zh-CN"/>
        </w:rPr>
      </w:pPr>
    </w:p>
    <w:p w14:paraId="78DDB665">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p>
    <w:p w14:paraId="059E87CC">
      <w:pPr>
        <w:pageBreakBefore w:val="0"/>
        <w:widowControl w:val="0"/>
        <w:wordWrap/>
        <w:overflowPunct/>
        <w:topLinePunct w:val="0"/>
        <w:bidi w:val="0"/>
        <w:spacing w:before="64"/>
        <w:rPr>
          <w:color w:val="auto"/>
          <w:highlight w:val="none"/>
        </w:rPr>
      </w:pPr>
    </w:p>
    <w:tbl>
      <w:tblPr>
        <w:tblStyle w:val="25"/>
        <w:tblW w:w="8939"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31"/>
        <w:gridCol w:w="809"/>
        <w:gridCol w:w="6099"/>
      </w:tblGrid>
      <w:tr w14:paraId="517EAF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8" w:hRule="atLeast"/>
        </w:trPr>
        <w:tc>
          <w:tcPr>
            <w:tcW w:w="2031" w:type="dxa"/>
            <w:tcBorders>
              <w:right w:val="nil"/>
            </w:tcBorders>
          </w:tcPr>
          <w:p w14:paraId="6345442E">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61312" behindDoc="1" locked="0" layoutInCell="1" allowOverlap="1">
                  <wp:simplePos x="0" y="0"/>
                  <wp:positionH relativeFrom="column">
                    <wp:posOffset>6985</wp:posOffset>
                  </wp:positionH>
                  <wp:positionV relativeFrom="paragraph">
                    <wp:posOffset>0</wp:posOffset>
                  </wp:positionV>
                  <wp:extent cx="1818005" cy="1950720"/>
                  <wp:effectExtent l="0" t="0" r="10795" b="1143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818005" cy="1950720"/>
                          </a:xfrm>
                          <a:prstGeom prst="rect">
                            <a:avLst/>
                          </a:prstGeom>
                        </pic:spPr>
                      </pic:pic>
                    </a:graphicData>
                  </a:graphic>
                </wp:anchor>
              </w:drawing>
            </w:r>
            <w:r>
              <w:rPr>
                <w:rFonts w:ascii="宋体" w:hAnsi="宋体" w:eastAsia="宋体" w:cs="宋体"/>
                <w:color w:val="auto"/>
                <w:sz w:val="24"/>
                <w:szCs w:val="24"/>
                <w:highlight w:val="none"/>
              </w:rPr>
              <w:t>名</w:t>
            </w:r>
          </w:p>
          <w:p w14:paraId="478BAD58">
            <w:pPr>
              <w:pStyle w:val="26"/>
              <w:pageBreakBefore w:val="0"/>
              <w:widowControl w:val="0"/>
              <w:wordWrap/>
              <w:overflowPunct/>
              <w:topLinePunct w:val="0"/>
              <w:bidi w:val="0"/>
              <w:spacing w:line="245" w:lineRule="auto"/>
              <w:rPr>
                <w:color w:val="auto"/>
                <w:highlight w:val="none"/>
              </w:rPr>
            </w:pPr>
          </w:p>
          <w:p w14:paraId="2F02D81B">
            <w:pPr>
              <w:pStyle w:val="26"/>
              <w:pageBreakBefore w:val="0"/>
              <w:widowControl w:val="0"/>
              <w:wordWrap/>
              <w:overflowPunct/>
              <w:topLinePunct w:val="0"/>
              <w:bidi w:val="0"/>
              <w:spacing w:line="246" w:lineRule="auto"/>
              <w:rPr>
                <w:color w:val="auto"/>
                <w:highlight w:val="none"/>
              </w:rPr>
            </w:pPr>
          </w:p>
          <w:p w14:paraId="59C57916">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4FEE6489">
            <w:pPr>
              <w:pStyle w:val="26"/>
              <w:pageBreakBefore w:val="0"/>
              <w:widowControl w:val="0"/>
              <w:wordWrap/>
              <w:overflowPunct/>
              <w:topLinePunct w:val="0"/>
              <w:bidi w:val="0"/>
              <w:spacing w:line="338" w:lineRule="auto"/>
              <w:rPr>
                <w:color w:val="auto"/>
                <w:highlight w:val="none"/>
              </w:rPr>
            </w:pPr>
          </w:p>
          <w:p w14:paraId="4BB8F869">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809" w:type="dxa"/>
            <w:tcBorders>
              <w:left w:val="nil"/>
            </w:tcBorders>
          </w:tcPr>
          <w:p w14:paraId="20F8F859">
            <w:pPr>
              <w:pStyle w:val="26"/>
              <w:pageBreakBefore w:val="0"/>
              <w:widowControl w:val="0"/>
              <w:wordWrap/>
              <w:overflowPunct/>
              <w:topLinePunct w:val="0"/>
              <w:bidi w:val="0"/>
              <w:spacing w:line="263" w:lineRule="auto"/>
              <w:rPr>
                <w:color w:val="auto"/>
                <w:highlight w:val="none"/>
              </w:rPr>
            </w:pPr>
          </w:p>
          <w:p w14:paraId="33B697E6">
            <w:pPr>
              <w:pStyle w:val="26"/>
              <w:pageBreakBefore w:val="0"/>
              <w:widowControl w:val="0"/>
              <w:wordWrap/>
              <w:overflowPunct/>
              <w:topLinePunct w:val="0"/>
              <w:bidi w:val="0"/>
              <w:spacing w:line="263" w:lineRule="auto"/>
              <w:rPr>
                <w:color w:val="auto"/>
                <w:highlight w:val="none"/>
              </w:rPr>
            </w:pPr>
          </w:p>
          <w:p w14:paraId="507AA633">
            <w:pPr>
              <w:pStyle w:val="26"/>
              <w:pageBreakBefore w:val="0"/>
              <w:widowControl w:val="0"/>
              <w:wordWrap/>
              <w:overflowPunct/>
              <w:topLinePunct w:val="0"/>
              <w:bidi w:val="0"/>
              <w:spacing w:line="264" w:lineRule="auto"/>
              <w:rPr>
                <w:color w:val="auto"/>
                <w:highlight w:val="none"/>
              </w:rPr>
            </w:pPr>
          </w:p>
          <w:p w14:paraId="255B3623">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099" w:type="dxa"/>
            <w:vAlign w:val="center"/>
          </w:tcPr>
          <w:p w14:paraId="59CC13C2">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center"/>
              <w:textAlignment w:val="baseline"/>
              <w:rPr>
                <w:color w:val="auto"/>
                <w:highlight w:val="none"/>
              </w:rPr>
            </w:pPr>
            <w:r>
              <w:rPr>
                <w:rFonts w:hint="eastAsia" w:ascii="宋体" w:hAnsi="宋体" w:eastAsia="宋体" w:cs="宋体"/>
                <w:b w:val="0"/>
                <w:bCs/>
                <w:color w:val="auto"/>
                <w:sz w:val="24"/>
                <w:szCs w:val="24"/>
                <w:highlight w:val="none"/>
                <w:lang w:val="en-US" w:eastAsia="zh-CN"/>
              </w:rPr>
              <w:t>铅山县人民法院物业管理服务项目</w:t>
            </w:r>
          </w:p>
        </w:tc>
      </w:tr>
      <w:tr w14:paraId="31B5F2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9" w:hRule="atLeast"/>
        </w:trPr>
        <w:tc>
          <w:tcPr>
            <w:tcW w:w="2840" w:type="dxa"/>
            <w:gridSpan w:val="2"/>
            <w:vAlign w:val="center"/>
          </w:tcPr>
          <w:p w14:paraId="099436E8">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服务</w:t>
            </w:r>
            <w:r>
              <w:rPr>
                <w:rFonts w:hint="eastAsia" w:ascii="宋体" w:hAnsi="宋体" w:eastAsia="宋体" w:cs="宋体"/>
                <w:color w:val="auto"/>
                <w:spacing w:val="0"/>
                <w:position w:val="0"/>
                <w:sz w:val="24"/>
                <w:szCs w:val="24"/>
              </w:rPr>
              <w:t>期</w:t>
            </w:r>
            <w:r>
              <w:rPr>
                <w:rFonts w:hint="eastAsia" w:ascii="宋体" w:hAnsi="宋体" w:eastAsia="宋体" w:cs="宋体"/>
                <w:color w:val="auto"/>
                <w:spacing w:val="0"/>
                <w:position w:val="0"/>
                <w:sz w:val="24"/>
                <w:szCs w:val="24"/>
                <w:lang w:val="en-US" w:eastAsia="zh-CN"/>
              </w:rPr>
              <w:t>限</w:t>
            </w:r>
          </w:p>
        </w:tc>
        <w:tc>
          <w:tcPr>
            <w:tcW w:w="6099" w:type="dxa"/>
            <w:vAlign w:val="center"/>
          </w:tcPr>
          <w:p w14:paraId="629CC682">
            <w:pPr>
              <w:pStyle w:val="26"/>
              <w:pageBreakBefore w:val="0"/>
              <w:widowControl w:val="0"/>
              <w:wordWrap/>
              <w:overflowPunct/>
              <w:topLinePunct w:val="0"/>
              <w:bidi w:val="0"/>
              <w:jc w:val="center"/>
              <w:rPr>
                <w:rFonts w:hint="default" w:eastAsia="宋体"/>
                <w:color w:val="auto"/>
                <w:highlight w:val="none"/>
                <w:lang w:val="en-US" w:eastAsia="zh-CN"/>
              </w:rPr>
            </w:pPr>
            <w:r>
              <w:rPr>
                <w:rFonts w:hint="eastAsia" w:ascii="宋体" w:hAnsi="宋体" w:eastAsia="宋体" w:cs="宋体"/>
                <w:b w:val="0"/>
                <w:bCs/>
                <w:color w:val="auto"/>
                <w:sz w:val="24"/>
                <w:szCs w:val="24"/>
                <w:highlight w:val="none"/>
                <w:lang w:val="en-US" w:eastAsia="zh-CN"/>
              </w:rPr>
              <w:t>二 年</w:t>
            </w:r>
          </w:p>
        </w:tc>
      </w:tr>
      <w:tr w14:paraId="37DE5B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9" w:hRule="atLeast"/>
        </w:trPr>
        <w:tc>
          <w:tcPr>
            <w:tcW w:w="2840" w:type="dxa"/>
            <w:gridSpan w:val="2"/>
            <w:vAlign w:val="center"/>
          </w:tcPr>
          <w:p w14:paraId="44BA1878">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hint="eastAsia" w:ascii="宋体" w:hAnsi="宋体" w:eastAsia="宋体" w:cs="宋体"/>
                <w:color w:val="auto"/>
                <w:spacing w:val="0"/>
                <w:position w:val="0"/>
                <w:sz w:val="24"/>
                <w:szCs w:val="24"/>
              </w:rPr>
              <w:t>地点</w:t>
            </w:r>
          </w:p>
        </w:tc>
        <w:tc>
          <w:tcPr>
            <w:tcW w:w="6099" w:type="dxa"/>
            <w:vAlign w:val="center"/>
          </w:tcPr>
          <w:p w14:paraId="09BA88B2">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铅山县人民法院（铅山县城东风凰山大道北侧）</w:t>
            </w:r>
          </w:p>
          <w:p w14:paraId="03226A97">
            <w:pPr>
              <w:pStyle w:val="26"/>
              <w:pageBreakBefore w:val="0"/>
              <w:widowControl w:val="0"/>
              <w:wordWrap/>
              <w:overflowPunct/>
              <w:topLinePunct w:val="0"/>
              <w:bidi w:val="0"/>
              <w:jc w:val="both"/>
              <w:rPr>
                <w:rFonts w:hint="default" w:ascii="宋体" w:hAnsi="宋体" w:eastAsia="宋体" w:cs="宋体"/>
                <w:color w:val="auto"/>
                <w:spacing w:val="0"/>
                <w:position w:val="0"/>
                <w:sz w:val="24"/>
                <w:szCs w:val="24"/>
                <w:lang w:val="en-US" w:eastAsia="zh-CN"/>
              </w:rPr>
            </w:pPr>
            <w:r>
              <w:rPr>
                <w:rFonts w:hint="eastAsia" w:ascii="宋体" w:hAnsi="宋体" w:eastAsia="宋体" w:cs="宋体"/>
                <w:b w:val="0"/>
                <w:bCs/>
                <w:color w:val="auto"/>
                <w:sz w:val="24"/>
                <w:szCs w:val="24"/>
                <w:highlight w:val="none"/>
                <w:lang w:val="en-US" w:eastAsia="zh-CN"/>
              </w:rPr>
              <w:t>永平法庭（永平镇城北）、汪二法庭（汪二镇街道站前北路、葛仙山法庭（葛仙山乡杨村村）、紫溪法庭（紫溪乡政府隔壁）</w:t>
            </w:r>
          </w:p>
        </w:tc>
      </w:tr>
      <w:tr w14:paraId="4BCED3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28" w:hRule="atLeast"/>
        </w:trPr>
        <w:tc>
          <w:tcPr>
            <w:tcW w:w="2840" w:type="dxa"/>
            <w:gridSpan w:val="2"/>
            <w:vAlign w:val="center"/>
          </w:tcPr>
          <w:p w14:paraId="6C02BE28">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备注</w:t>
            </w:r>
          </w:p>
        </w:tc>
        <w:tc>
          <w:tcPr>
            <w:tcW w:w="6099" w:type="dxa"/>
            <w:vAlign w:val="center"/>
          </w:tcPr>
          <w:p w14:paraId="532D78E4">
            <w:pPr>
              <w:pStyle w:val="26"/>
              <w:pageBreakBefore w:val="0"/>
              <w:widowControl w:val="0"/>
              <w:wordWrap/>
              <w:overflowPunct/>
              <w:topLinePunct w:val="0"/>
              <w:bidi w:val="0"/>
              <w:jc w:val="center"/>
              <w:rPr>
                <w:rFonts w:hint="eastAsia" w:eastAsia="宋体"/>
                <w:color w:val="auto"/>
                <w:highlight w:val="none"/>
                <w:lang w:val="en-US" w:eastAsia="zh-CN"/>
              </w:rPr>
            </w:pPr>
            <w:r>
              <w:rPr>
                <w:rFonts w:hint="eastAsia" w:ascii="宋体" w:hAnsi="宋体" w:eastAsia="宋体" w:cs="宋体"/>
                <w:color w:val="auto"/>
                <w:spacing w:val="0"/>
                <w:position w:val="0"/>
                <w:sz w:val="24"/>
                <w:szCs w:val="24"/>
                <w:lang w:val="en-US" w:eastAsia="zh-CN"/>
              </w:rPr>
              <w:t>/</w:t>
            </w:r>
          </w:p>
        </w:tc>
      </w:tr>
    </w:tbl>
    <w:p w14:paraId="567A2881">
      <w:pPr>
        <w:pageBreakBefore w:val="0"/>
        <w:widowControl w:val="0"/>
        <w:wordWrap/>
        <w:overflowPunct/>
        <w:topLinePunct w:val="0"/>
        <w:bidi w:val="0"/>
        <w:rPr>
          <w:color w:val="auto"/>
          <w:highlight w:val="none"/>
        </w:rPr>
        <w:sectPr>
          <w:footerReference r:id="rId3" w:type="default"/>
          <w:pgSz w:w="11906" w:h="16839"/>
          <w:pgMar w:top="1440" w:right="1800" w:bottom="1440" w:left="1800" w:header="0" w:footer="994" w:gutter="0"/>
          <w:pgNumType w:fmt="decimal"/>
          <w:cols w:space="720" w:num="1"/>
        </w:sectPr>
      </w:pPr>
    </w:p>
    <w:p w14:paraId="03474BE8">
      <w:pPr>
        <w:keepNext w:val="0"/>
        <w:keepLines w:val="0"/>
        <w:pageBreakBefore w:val="0"/>
        <w:kinsoku/>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b/>
          <w:bCs/>
          <w:color w:val="auto"/>
          <w:sz w:val="24"/>
          <w:szCs w:val="24"/>
          <w:highlight w:val="none"/>
          <w:lang w:val="en-US" w:eastAsia="zh-CN" w:bidi="ar"/>
        </w:rPr>
      </w:pPr>
      <w:bookmarkStart w:id="0" w:name="bookmark81"/>
      <w:bookmarkEnd w:id="0"/>
      <w:r>
        <w:rPr>
          <w:rFonts w:hint="eastAsia" w:asciiTheme="minorEastAsia" w:hAnsiTheme="minorEastAsia" w:eastAsiaTheme="minorEastAsia" w:cstheme="minorEastAsia"/>
          <w:b/>
          <w:bCs/>
          <w:color w:val="auto"/>
          <w:sz w:val="24"/>
          <w:szCs w:val="24"/>
          <w:highlight w:val="none"/>
          <w:lang w:val="en-US" w:eastAsia="zh-CN" w:bidi="ar"/>
        </w:rPr>
        <w:t>二、采购</w:t>
      </w:r>
      <w:r>
        <w:rPr>
          <w:rFonts w:hint="eastAsia" w:ascii="宋体" w:hAnsi="宋体" w:eastAsia="宋体" w:cs="宋体"/>
          <w:b/>
          <w:bCs/>
          <w:color w:val="auto"/>
          <w:spacing w:val="0"/>
          <w:position w:val="0"/>
          <w:sz w:val="24"/>
          <w:szCs w:val="24"/>
          <w:lang w:val="en-US" w:eastAsia="zh-CN"/>
        </w:rPr>
        <w:t>需</w:t>
      </w:r>
      <w:r>
        <w:rPr>
          <w:rFonts w:hint="eastAsia" w:asciiTheme="minorEastAsia" w:hAnsiTheme="minorEastAsia" w:eastAsiaTheme="minorEastAsia" w:cstheme="minorEastAsia"/>
          <w:b/>
          <w:bCs/>
          <w:color w:val="auto"/>
          <w:sz w:val="24"/>
          <w:szCs w:val="24"/>
          <w:highlight w:val="none"/>
          <w:lang w:val="en-US" w:eastAsia="zh-CN" w:bidi="ar"/>
        </w:rPr>
        <w:t>求</w:t>
      </w:r>
    </w:p>
    <w:p w14:paraId="495B9C48">
      <w:pPr>
        <w:keepNext w:val="0"/>
        <w:keepLines w:val="0"/>
        <w:pageBreakBefore w:val="0"/>
        <w:kinsoku/>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b/>
          <w:bCs/>
          <w:color w:val="auto"/>
          <w:sz w:val="24"/>
          <w:szCs w:val="24"/>
          <w:highlight w:val="none"/>
          <w:lang w:val="en-US" w:eastAsia="zh-CN" w:bidi="ar"/>
        </w:rPr>
      </w:pPr>
      <w:r>
        <w:rPr>
          <w:rFonts w:hint="eastAsia" w:asciiTheme="minorEastAsia" w:hAnsiTheme="minorEastAsia" w:eastAsiaTheme="minorEastAsia" w:cstheme="minorEastAsia"/>
          <w:b/>
          <w:bCs/>
          <w:color w:val="auto"/>
          <w:sz w:val="24"/>
          <w:szCs w:val="24"/>
          <w:highlight w:val="none"/>
          <w:lang w:val="en-US" w:eastAsia="zh-CN" w:bidi="ar"/>
        </w:rPr>
        <w:t>（一）项目情况介绍</w:t>
      </w:r>
    </w:p>
    <w:p w14:paraId="4034BF1C">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US" w:eastAsia="zh-CN" w:bidi="ar"/>
        </w:rPr>
      </w:pPr>
      <w:r>
        <w:rPr>
          <w:rFonts w:hint="eastAsia" w:asciiTheme="minorEastAsia" w:hAnsiTheme="minorEastAsia" w:eastAsiaTheme="minorEastAsia" w:cstheme="minorEastAsia"/>
          <w:color w:val="auto"/>
          <w:sz w:val="24"/>
          <w:szCs w:val="24"/>
          <w:highlight w:val="none"/>
          <w:lang w:val="en-US" w:eastAsia="zh-CN" w:bidi="ar"/>
        </w:rPr>
        <w:t>（1）预算费用：93万元/年，服务期二年，共计186万元。</w:t>
      </w:r>
    </w:p>
    <w:p w14:paraId="2F3DF9A2">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US" w:eastAsia="zh-CN" w:bidi="ar"/>
        </w:rPr>
      </w:pPr>
      <w:r>
        <w:rPr>
          <w:rFonts w:hint="eastAsia" w:asciiTheme="minorEastAsia" w:hAnsiTheme="minorEastAsia" w:eastAsiaTheme="minorEastAsia" w:cstheme="minorEastAsia"/>
          <w:color w:val="auto"/>
          <w:sz w:val="24"/>
          <w:szCs w:val="24"/>
          <w:highlight w:val="none"/>
          <w:lang w:val="en-US" w:eastAsia="zh-CN" w:bidi="ar"/>
        </w:rPr>
        <w:t>预算费用包括以下内容：人工费（基本工资、社会保险费、福利费、法定节假日加班费、伙食补助费、高温补贴费）、服务耗材费、机械设备费、绿化养护和管理费、其他费用(行政办公费、管理费、利润、单次单项300元以下的日常设备更换费或维修费)、税费及谈判文件中约定应由供应商完成的本项目全部服务内容所需全部费用。</w:t>
      </w:r>
    </w:p>
    <w:p w14:paraId="6475D834">
      <w:pPr>
        <w:keepNext w:val="0"/>
        <w:keepLines w:val="0"/>
        <w:pageBreakBefore w:val="0"/>
        <w:kinsoku/>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b/>
          <w:bCs/>
          <w:color w:val="auto"/>
          <w:sz w:val="24"/>
          <w:szCs w:val="24"/>
          <w:highlight w:val="none"/>
          <w:lang w:val="en-US" w:eastAsia="zh-CN" w:bidi="ar"/>
        </w:rPr>
      </w:pPr>
      <w:r>
        <w:rPr>
          <w:rFonts w:hint="eastAsia" w:asciiTheme="minorEastAsia" w:hAnsiTheme="minorEastAsia" w:eastAsiaTheme="minorEastAsia" w:cstheme="minorEastAsia"/>
          <w:b/>
          <w:bCs/>
          <w:color w:val="auto"/>
          <w:sz w:val="24"/>
          <w:szCs w:val="24"/>
          <w:highlight w:val="none"/>
          <w:lang w:val="en-US" w:eastAsia="zh-CN" w:bidi="ar"/>
        </w:rPr>
        <w:t>（2）项目概况</w:t>
      </w:r>
    </w:p>
    <w:p w14:paraId="71724C08">
      <w:pPr>
        <w:keepNext w:val="0"/>
        <w:keepLines w:val="0"/>
        <w:pageBreakBefore w:val="0"/>
        <w:kinsoku/>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b/>
          <w:bCs/>
          <w:color w:val="auto"/>
          <w:sz w:val="24"/>
          <w:szCs w:val="24"/>
          <w:highlight w:val="none"/>
          <w:lang w:val="en-US" w:eastAsia="zh-CN" w:bidi="ar"/>
        </w:rPr>
      </w:pPr>
      <w:r>
        <w:rPr>
          <w:rFonts w:hint="eastAsia" w:asciiTheme="minorEastAsia" w:hAnsiTheme="minorEastAsia" w:eastAsiaTheme="minorEastAsia" w:cstheme="minorEastAsia"/>
          <w:b/>
          <w:bCs/>
          <w:color w:val="auto"/>
          <w:sz w:val="24"/>
          <w:szCs w:val="24"/>
          <w:highlight w:val="none"/>
          <w:lang w:val="en-US" w:eastAsia="zh-CN" w:bidi="ar"/>
        </w:rPr>
        <w:t>2.1 服务区域范围</w:t>
      </w:r>
    </w:p>
    <w:p w14:paraId="3543D239">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default" w:asciiTheme="minorEastAsia" w:hAnsiTheme="minorEastAsia" w:eastAsiaTheme="minorEastAsia" w:cstheme="minorEastAsia"/>
          <w:color w:val="auto"/>
          <w:sz w:val="24"/>
          <w:szCs w:val="24"/>
          <w:highlight w:val="none"/>
          <w:lang w:val="en-US" w:eastAsia="zh-CN" w:bidi="ar"/>
        </w:rPr>
      </w:pPr>
      <w:r>
        <w:rPr>
          <w:rFonts w:hint="eastAsia" w:asciiTheme="minorEastAsia" w:hAnsiTheme="minorEastAsia" w:eastAsiaTheme="minorEastAsia" w:cstheme="minorEastAsia"/>
          <w:color w:val="auto"/>
          <w:sz w:val="24"/>
          <w:szCs w:val="24"/>
          <w:highlight w:val="none"/>
          <w:lang w:val="en-US" w:eastAsia="zh-CN" w:bidi="ar"/>
        </w:rPr>
        <w:t>法院场地占地面积18667平方米；总建筑面积：11068.84平方米；绿化面积：5700平方米；室外停车位96个；法院日常工作人员约130人。汪二法庭绿化面积524平方米，永平法庭绿化面积334平方米，葛仙山法庭绿化面积164平方米，紫溪法庭绿化面积45平方米。</w:t>
      </w:r>
    </w:p>
    <w:p w14:paraId="5BD051FE">
      <w:pPr>
        <w:pageBreakBefore w:val="0"/>
        <w:widowControl w:val="0"/>
        <w:numPr>
          <w:ilvl w:val="0"/>
          <w:numId w:val="0"/>
        </w:numPr>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2.2 设备、设施情况</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6"/>
        <w:gridCol w:w="2445"/>
        <w:gridCol w:w="1686"/>
        <w:gridCol w:w="1332"/>
        <w:gridCol w:w="2112"/>
      </w:tblGrid>
      <w:tr w14:paraId="06EEE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46" w:type="dxa"/>
            <w:vAlign w:val="center"/>
          </w:tcPr>
          <w:p w14:paraId="5C88A371">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2445" w:type="dxa"/>
            <w:vAlign w:val="center"/>
          </w:tcPr>
          <w:p w14:paraId="42526D8A">
            <w:pPr>
              <w:jc w:val="center"/>
              <w:rPr>
                <w:rFonts w:hint="eastAsia" w:ascii="宋体" w:hAnsi="宋体" w:eastAsia="宋体" w:cs="宋体"/>
                <w:color w:val="auto"/>
                <w:sz w:val="24"/>
                <w:szCs w:val="24"/>
              </w:rPr>
            </w:pPr>
            <w:r>
              <w:rPr>
                <w:rFonts w:hint="eastAsia" w:ascii="宋体" w:hAnsi="宋体" w:eastAsia="宋体" w:cs="宋体"/>
                <w:color w:val="auto"/>
                <w:sz w:val="24"/>
                <w:szCs w:val="24"/>
              </w:rPr>
              <w:t>设备、设施名称</w:t>
            </w:r>
          </w:p>
        </w:tc>
        <w:tc>
          <w:tcPr>
            <w:tcW w:w="1686" w:type="dxa"/>
            <w:vAlign w:val="center"/>
          </w:tcPr>
          <w:p w14:paraId="4808B6AB">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c>
          <w:tcPr>
            <w:tcW w:w="1332" w:type="dxa"/>
            <w:vAlign w:val="center"/>
          </w:tcPr>
          <w:p w14:paraId="442CD542">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单位</w:t>
            </w:r>
          </w:p>
        </w:tc>
        <w:tc>
          <w:tcPr>
            <w:tcW w:w="2112" w:type="dxa"/>
            <w:vAlign w:val="center"/>
          </w:tcPr>
          <w:p w14:paraId="244F6B81">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备注</w:t>
            </w:r>
          </w:p>
        </w:tc>
      </w:tr>
      <w:tr w14:paraId="3D5F4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46" w:type="dxa"/>
            <w:vAlign w:val="center"/>
          </w:tcPr>
          <w:p w14:paraId="5DACD7C4">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445" w:type="dxa"/>
            <w:vAlign w:val="center"/>
          </w:tcPr>
          <w:p w14:paraId="2FE46EDA">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客用电梯</w:t>
            </w:r>
          </w:p>
        </w:tc>
        <w:tc>
          <w:tcPr>
            <w:tcW w:w="1686" w:type="dxa"/>
            <w:vAlign w:val="center"/>
          </w:tcPr>
          <w:p w14:paraId="5DAEBAC5">
            <w:pPr>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p>
        </w:tc>
        <w:tc>
          <w:tcPr>
            <w:tcW w:w="1332" w:type="dxa"/>
            <w:vAlign w:val="center"/>
          </w:tcPr>
          <w:p w14:paraId="107AEE52">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台</w:t>
            </w:r>
          </w:p>
        </w:tc>
        <w:tc>
          <w:tcPr>
            <w:tcW w:w="2112" w:type="dxa"/>
            <w:vAlign w:val="center"/>
          </w:tcPr>
          <w:p w14:paraId="104CBDD0">
            <w:pPr>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电梯层数8层</w:t>
            </w:r>
          </w:p>
        </w:tc>
      </w:tr>
      <w:tr w14:paraId="15BDD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46" w:type="dxa"/>
            <w:vAlign w:val="center"/>
          </w:tcPr>
          <w:p w14:paraId="607BF595">
            <w:pPr>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2445" w:type="dxa"/>
            <w:vAlign w:val="center"/>
          </w:tcPr>
          <w:p w14:paraId="0F550435">
            <w:pPr>
              <w:jc w:val="center"/>
              <w:rPr>
                <w:rFonts w:hint="eastAsia" w:ascii="宋体" w:hAnsi="宋体" w:eastAsia="宋体" w:cs="宋体"/>
                <w:color w:val="auto"/>
                <w:sz w:val="24"/>
                <w:szCs w:val="24"/>
              </w:rPr>
            </w:pPr>
            <w:r>
              <w:rPr>
                <w:rFonts w:hint="eastAsia" w:ascii="宋体" w:hAnsi="宋体" w:eastAsia="宋体" w:cs="宋体"/>
                <w:color w:val="auto"/>
                <w:sz w:val="24"/>
                <w:szCs w:val="24"/>
              </w:rPr>
              <w:t>视频监控</w:t>
            </w:r>
          </w:p>
        </w:tc>
        <w:tc>
          <w:tcPr>
            <w:tcW w:w="1686" w:type="dxa"/>
            <w:vAlign w:val="center"/>
          </w:tcPr>
          <w:p w14:paraId="3A3854BC">
            <w:pPr>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131</w:t>
            </w:r>
          </w:p>
        </w:tc>
        <w:tc>
          <w:tcPr>
            <w:tcW w:w="1332" w:type="dxa"/>
            <w:vAlign w:val="center"/>
          </w:tcPr>
          <w:p w14:paraId="41427337">
            <w:pPr>
              <w:jc w:val="center"/>
              <w:rPr>
                <w:rFonts w:hint="eastAsia" w:ascii="宋体" w:hAnsi="宋体" w:eastAsia="宋体" w:cs="宋体"/>
                <w:color w:val="auto"/>
                <w:sz w:val="24"/>
                <w:szCs w:val="24"/>
              </w:rPr>
            </w:pPr>
            <w:r>
              <w:rPr>
                <w:rFonts w:hint="eastAsia" w:ascii="宋体" w:hAnsi="宋体" w:eastAsia="宋体" w:cs="宋体"/>
                <w:color w:val="auto"/>
                <w:sz w:val="24"/>
                <w:szCs w:val="24"/>
              </w:rPr>
              <w:t>个</w:t>
            </w:r>
          </w:p>
        </w:tc>
        <w:tc>
          <w:tcPr>
            <w:tcW w:w="2112" w:type="dxa"/>
            <w:vAlign w:val="center"/>
          </w:tcPr>
          <w:p w14:paraId="51B0E3E2">
            <w:pPr>
              <w:jc w:val="center"/>
              <w:rPr>
                <w:rFonts w:hint="eastAsia" w:ascii="宋体" w:hAnsi="宋体" w:eastAsia="宋体" w:cs="宋体"/>
                <w:color w:val="auto"/>
                <w:sz w:val="24"/>
                <w:szCs w:val="24"/>
              </w:rPr>
            </w:pPr>
          </w:p>
        </w:tc>
      </w:tr>
      <w:tr w14:paraId="78A75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46" w:type="dxa"/>
            <w:vAlign w:val="center"/>
          </w:tcPr>
          <w:p w14:paraId="1F2B9200">
            <w:pPr>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2445" w:type="dxa"/>
            <w:vAlign w:val="center"/>
          </w:tcPr>
          <w:p w14:paraId="6D6DB198">
            <w:pPr>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中央空调</w:t>
            </w:r>
            <w:r>
              <w:rPr>
                <w:rFonts w:hint="eastAsia" w:ascii="宋体" w:hAnsi="宋体" w:eastAsia="宋体" w:cs="宋体"/>
                <w:color w:val="auto"/>
                <w:sz w:val="24"/>
                <w:szCs w:val="24"/>
                <w:lang w:eastAsia="zh-CN"/>
              </w:rPr>
              <w:t>外机</w:t>
            </w:r>
          </w:p>
        </w:tc>
        <w:tc>
          <w:tcPr>
            <w:tcW w:w="1686" w:type="dxa"/>
            <w:vAlign w:val="center"/>
          </w:tcPr>
          <w:p w14:paraId="5712A3F0">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14</w:t>
            </w:r>
          </w:p>
        </w:tc>
        <w:tc>
          <w:tcPr>
            <w:tcW w:w="1332" w:type="dxa"/>
            <w:vAlign w:val="center"/>
          </w:tcPr>
          <w:p w14:paraId="6D4405DA">
            <w:pPr>
              <w:jc w:val="center"/>
              <w:rPr>
                <w:rFonts w:hint="eastAsia" w:ascii="宋体" w:hAnsi="宋体" w:eastAsia="宋体" w:cs="宋体"/>
                <w:color w:val="auto"/>
                <w:sz w:val="24"/>
                <w:szCs w:val="24"/>
              </w:rPr>
            </w:pPr>
            <w:r>
              <w:rPr>
                <w:rFonts w:hint="eastAsia" w:ascii="宋体" w:hAnsi="宋体" w:eastAsia="宋体" w:cs="宋体"/>
                <w:color w:val="auto"/>
                <w:sz w:val="24"/>
                <w:szCs w:val="24"/>
              </w:rPr>
              <w:t>组</w:t>
            </w:r>
          </w:p>
        </w:tc>
        <w:tc>
          <w:tcPr>
            <w:tcW w:w="2112" w:type="dxa"/>
            <w:vAlign w:val="center"/>
          </w:tcPr>
          <w:p w14:paraId="2CA16AA3">
            <w:pPr>
              <w:jc w:val="center"/>
              <w:rPr>
                <w:rFonts w:hint="eastAsia" w:ascii="宋体" w:hAnsi="宋体" w:eastAsia="宋体" w:cs="宋体"/>
                <w:color w:val="auto"/>
                <w:sz w:val="24"/>
                <w:szCs w:val="24"/>
              </w:rPr>
            </w:pPr>
          </w:p>
        </w:tc>
      </w:tr>
      <w:tr w14:paraId="21B06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46" w:type="dxa"/>
            <w:vAlign w:val="center"/>
          </w:tcPr>
          <w:p w14:paraId="4791AB5A">
            <w:pPr>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2445" w:type="dxa"/>
            <w:vAlign w:val="center"/>
          </w:tcPr>
          <w:p w14:paraId="190627B5">
            <w:pPr>
              <w:jc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内机</w:t>
            </w:r>
          </w:p>
        </w:tc>
        <w:tc>
          <w:tcPr>
            <w:tcW w:w="1686" w:type="dxa"/>
            <w:vAlign w:val="center"/>
          </w:tcPr>
          <w:p w14:paraId="5CF795D5">
            <w:pPr>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178</w:t>
            </w:r>
          </w:p>
        </w:tc>
        <w:tc>
          <w:tcPr>
            <w:tcW w:w="1332" w:type="dxa"/>
            <w:vAlign w:val="center"/>
          </w:tcPr>
          <w:p w14:paraId="6960BA42">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台</w:t>
            </w:r>
          </w:p>
        </w:tc>
        <w:tc>
          <w:tcPr>
            <w:tcW w:w="2112" w:type="dxa"/>
            <w:vAlign w:val="center"/>
          </w:tcPr>
          <w:p w14:paraId="27B099B2">
            <w:pPr>
              <w:jc w:val="center"/>
              <w:rPr>
                <w:rFonts w:hint="eastAsia" w:ascii="宋体" w:hAnsi="宋体" w:eastAsia="宋体" w:cs="宋体"/>
                <w:color w:val="auto"/>
                <w:sz w:val="24"/>
                <w:szCs w:val="24"/>
              </w:rPr>
            </w:pPr>
          </w:p>
        </w:tc>
      </w:tr>
      <w:tr w14:paraId="136BB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46" w:type="dxa"/>
            <w:vAlign w:val="center"/>
          </w:tcPr>
          <w:p w14:paraId="3B934BB7">
            <w:pPr>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w:t>
            </w:r>
          </w:p>
        </w:tc>
        <w:tc>
          <w:tcPr>
            <w:tcW w:w="2445" w:type="dxa"/>
            <w:vAlign w:val="center"/>
          </w:tcPr>
          <w:p w14:paraId="6991F759">
            <w:pPr>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分体空调</w:t>
            </w:r>
          </w:p>
        </w:tc>
        <w:tc>
          <w:tcPr>
            <w:tcW w:w="1686" w:type="dxa"/>
            <w:vAlign w:val="center"/>
          </w:tcPr>
          <w:p w14:paraId="5BB8D51A">
            <w:pPr>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w:t>
            </w:r>
          </w:p>
        </w:tc>
        <w:tc>
          <w:tcPr>
            <w:tcW w:w="1332" w:type="dxa"/>
            <w:vAlign w:val="center"/>
          </w:tcPr>
          <w:p w14:paraId="4D68C719">
            <w:pPr>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2112" w:type="dxa"/>
            <w:vAlign w:val="center"/>
          </w:tcPr>
          <w:p w14:paraId="01FACFA5">
            <w:pPr>
              <w:jc w:val="center"/>
              <w:rPr>
                <w:rFonts w:hint="eastAsia" w:ascii="宋体" w:hAnsi="宋体" w:eastAsia="宋体" w:cs="宋体"/>
                <w:color w:val="auto"/>
                <w:sz w:val="24"/>
                <w:szCs w:val="24"/>
              </w:rPr>
            </w:pPr>
          </w:p>
        </w:tc>
      </w:tr>
      <w:tr w14:paraId="2FE57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46" w:type="dxa"/>
            <w:vAlign w:val="center"/>
          </w:tcPr>
          <w:p w14:paraId="13E179DB">
            <w:pPr>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w:t>
            </w:r>
          </w:p>
        </w:tc>
        <w:tc>
          <w:tcPr>
            <w:tcW w:w="2445" w:type="dxa"/>
            <w:vAlign w:val="center"/>
          </w:tcPr>
          <w:p w14:paraId="3F6A57CD">
            <w:pPr>
              <w:jc w:val="center"/>
              <w:rPr>
                <w:rFonts w:hint="eastAsia" w:ascii="宋体" w:hAnsi="宋体" w:eastAsia="宋体" w:cs="宋体"/>
                <w:color w:val="auto"/>
                <w:sz w:val="24"/>
                <w:szCs w:val="24"/>
              </w:rPr>
            </w:pPr>
            <w:r>
              <w:rPr>
                <w:rFonts w:hint="eastAsia" w:ascii="宋体" w:hAnsi="宋体" w:eastAsia="宋体" w:cs="宋体"/>
                <w:color w:val="auto"/>
                <w:sz w:val="24"/>
                <w:szCs w:val="24"/>
              </w:rPr>
              <w:t>精密空调</w:t>
            </w:r>
          </w:p>
        </w:tc>
        <w:tc>
          <w:tcPr>
            <w:tcW w:w="1686" w:type="dxa"/>
            <w:vAlign w:val="center"/>
          </w:tcPr>
          <w:p w14:paraId="03086702">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332" w:type="dxa"/>
            <w:vAlign w:val="center"/>
          </w:tcPr>
          <w:p w14:paraId="2A3DC74A">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台</w:t>
            </w:r>
          </w:p>
        </w:tc>
        <w:tc>
          <w:tcPr>
            <w:tcW w:w="2112" w:type="dxa"/>
            <w:vAlign w:val="center"/>
          </w:tcPr>
          <w:p w14:paraId="173A4C7D">
            <w:pPr>
              <w:jc w:val="center"/>
              <w:rPr>
                <w:rFonts w:hint="eastAsia" w:ascii="宋体" w:hAnsi="宋体" w:eastAsia="宋体" w:cs="宋体"/>
                <w:color w:val="auto"/>
                <w:sz w:val="24"/>
                <w:szCs w:val="24"/>
              </w:rPr>
            </w:pPr>
          </w:p>
        </w:tc>
      </w:tr>
      <w:tr w14:paraId="1E37B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46" w:type="dxa"/>
            <w:vAlign w:val="center"/>
          </w:tcPr>
          <w:p w14:paraId="3FCF5C28">
            <w:pPr>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w:t>
            </w:r>
          </w:p>
        </w:tc>
        <w:tc>
          <w:tcPr>
            <w:tcW w:w="2445" w:type="dxa"/>
            <w:vAlign w:val="center"/>
          </w:tcPr>
          <w:p w14:paraId="0630D2FF">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排水泵</w:t>
            </w:r>
          </w:p>
        </w:tc>
        <w:tc>
          <w:tcPr>
            <w:tcW w:w="1686" w:type="dxa"/>
            <w:vAlign w:val="center"/>
          </w:tcPr>
          <w:p w14:paraId="46BB9073">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332" w:type="dxa"/>
            <w:vAlign w:val="center"/>
          </w:tcPr>
          <w:p w14:paraId="48E5B9BA">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台</w:t>
            </w:r>
          </w:p>
        </w:tc>
        <w:tc>
          <w:tcPr>
            <w:tcW w:w="2112" w:type="dxa"/>
            <w:vAlign w:val="center"/>
          </w:tcPr>
          <w:p w14:paraId="5B1E6254">
            <w:pPr>
              <w:jc w:val="center"/>
              <w:rPr>
                <w:rFonts w:hint="eastAsia" w:ascii="宋体" w:hAnsi="宋体" w:eastAsia="宋体" w:cs="宋体"/>
                <w:color w:val="auto"/>
                <w:sz w:val="24"/>
                <w:szCs w:val="24"/>
              </w:rPr>
            </w:pPr>
          </w:p>
        </w:tc>
      </w:tr>
      <w:tr w14:paraId="39F9F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46" w:type="dxa"/>
            <w:vAlign w:val="center"/>
          </w:tcPr>
          <w:p w14:paraId="15058ECF">
            <w:pPr>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w:t>
            </w:r>
          </w:p>
        </w:tc>
        <w:tc>
          <w:tcPr>
            <w:tcW w:w="2445" w:type="dxa"/>
            <w:vAlign w:val="center"/>
          </w:tcPr>
          <w:p w14:paraId="1849D00A">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消防主机</w:t>
            </w:r>
          </w:p>
        </w:tc>
        <w:tc>
          <w:tcPr>
            <w:tcW w:w="1686" w:type="dxa"/>
            <w:vAlign w:val="center"/>
          </w:tcPr>
          <w:p w14:paraId="5BA13B25">
            <w:pPr>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332" w:type="dxa"/>
            <w:vAlign w:val="center"/>
          </w:tcPr>
          <w:p w14:paraId="763BB267">
            <w:pPr>
              <w:jc w:val="center"/>
              <w:rPr>
                <w:rFonts w:hint="eastAsia" w:ascii="宋体" w:hAnsi="宋体" w:eastAsia="宋体" w:cs="宋体"/>
                <w:color w:val="auto"/>
                <w:sz w:val="24"/>
                <w:szCs w:val="24"/>
              </w:rPr>
            </w:pPr>
            <w:r>
              <w:rPr>
                <w:rFonts w:hint="eastAsia" w:ascii="宋体" w:hAnsi="宋体" w:eastAsia="宋体" w:cs="宋体"/>
                <w:color w:val="auto"/>
                <w:sz w:val="24"/>
                <w:szCs w:val="24"/>
              </w:rPr>
              <w:t>个</w:t>
            </w:r>
          </w:p>
        </w:tc>
        <w:tc>
          <w:tcPr>
            <w:tcW w:w="2112" w:type="dxa"/>
            <w:vAlign w:val="center"/>
          </w:tcPr>
          <w:p w14:paraId="6AA888AD">
            <w:pPr>
              <w:jc w:val="center"/>
              <w:rPr>
                <w:rFonts w:hint="eastAsia" w:ascii="宋体" w:hAnsi="宋体" w:eastAsia="宋体" w:cs="宋体"/>
                <w:color w:val="auto"/>
                <w:sz w:val="24"/>
                <w:szCs w:val="24"/>
              </w:rPr>
            </w:pPr>
          </w:p>
        </w:tc>
      </w:tr>
      <w:tr w14:paraId="0C58E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46" w:type="dxa"/>
            <w:vAlign w:val="center"/>
          </w:tcPr>
          <w:p w14:paraId="70F4628D">
            <w:pPr>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w:t>
            </w:r>
          </w:p>
        </w:tc>
        <w:tc>
          <w:tcPr>
            <w:tcW w:w="2445" w:type="dxa"/>
            <w:vAlign w:val="center"/>
          </w:tcPr>
          <w:p w14:paraId="67F7D468">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喷淋</w:t>
            </w:r>
          </w:p>
        </w:tc>
        <w:tc>
          <w:tcPr>
            <w:tcW w:w="1686" w:type="dxa"/>
            <w:vAlign w:val="center"/>
          </w:tcPr>
          <w:p w14:paraId="1690254D">
            <w:pPr>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950</w:t>
            </w:r>
          </w:p>
        </w:tc>
        <w:tc>
          <w:tcPr>
            <w:tcW w:w="1332" w:type="dxa"/>
            <w:vAlign w:val="center"/>
          </w:tcPr>
          <w:p w14:paraId="19FFF039">
            <w:pPr>
              <w:jc w:val="center"/>
              <w:rPr>
                <w:rFonts w:hint="eastAsia" w:ascii="宋体" w:hAnsi="宋体" w:eastAsia="宋体" w:cs="宋体"/>
                <w:color w:val="auto"/>
                <w:sz w:val="24"/>
                <w:szCs w:val="24"/>
              </w:rPr>
            </w:pPr>
            <w:r>
              <w:rPr>
                <w:rFonts w:hint="eastAsia" w:ascii="宋体" w:hAnsi="宋体" w:eastAsia="宋体" w:cs="宋体"/>
                <w:color w:val="auto"/>
                <w:sz w:val="24"/>
                <w:szCs w:val="24"/>
              </w:rPr>
              <w:t>个</w:t>
            </w:r>
          </w:p>
        </w:tc>
        <w:tc>
          <w:tcPr>
            <w:tcW w:w="2112" w:type="dxa"/>
            <w:vAlign w:val="center"/>
          </w:tcPr>
          <w:p w14:paraId="5A402203">
            <w:pPr>
              <w:jc w:val="center"/>
              <w:rPr>
                <w:rFonts w:hint="eastAsia" w:ascii="宋体" w:hAnsi="宋体" w:eastAsia="宋体" w:cs="宋体"/>
                <w:color w:val="auto"/>
                <w:sz w:val="24"/>
                <w:szCs w:val="24"/>
              </w:rPr>
            </w:pPr>
          </w:p>
        </w:tc>
      </w:tr>
      <w:tr w14:paraId="533B8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46" w:type="dxa"/>
            <w:vAlign w:val="center"/>
          </w:tcPr>
          <w:p w14:paraId="111059EE">
            <w:pPr>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w:t>
            </w:r>
          </w:p>
        </w:tc>
        <w:tc>
          <w:tcPr>
            <w:tcW w:w="2445" w:type="dxa"/>
            <w:vAlign w:val="center"/>
          </w:tcPr>
          <w:p w14:paraId="7BE51759">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消防栓</w:t>
            </w:r>
          </w:p>
        </w:tc>
        <w:tc>
          <w:tcPr>
            <w:tcW w:w="1686" w:type="dxa"/>
            <w:vAlign w:val="center"/>
          </w:tcPr>
          <w:p w14:paraId="31CCC746">
            <w:pPr>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48</w:t>
            </w:r>
          </w:p>
        </w:tc>
        <w:tc>
          <w:tcPr>
            <w:tcW w:w="1332" w:type="dxa"/>
            <w:vAlign w:val="center"/>
          </w:tcPr>
          <w:p w14:paraId="4F1754AB">
            <w:pPr>
              <w:jc w:val="center"/>
              <w:rPr>
                <w:rFonts w:hint="eastAsia" w:ascii="宋体" w:hAnsi="宋体" w:eastAsia="宋体" w:cs="宋体"/>
                <w:color w:val="auto"/>
                <w:sz w:val="24"/>
                <w:szCs w:val="24"/>
              </w:rPr>
            </w:pPr>
            <w:r>
              <w:rPr>
                <w:rFonts w:hint="eastAsia" w:ascii="宋体" w:hAnsi="宋体" w:eastAsia="宋体" w:cs="宋体"/>
                <w:color w:val="auto"/>
                <w:sz w:val="24"/>
                <w:szCs w:val="24"/>
              </w:rPr>
              <w:t>个</w:t>
            </w:r>
          </w:p>
        </w:tc>
        <w:tc>
          <w:tcPr>
            <w:tcW w:w="2112" w:type="dxa"/>
            <w:vAlign w:val="center"/>
          </w:tcPr>
          <w:p w14:paraId="550792D4">
            <w:pPr>
              <w:jc w:val="center"/>
              <w:rPr>
                <w:rFonts w:hint="eastAsia" w:ascii="宋体" w:hAnsi="宋体" w:eastAsia="宋体" w:cs="宋体"/>
                <w:color w:val="auto"/>
                <w:sz w:val="24"/>
                <w:szCs w:val="24"/>
              </w:rPr>
            </w:pPr>
          </w:p>
        </w:tc>
      </w:tr>
    </w:tbl>
    <w:p w14:paraId="2BB03844">
      <w:pPr>
        <w:keepNext w:val="0"/>
        <w:keepLines w:val="0"/>
        <w:pageBreakBefore w:val="0"/>
        <w:kinsoku/>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b/>
          <w:bCs/>
          <w:color w:val="auto"/>
          <w:sz w:val="24"/>
          <w:szCs w:val="24"/>
          <w:highlight w:val="none"/>
          <w:lang w:val="en-US" w:eastAsia="zh-CN" w:bidi="ar"/>
        </w:rPr>
      </w:pPr>
      <w:r>
        <w:rPr>
          <w:rFonts w:hint="eastAsia" w:asciiTheme="minorEastAsia" w:hAnsiTheme="minorEastAsia" w:eastAsiaTheme="minorEastAsia" w:cstheme="minorEastAsia"/>
          <w:b/>
          <w:bCs/>
          <w:color w:val="auto"/>
          <w:sz w:val="24"/>
          <w:szCs w:val="24"/>
          <w:highlight w:val="none"/>
          <w:lang w:val="en-US" w:eastAsia="zh-CN" w:bidi="ar"/>
        </w:rPr>
        <w:t>（二）服务内容及质量要求</w:t>
      </w:r>
    </w:p>
    <w:p w14:paraId="7E60BC61">
      <w:pPr>
        <w:keepNext w:val="0"/>
        <w:keepLines w:val="0"/>
        <w:pageBreakBefore w:val="0"/>
        <w:kinsoku/>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b/>
          <w:bCs/>
          <w:color w:val="auto"/>
          <w:sz w:val="24"/>
          <w:szCs w:val="24"/>
          <w:highlight w:val="none"/>
          <w:lang w:val="en-US" w:eastAsia="zh-CN" w:bidi="ar"/>
        </w:rPr>
      </w:pPr>
      <w:r>
        <w:rPr>
          <w:rFonts w:hint="eastAsia" w:asciiTheme="minorEastAsia" w:hAnsiTheme="minorEastAsia" w:eastAsiaTheme="minorEastAsia" w:cstheme="minorEastAsia"/>
          <w:b/>
          <w:bCs/>
          <w:color w:val="auto"/>
          <w:sz w:val="24"/>
          <w:szCs w:val="24"/>
          <w:highlight w:val="none"/>
          <w:lang w:val="en-US" w:eastAsia="zh-CN" w:bidi="ar"/>
        </w:rPr>
        <w:t>1、综合要求</w:t>
      </w:r>
    </w:p>
    <w:p w14:paraId="3FB33C3A">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 w:eastAsia="zh-CN" w:bidi="ar"/>
        </w:rPr>
        <w:t>为加强铅山县人民法院审判办公大楼管理，保证良好、有序的办公秩序，营造和谐、文明的办公环境，</w:t>
      </w:r>
      <w:r>
        <w:rPr>
          <w:rFonts w:hint="eastAsia" w:asciiTheme="minorEastAsia" w:hAnsiTheme="minorEastAsia" w:eastAsiaTheme="minorEastAsia" w:cstheme="minorEastAsia"/>
          <w:color w:val="auto"/>
          <w:sz w:val="24"/>
          <w:szCs w:val="24"/>
          <w:highlight w:val="none"/>
          <w:lang w:val="en-US" w:eastAsia="zh-CN" w:bidi="ar"/>
        </w:rPr>
        <w:t>供应商</w:t>
      </w:r>
      <w:r>
        <w:rPr>
          <w:rFonts w:hint="eastAsia" w:asciiTheme="minorEastAsia" w:hAnsiTheme="minorEastAsia" w:eastAsiaTheme="minorEastAsia" w:cstheme="minorEastAsia"/>
          <w:color w:val="auto"/>
          <w:sz w:val="24"/>
          <w:szCs w:val="24"/>
          <w:highlight w:val="none"/>
          <w:lang w:val="en" w:eastAsia="zh-CN" w:bidi="ar"/>
        </w:rPr>
        <w:t>须根据采购人要求提供：安保服务、消防安全、工程维修、保洁、会务客服、重要设施设备维护等专业的管理服务，保证各项服务和设备设施正常运转，维护办公区域的各项安全，为采购人的审判工作做好强有力的保障服务。</w:t>
      </w:r>
    </w:p>
    <w:p w14:paraId="075F4D01">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default" w:asciiTheme="minorEastAsia" w:hAnsiTheme="minorEastAsia" w:eastAsiaTheme="minorEastAsia" w:cstheme="minorEastAsia"/>
          <w:color w:val="auto"/>
          <w:sz w:val="24"/>
          <w:szCs w:val="24"/>
          <w:highlight w:val="none"/>
          <w:lang w:val="en" w:eastAsia="zh-CN" w:bidi="ar"/>
        </w:rPr>
        <w:t>①</w:t>
      </w:r>
      <w:r>
        <w:rPr>
          <w:rFonts w:hint="eastAsia" w:asciiTheme="minorEastAsia" w:hAnsiTheme="minorEastAsia" w:eastAsiaTheme="minorEastAsia" w:cstheme="minorEastAsia"/>
          <w:color w:val="auto"/>
          <w:sz w:val="24"/>
          <w:szCs w:val="24"/>
          <w:highlight w:val="none"/>
          <w:lang w:val="en" w:eastAsia="zh-CN" w:bidi="ar"/>
        </w:rPr>
        <w:t>依据有关规定，签订规范的物业服务合同，明确各方权利义务。</w:t>
      </w:r>
    </w:p>
    <w:p w14:paraId="1B32DEB5">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default" w:asciiTheme="minorEastAsia" w:hAnsiTheme="minorEastAsia" w:eastAsiaTheme="minorEastAsia" w:cstheme="minorEastAsia"/>
          <w:color w:val="auto"/>
          <w:sz w:val="24"/>
          <w:szCs w:val="24"/>
          <w:highlight w:val="none"/>
          <w:lang w:val="en" w:eastAsia="zh-CN" w:bidi="ar"/>
        </w:rPr>
        <w:t>②</w:t>
      </w:r>
      <w:r>
        <w:rPr>
          <w:rFonts w:hint="eastAsia" w:asciiTheme="minorEastAsia" w:hAnsiTheme="minorEastAsia" w:eastAsiaTheme="minorEastAsia" w:cstheme="minorEastAsia"/>
          <w:color w:val="auto"/>
          <w:sz w:val="24"/>
          <w:szCs w:val="24"/>
          <w:highlight w:val="none"/>
          <w:lang w:val="en" w:eastAsia="zh-CN" w:bidi="ar"/>
        </w:rPr>
        <w:t>承接项目时对物业大楼共用部位、共用设施设备进行认真查验，做好记录并存档。</w:t>
      </w:r>
    </w:p>
    <w:p w14:paraId="3AEEEF9F">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default" w:asciiTheme="minorEastAsia" w:hAnsiTheme="minorEastAsia" w:eastAsiaTheme="minorEastAsia" w:cstheme="minorEastAsia"/>
          <w:color w:val="auto"/>
          <w:sz w:val="24"/>
          <w:szCs w:val="24"/>
          <w:highlight w:val="none"/>
          <w:lang w:val="en" w:eastAsia="zh-CN" w:bidi="ar"/>
        </w:rPr>
        <w:t>③</w:t>
      </w:r>
      <w:r>
        <w:rPr>
          <w:rFonts w:hint="eastAsia" w:asciiTheme="minorEastAsia" w:hAnsiTheme="minorEastAsia" w:eastAsiaTheme="minorEastAsia" w:cstheme="minorEastAsia"/>
          <w:color w:val="auto"/>
          <w:sz w:val="24"/>
          <w:szCs w:val="24"/>
          <w:highlight w:val="none"/>
          <w:lang w:val="en" w:eastAsia="zh-CN" w:bidi="ar"/>
        </w:rPr>
        <w:t>从业人员按照有关规定取得相应的专业培训合格证书。</w:t>
      </w:r>
    </w:p>
    <w:p w14:paraId="7A4E961D">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 w:eastAsia="zh-CN" w:bidi="ar"/>
        </w:rPr>
        <w:t>④物业服务方案，质量管理、财务管理、档案管理等制度健全。</w:t>
      </w:r>
    </w:p>
    <w:p w14:paraId="7D7765F1">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 w:eastAsia="zh-CN" w:bidi="ar"/>
        </w:rPr>
        <w:t>⑤服务人员佩戴标志，服务主动、细致、周到，用语文明。</w:t>
      </w:r>
    </w:p>
    <w:p w14:paraId="3F3C9AFF">
      <w:pPr>
        <w:keepNext w:val="0"/>
        <w:keepLines w:val="0"/>
        <w:pageBreakBefore w:val="0"/>
        <w:kinsoku/>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b/>
          <w:bCs/>
          <w:color w:val="auto"/>
          <w:sz w:val="24"/>
          <w:szCs w:val="24"/>
          <w:highlight w:val="none"/>
          <w:lang w:val="en-US" w:eastAsia="zh-CN" w:bidi="ar"/>
        </w:rPr>
      </w:pPr>
      <w:r>
        <w:rPr>
          <w:rFonts w:hint="eastAsia" w:asciiTheme="minorEastAsia" w:hAnsiTheme="minorEastAsia" w:eastAsiaTheme="minorEastAsia" w:cstheme="minorEastAsia"/>
          <w:b/>
          <w:bCs/>
          <w:color w:val="auto"/>
          <w:sz w:val="24"/>
          <w:szCs w:val="24"/>
          <w:highlight w:val="none"/>
          <w:lang w:val="en-US" w:eastAsia="zh-CN" w:bidi="ar"/>
        </w:rPr>
        <w:t>2、物业服务内容</w:t>
      </w:r>
    </w:p>
    <w:p w14:paraId="7CC00448">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2.1 </w:t>
      </w:r>
      <w:r>
        <w:rPr>
          <w:rFonts w:hint="eastAsia" w:asciiTheme="minorEastAsia" w:hAnsiTheme="minorEastAsia" w:eastAsiaTheme="minorEastAsia" w:cstheme="minorEastAsia"/>
          <w:color w:val="auto"/>
          <w:sz w:val="24"/>
          <w:szCs w:val="24"/>
          <w:highlight w:val="none"/>
          <w:lang w:val="en" w:eastAsia="zh-CN" w:bidi="ar"/>
        </w:rPr>
        <w:t>物业共用部分具体包括：房屋户外墙面、屋面、各种功能库房、普通业务用房、诉讼服务中心、接待室、院领导办公室（含合议室）、专职审判委员会委员办公室、退二线领导办公室、各审判法庭、消防监控控制室、羁押室、各类会议室、执行指挥中心、法警训练中心、党建活动中心、公共大门、办公门厅、走廊通道及踢脚、电梯侯梯厅、电梯井、档案库房、查档室、人行步梯及楼道间、弱电井、集水井、泵房、室外车库、各楼层卫生间、门窗、窗户玻璃等；</w:t>
      </w:r>
    </w:p>
    <w:p w14:paraId="4CF6946A">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2.2 </w:t>
      </w:r>
      <w:r>
        <w:rPr>
          <w:rFonts w:hint="eastAsia" w:asciiTheme="minorEastAsia" w:hAnsiTheme="minorEastAsia" w:eastAsiaTheme="minorEastAsia" w:cstheme="minorEastAsia"/>
          <w:color w:val="auto"/>
          <w:sz w:val="24"/>
          <w:szCs w:val="24"/>
          <w:highlight w:val="none"/>
          <w:lang w:val="en" w:eastAsia="zh-CN" w:bidi="ar"/>
        </w:rPr>
        <w:t>本物业共用设施、设备的维修、养护、运行和管理。具体包括：共用的强电、供配电系统、柴油发电机、高压柜、低压柜、变压器、人防设施、消防设施设备（消防泵、喷淋泵、给水泵、排水泵、消防水池、消防水箱及其他给水系统）、给排水系统（含二次供水消杀）、气体灭火系统（档案室、网络机房、高低压配电间）、消防报警设备、立柜式空气处理机组、空调新风机系统、防排烟系统；负责</w:t>
      </w:r>
      <w:r>
        <w:rPr>
          <w:rFonts w:hint="eastAsia" w:asciiTheme="minorEastAsia" w:hAnsiTheme="minorEastAsia" w:eastAsiaTheme="minorEastAsia" w:cstheme="minorEastAsia"/>
          <w:color w:val="auto"/>
          <w:sz w:val="24"/>
          <w:szCs w:val="24"/>
          <w:highlight w:val="none"/>
          <w:lang w:val="en-US" w:eastAsia="zh-CN" w:bidi="ar"/>
        </w:rPr>
        <w:t>2</w:t>
      </w:r>
      <w:r>
        <w:rPr>
          <w:rFonts w:hint="eastAsia" w:asciiTheme="minorEastAsia" w:hAnsiTheme="minorEastAsia" w:eastAsiaTheme="minorEastAsia" w:cstheme="minorEastAsia"/>
          <w:color w:val="auto"/>
          <w:sz w:val="24"/>
          <w:szCs w:val="24"/>
          <w:highlight w:val="none"/>
          <w:lang w:val="en" w:eastAsia="zh-CN" w:bidi="ar"/>
        </w:rPr>
        <w:t>台电梯的日常运行、管理工作；</w:t>
      </w:r>
    </w:p>
    <w:p w14:paraId="64CE16EF">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2.3 </w:t>
      </w:r>
      <w:r>
        <w:rPr>
          <w:rFonts w:hint="eastAsia" w:asciiTheme="minorEastAsia" w:hAnsiTheme="minorEastAsia" w:eastAsiaTheme="minorEastAsia" w:cstheme="minorEastAsia"/>
          <w:color w:val="auto"/>
          <w:sz w:val="24"/>
          <w:szCs w:val="24"/>
          <w:highlight w:val="none"/>
          <w:lang w:val="en" w:eastAsia="zh-CN" w:bidi="ar"/>
        </w:rPr>
        <w:t>本物业附属建筑物、构筑物的维修、养护和管理，包括室外道路、路缘石、国旗广场、司法文化广场、国旗台、国旗杆、门卫室、诉讼服务中心室内外上、下水管道、水龙头、沟渠、落水管、污水管、雨水管、化粪池；停车场、共用照明、办公楼室内照明灯、楼道灯、应急灯、景观灯及路灯、避雷装置、智能化监控设备（不含维修）等；2个电动伸缩门、2套智能道闸系统及围墙、护栏等；</w:t>
      </w:r>
    </w:p>
    <w:p w14:paraId="5A73D6B0">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2.4 </w:t>
      </w:r>
      <w:r>
        <w:rPr>
          <w:rFonts w:hint="eastAsia" w:asciiTheme="minorEastAsia" w:hAnsiTheme="minorEastAsia" w:eastAsiaTheme="minorEastAsia" w:cstheme="minorEastAsia"/>
          <w:color w:val="auto"/>
          <w:sz w:val="24"/>
          <w:szCs w:val="24"/>
          <w:highlight w:val="none"/>
          <w:lang w:val="en" w:eastAsia="zh-CN" w:bidi="ar"/>
        </w:rPr>
        <w:t>本物业公共场所，除干警办公室外的所有办公、审判区域（含院领导办公室及其会客室、专职审判委员会委员办公室、退二线领导办公室、各审判庭、诉讼服务中心、执行指挥中心、诉讼服务大厅、各类会议室、合议室、羁押室、会客室、法警训练中心、党建活动中心等）、房屋共用部分及附属建筑物、构筑物的日常清洁卫生和随时保洁，垃圾的收集、分类、清运，排水管道、污水管道、沟渠的清掏、疏通和化粪池的清掏；做好除“四害”及防治白蚁、创卫等工作；</w:t>
      </w:r>
    </w:p>
    <w:p w14:paraId="0DE063BF">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2.5 </w:t>
      </w:r>
      <w:r>
        <w:rPr>
          <w:rFonts w:hint="eastAsia" w:asciiTheme="minorEastAsia" w:hAnsiTheme="minorEastAsia" w:eastAsiaTheme="minorEastAsia" w:cstheme="minorEastAsia"/>
          <w:color w:val="auto"/>
          <w:sz w:val="24"/>
          <w:szCs w:val="24"/>
          <w:highlight w:val="none"/>
          <w:lang w:val="en" w:eastAsia="zh-CN" w:bidi="ar"/>
        </w:rPr>
        <w:t>本物业辖内区域和门前交通秩序与车辆停放的管理；制定停车管理方案、停车场地、洗车场地的维护养护和日常保洁、停车秩序维护管理等，保证区域内车辆停放规范有序；</w:t>
      </w:r>
    </w:p>
    <w:p w14:paraId="37E8AE8E">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2.6 </w:t>
      </w:r>
      <w:r>
        <w:rPr>
          <w:rFonts w:hint="eastAsia" w:asciiTheme="minorEastAsia" w:hAnsiTheme="minorEastAsia" w:eastAsiaTheme="minorEastAsia" w:cstheme="minorEastAsia"/>
          <w:color w:val="auto"/>
          <w:sz w:val="24"/>
          <w:szCs w:val="24"/>
          <w:highlight w:val="none"/>
          <w:lang w:val="en" w:eastAsia="zh-CN" w:bidi="ar"/>
        </w:rPr>
        <w:t>本物业辖内区域内的安全防范工作。公共秩序、安全保卫等事项的管理和服务，包括安全监控、巡视、门岗执勤、进出人员车辆的管理。着重加强西门和南门的两个安保室、审判楼和办公楼入口、囚车通道、院领导办公区和档案室重点部位的安全防范，以标岗与巡逻岗为主，划分区域，责任到人，保障区域安全；</w:t>
      </w:r>
    </w:p>
    <w:p w14:paraId="2B718290">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2.7 </w:t>
      </w:r>
      <w:r>
        <w:rPr>
          <w:rFonts w:hint="eastAsia" w:asciiTheme="minorEastAsia" w:hAnsiTheme="minorEastAsia" w:eastAsiaTheme="minorEastAsia" w:cstheme="minorEastAsia"/>
          <w:color w:val="auto"/>
          <w:sz w:val="24"/>
          <w:szCs w:val="24"/>
          <w:highlight w:val="none"/>
          <w:lang w:val="en" w:eastAsia="zh-CN" w:bidi="ar"/>
        </w:rPr>
        <w:t>在办公区、审判区域内，出现当事人闹访、滞留，物业公司人员应全程监控协助法警大队进行清理工作。选用高素质的物业人员，注重人员行为规范；加强日常培训、严格着装、规范用语；做到良好的礼节礼貌，积极健康的精神面貌；</w:t>
      </w:r>
    </w:p>
    <w:p w14:paraId="75C63E9D">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2.8 </w:t>
      </w:r>
      <w:r>
        <w:rPr>
          <w:rFonts w:hint="eastAsia" w:asciiTheme="minorEastAsia" w:hAnsiTheme="minorEastAsia" w:eastAsiaTheme="minorEastAsia" w:cstheme="minorEastAsia"/>
          <w:color w:val="auto"/>
          <w:sz w:val="24"/>
          <w:szCs w:val="24"/>
          <w:highlight w:val="none"/>
          <w:lang w:val="en" w:eastAsia="zh-CN" w:bidi="ar"/>
        </w:rPr>
        <w:t>本物业辖内区域客服服务。设立专职客服人员，建立24小时工作电话值班，非工作时间投标项目人电话畅通，接受业主和使用人对物业服务报修、求助、建议、问询、质疑、投诉等各类信息收集和反馈，并及时处理，有回访制度和记录；协助业主布置各类会议场地，负责会场的茶水服务；</w:t>
      </w:r>
    </w:p>
    <w:p w14:paraId="4AE118EC">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2.9 </w:t>
      </w:r>
      <w:r>
        <w:rPr>
          <w:rFonts w:hint="eastAsia" w:asciiTheme="minorEastAsia" w:hAnsiTheme="minorEastAsia" w:eastAsiaTheme="minorEastAsia" w:cstheme="minorEastAsia"/>
          <w:color w:val="auto"/>
          <w:sz w:val="24"/>
          <w:szCs w:val="24"/>
          <w:highlight w:val="none"/>
          <w:lang w:val="en" w:eastAsia="zh-CN" w:bidi="ar"/>
        </w:rPr>
        <w:t>物业档案资料管理。根据工作实际情况，每月制作一期物业工作简报，总结前期工作完成情况和取得的成绩，找出差距和不足，部署下一步工作打算和任务目标；</w:t>
      </w:r>
    </w:p>
    <w:p w14:paraId="76A69CAB">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2.10 </w:t>
      </w:r>
      <w:r>
        <w:rPr>
          <w:rFonts w:hint="eastAsia" w:asciiTheme="minorEastAsia" w:hAnsiTheme="minorEastAsia" w:eastAsiaTheme="minorEastAsia" w:cstheme="minorEastAsia"/>
          <w:color w:val="auto"/>
          <w:sz w:val="24"/>
          <w:szCs w:val="24"/>
          <w:highlight w:val="none"/>
          <w:lang w:val="en" w:eastAsia="zh-CN" w:bidi="ar"/>
        </w:rPr>
        <w:t>冬季、雨季、汛前以及重大节假日前进行各项安全检查并做好相关记录。特别是冬季低温天气，雨、雪等气象原因造成室外路面造成结冰、湿滑等情况应及时进行除冰、除雪、铺草袋、撒工业用盐等措施，确保行人及车辆安全；</w:t>
      </w:r>
    </w:p>
    <w:p w14:paraId="07E1B88E">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2.11 </w:t>
      </w:r>
      <w:r>
        <w:rPr>
          <w:rFonts w:hint="eastAsia" w:asciiTheme="minorEastAsia" w:hAnsiTheme="minorEastAsia" w:eastAsiaTheme="minorEastAsia" w:cstheme="minorEastAsia"/>
          <w:color w:val="auto"/>
          <w:sz w:val="24"/>
          <w:szCs w:val="24"/>
          <w:highlight w:val="none"/>
          <w:lang w:val="en" w:eastAsia="zh-CN" w:bidi="ar"/>
        </w:rPr>
        <w:t>设置意见箱，每半年集中进行一次公开的物业服务意见征集，并将提出的意见与解决情况公示；</w:t>
      </w:r>
    </w:p>
    <w:p w14:paraId="289845FA">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2.12 </w:t>
      </w:r>
      <w:r>
        <w:rPr>
          <w:rFonts w:hint="eastAsia" w:asciiTheme="minorEastAsia" w:hAnsiTheme="minorEastAsia" w:eastAsiaTheme="minorEastAsia" w:cstheme="minorEastAsia"/>
          <w:color w:val="auto"/>
          <w:sz w:val="24"/>
          <w:szCs w:val="24"/>
          <w:highlight w:val="none"/>
          <w:lang w:val="en" w:eastAsia="zh-CN" w:bidi="ar"/>
        </w:rPr>
        <w:t>本物业辖内区域消防安全管理，建立各项消防制度、消防应急措施和消防设备管理档案，专人负责，定期培训，定期检查和维护消防设施，每年组织不少于一次消防宣传、消防演练等工作，确保消防安全；</w:t>
      </w:r>
    </w:p>
    <w:p w14:paraId="591152F9">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default" w:eastAsia="宋体" w:asciiTheme="minorEastAsia" w:hAnsiTheme="minorEastAsia" w:cstheme="minorEastAsia"/>
          <w:color w:val="auto"/>
          <w:sz w:val="24"/>
          <w:szCs w:val="24"/>
          <w:highlight w:val="none"/>
          <w:lang w:val="en-US"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2.13 </w:t>
      </w:r>
      <w:r>
        <w:rPr>
          <w:rFonts w:hint="eastAsia" w:asciiTheme="minorEastAsia" w:hAnsiTheme="minorEastAsia" w:eastAsiaTheme="minorEastAsia" w:cstheme="minorEastAsia"/>
          <w:color w:val="auto"/>
          <w:sz w:val="24"/>
          <w:szCs w:val="24"/>
          <w:highlight w:val="none"/>
          <w:lang w:val="en" w:eastAsia="zh-CN" w:bidi="ar"/>
        </w:rPr>
        <w:t>本物业辖内区域（包括永平人民法庭、汪二人民法庭、葛仙山人民法庭、紫溪人民法庭等四个基层人民法庭）的园林绿化的养护与管理（含室内绿植的养护与管理，法院大楼内绿植提供大盆</w:t>
      </w:r>
      <w:r>
        <w:rPr>
          <w:rFonts w:hint="eastAsia" w:asciiTheme="minorEastAsia" w:hAnsiTheme="minorEastAsia" w:eastAsiaTheme="minorEastAsia" w:cstheme="minorEastAsia"/>
          <w:color w:val="auto"/>
          <w:sz w:val="24"/>
          <w:szCs w:val="24"/>
          <w:highlight w:val="none"/>
          <w:lang w:val="en-US" w:eastAsia="zh-CN" w:bidi="ar"/>
        </w:rPr>
        <w:t>95盆、小盆30盆</w:t>
      </w:r>
      <w:r>
        <w:rPr>
          <w:rFonts w:hint="eastAsia" w:asciiTheme="minorEastAsia" w:hAnsiTheme="minorEastAsia" w:eastAsiaTheme="minorEastAsia" w:cstheme="minorEastAsia"/>
          <w:color w:val="auto"/>
          <w:sz w:val="24"/>
          <w:szCs w:val="24"/>
          <w:highlight w:val="none"/>
          <w:lang w:val="en" w:eastAsia="zh-CN" w:bidi="ar"/>
        </w:rPr>
        <w:t>），日常浇水、修剪、除杂草、培土、施肥、防病杀虫（冬季涂刷石灰）、补种等；其中汪二法庭绿化面积</w:t>
      </w:r>
      <w:r>
        <w:rPr>
          <w:rFonts w:hint="eastAsia" w:asciiTheme="minorEastAsia" w:hAnsiTheme="minorEastAsia" w:eastAsiaTheme="minorEastAsia" w:cstheme="minorEastAsia"/>
          <w:color w:val="auto"/>
          <w:sz w:val="24"/>
          <w:szCs w:val="24"/>
          <w:highlight w:val="none"/>
          <w:lang w:val="en-US" w:eastAsia="zh-CN" w:bidi="ar"/>
        </w:rPr>
        <w:t>524平方米，永平法庭绿化面积334平方米，葛仙山法庭绿化面积164平方米，紫溪法庭绿化面积45平方米。</w:t>
      </w:r>
    </w:p>
    <w:p w14:paraId="10300EC5">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2.14 </w:t>
      </w:r>
      <w:r>
        <w:rPr>
          <w:rFonts w:hint="eastAsia" w:asciiTheme="minorEastAsia" w:hAnsiTheme="minorEastAsia" w:eastAsiaTheme="minorEastAsia" w:cstheme="minorEastAsia"/>
          <w:color w:val="auto"/>
          <w:sz w:val="24"/>
          <w:szCs w:val="24"/>
          <w:highlight w:val="none"/>
          <w:lang w:val="en" w:eastAsia="zh-CN" w:bidi="ar"/>
        </w:rPr>
        <w:t>其他服务：做到文件、报纸杂志、邮件、快递等收发工作，积极响应和无偿配合完成采购人要求的物品搬运、保洁等临时零星工作，如干警因工作交流调整办公室、创卫检查等工作。</w:t>
      </w:r>
    </w:p>
    <w:p w14:paraId="45699FCA">
      <w:pPr>
        <w:keepNext w:val="0"/>
        <w:keepLines w:val="0"/>
        <w:pageBreakBefore w:val="0"/>
        <w:kinsoku/>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b/>
          <w:bCs/>
          <w:color w:val="auto"/>
          <w:sz w:val="24"/>
          <w:szCs w:val="24"/>
          <w:highlight w:val="none"/>
          <w:lang w:val="en-US" w:eastAsia="zh-CN" w:bidi="ar"/>
        </w:rPr>
      </w:pPr>
      <w:r>
        <w:rPr>
          <w:rFonts w:hint="eastAsia" w:asciiTheme="minorEastAsia" w:hAnsiTheme="minorEastAsia" w:eastAsiaTheme="minorEastAsia" w:cstheme="minorEastAsia"/>
          <w:b/>
          <w:bCs/>
          <w:color w:val="auto"/>
          <w:sz w:val="24"/>
          <w:szCs w:val="24"/>
          <w:highlight w:val="none"/>
          <w:lang w:val="en-US" w:eastAsia="zh-CN" w:bidi="ar"/>
        </w:rPr>
        <w:t>3、物业服务质量标准</w:t>
      </w:r>
    </w:p>
    <w:p w14:paraId="48AD3832">
      <w:pPr>
        <w:keepNext w:val="0"/>
        <w:keepLines w:val="0"/>
        <w:pageBreakBefore w:val="0"/>
        <w:kinsoku/>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b/>
          <w:bCs/>
          <w:color w:val="auto"/>
          <w:sz w:val="24"/>
          <w:szCs w:val="24"/>
          <w:highlight w:val="none"/>
          <w:lang w:val="en" w:eastAsia="zh-CN" w:bidi="ar"/>
        </w:rPr>
      </w:pPr>
      <w:r>
        <w:rPr>
          <w:rFonts w:hint="eastAsia" w:asciiTheme="minorEastAsia" w:hAnsiTheme="minorEastAsia" w:eastAsiaTheme="minorEastAsia" w:cstheme="minorEastAsia"/>
          <w:b/>
          <w:bCs/>
          <w:color w:val="auto"/>
          <w:sz w:val="24"/>
          <w:szCs w:val="24"/>
          <w:highlight w:val="none"/>
          <w:lang w:val="en-US" w:eastAsia="zh-CN" w:bidi="ar"/>
        </w:rPr>
        <w:t xml:space="preserve">3.1 </w:t>
      </w:r>
      <w:r>
        <w:rPr>
          <w:rFonts w:hint="eastAsia" w:asciiTheme="minorEastAsia" w:hAnsiTheme="minorEastAsia" w:eastAsiaTheme="minorEastAsia" w:cstheme="minorEastAsia"/>
          <w:b/>
          <w:bCs/>
          <w:color w:val="auto"/>
          <w:sz w:val="24"/>
          <w:szCs w:val="24"/>
          <w:highlight w:val="none"/>
          <w:lang w:val="en" w:eastAsia="zh-CN" w:bidi="ar"/>
        </w:rPr>
        <w:t>物业服务质量要求</w:t>
      </w:r>
    </w:p>
    <w:p w14:paraId="6DCEFBA8">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3.1.1 </w:t>
      </w:r>
      <w:r>
        <w:rPr>
          <w:rFonts w:hint="eastAsia" w:asciiTheme="minorEastAsia" w:hAnsiTheme="minorEastAsia" w:eastAsiaTheme="minorEastAsia" w:cstheme="minorEastAsia"/>
          <w:color w:val="auto"/>
          <w:sz w:val="24"/>
          <w:szCs w:val="24"/>
          <w:highlight w:val="none"/>
          <w:lang w:val="en" w:eastAsia="zh-CN" w:bidi="ar"/>
        </w:rPr>
        <w:t>服务机构与人员：物业管理企业应根据物业服务的具体情况和合同约定，设置相适应的物业管理服务机构，部门齐全，具备规范化办公条件；建立健全完善的物业管理制度，明确各种岗位工作职责标准，并制定具体的落实措施和考核办法；配备相应的管理人员和服务设施，管理服务人员在服务过程中应保持良好的精神状态；表情自然、亲切；举止大方、有礼；用语文明、规范；对待顾客主动、热情、耐心、周到并及时为顾客提供服务。</w:t>
      </w:r>
    </w:p>
    <w:p w14:paraId="11547D17">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3.1.2 </w:t>
      </w:r>
      <w:r>
        <w:rPr>
          <w:rFonts w:hint="eastAsia" w:asciiTheme="minorEastAsia" w:hAnsiTheme="minorEastAsia" w:eastAsiaTheme="minorEastAsia" w:cstheme="minorEastAsia"/>
          <w:color w:val="auto"/>
          <w:sz w:val="24"/>
          <w:szCs w:val="24"/>
          <w:highlight w:val="none"/>
          <w:lang w:val="en" w:eastAsia="zh-CN" w:bidi="ar"/>
        </w:rPr>
        <w:t xml:space="preserve">管理服务人员应按规定统一着装，着装整齐清洁，仪表仪容整洁端庄，规范整齐；上岗时佩戴统一标志，保安员必须穿戴统一制服，佩戴规范，当值时坐姿端正、稳重，站岗时不倚不靠、采用跨立站岗；文明执勤，训练有素；言语规范，认真负责，服务主动；在岗工作期间不准吸烟、喝酒、聊天、会客等。保安人员配备必备的安全护卫器械（由中标方负责）；管理服务人员应及时、认真做好工作日志、交接班记录、账册等记录工作，做到字迹清晰、数据准确。 </w:t>
      </w:r>
    </w:p>
    <w:p w14:paraId="312B64C5">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3.1.3 </w:t>
      </w:r>
      <w:r>
        <w:rPr>
          <w:rFonts w:hint="eastAsia" w:asciiTheme="minorEastAsia" w:hAnsiTheme="minorEastAsia" w:eastAsiaTheme="minorEastAsia" w:cstheme="minorEastAsia"/>
          <w:color w:val="auto"/>
          <w:sz w:val="24"/>
          <w:szCs w:val="24"/>
          <w:highlight w:val="none"/>
          <w:lang w:val="en" w:eastAsia="zh-CN" w:bidi="ar"/>
        </w:rPr>
        <w:t>管理服务人员应接受过相关专业技能的培训，掌握物业管理基本法律法规，熟悉基本情况，能正确使用相关专用设备。</w:t>
      </w:r>
    </w:p>
    <w:p w14:paraId="48E67202">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3.1.4 </w:t>
      </w:r>
      <w:r>
        <w:rPr>
          <w:rFonts w:hint="eastAsia" w:asciiTheme="minorEastAsia" w:hAnsiTheme="minorEastAsia" w:eastAsiaTheme="minorEastAsia" w:cstheme="minorEastAsia"/>
          <w:color w:val="auto"/>
          <w:sz w:val="24"/>
          <w:szCs w:val="24"/>
          <w:highlight w:val="none"/>
          <w:lang w:val="en" w:eastAsia="zh-CN" w:bidi="ar"/>
        </w:rPr>
        <w:t>项目服务人员共</w:t>
      </w:r>
      <w:r>
        <w:rPr>
          <w:rFonts w:hint="eastAsia" w:asciiTheme="minorEastAsia" w:hAnsiTheme="minorEastAsia" w:eastAsiaTheme="minorEastAsia" w:cstheme="minorEastAsia"/>
          <w:color w:val="auto"/>
          <w:sz w:val="24"/>
          <w:szCs w:val="24"/>
          <w:highlight w:val="none"/>
          <w:lang w:val="en-US" w:eastAsia="zh-CN" w:bidi="ar"/>
        </w:rPr>
        <w:t>17</w:t>
      </w:r>
      <w:r>
        <w:rPr>
          <w:rFonts w:hint="eastAsia" w:asciiTheme="minorEastAsia" w:hAnsiTheme="minorEastAsia" w:eastAsiaTheme="minorEastAsia" w:cstheme="minorEastAsia"/>
          <w:color w:val="auto"/>
          <w:sz w:val="24"/>
          <w:szCs w:val="24"/>
          <w:highlight w:val="none"/>
          <w:lang w:val="en" w:eastAsia="zh-CN" w:bidi="ar"/>
        </w:rPr>
        <w:t>人。（具体要求详见最低人员配置需求）</w:t>
      </w:r>
    </w:p>
    <w:p w14:paraId="6894B31B">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3.1.5 </w:t>
      </w:r>
      <w:r>
        <w:rPr>
          <w:rFonts w:hint="eastAsia" w:asciiTheme="minorEastAsia" w:hAnsiTheme="minorEastAsia" w:eastAsiaTheme="minorEastAsia" w:cstheme="minorEastAsia"/>
          <w:color w:val="auto"/>
          <w:sz w:val="24"/>
          <w:szCs w:val="24"/>
          <w:highlight w:val="none"/>
          <w:lang w:val="en" w:eastAsia="zh-CN" w:bidi="ar"/>
        </w:rPr>
        <w:t>建立专职服务队伍，有专业的保洁、保安和工程维修人员，所有员工必须专职为铅山县人民法院物业服务项目工作，不得在外兼职，员工着统一制服，佩戴明显标志；服务人员思想品德良好，服务意识好，形象较佳，特别是秩序维护人员政审必须严格，确保政治可靠，责任心强；主要负责人和管理人员经过行业培训；应保证所有录用人员身体健康、无传染性疾病、无刑事违法或犯罪记录，要求持证上岗的人员须取得上岗资格证。</w:t>
      </w:r>
      <w:r>
        <w:rPr>
          <w:rFonts w:hint="eastAsia" w:asciiTheme="minorEastAsia" w:hAnsiTheme="minorEastAsia" w:eastAsiaTheme="minorEastAsia" w:cstheme="minorEastAsia"/>
          <w:color w:val="auto"/>
          <w:sz w:val="24"/>
          <w:szCs w:val="24"/>
          <w:highlight w:val="none"/>
          <w:lang w:val="en-US" w:eastAsia="zh-CN" w:bidi="ar"/>
        </w:rPr>
        <w:t>采购</w:t>
      </w:r>
      <w:r>
        <w:rPr>
          <w:rFonts w:hint="eastAsia" w:asciiTheme="minorEastAsia" w:hAnsiTheme="minorEastAsia" w:eastAsiaTheme="minorEastAsia" w:cstheme="minorEastAsia"/>
          <w:color w:val="auto"/>
          <w:sz w:val="24"/>
          <w:szCs w:val="24"/>
          <w:highlight w:val="none"/>
          <w:lang w:val="en" w:eastAsia="zh-CN" w:bidi="ar"/>
        </w:rPr>
        <w:t>人对前期进场的主要管理人员、工程技术人员进行考核，如在培训、熟悉环境过程中发现其不能胜任的，</w:t>
      </w:r>
      <w:r>
        <w:rPr>
          <w:rFonts w:hint="eastAsia" w:asciiTheme="minorEastAsia" w:hAnsiTheme="minorEastAsia" w:eastAsiaTheme="minorEastAsia" w:cstheme="minorEastAsia"/>
          <w:color w:val="auto"/>
          <w:sz w:val="24"/>
          <w:szCs w:val="24"/>
          <w:highlight w:val="none"/>
          <w:lang w:val="en-US" w:eastAsia="zh-CN" w:bidi="ar"/>
        </w:rPr>
        <w:t>采购</w:t>
      </w:r>
      <w:r>
        <w:rPr>
          <w:rFonts w:hint="eastAsia" w:asciiTheme="minorEastAsia" w:hAnsiTheme="minorEastAsia" w:eastAsiaTheme="minorEastAsia" w:cstheme="minorEastAsia"/>
          <w:color w:val="auto"/>
          <w:sz w:val="24"/>
          <w:szCs w:val="24"/>
          <w:highlight w:val="none"/>
          <w:lang w:val="en" w:eastAsia="zh-CN" w:bidi="ar"/>
        </w:rPr>
        <w:t>人可要求更换，直至胜任为止。</w:t>
      </w:r>
    </w:p>
    <w:p w14:paraId="731B3D9E">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3.1.6 </w:t>
      </w:r>
      <w:r>
        <w:rPr>
          <w:rFonts w:hint="eastAsia" w:asciiTheme="minorEastAsia" w:hAnsiTheme="minorEastAsia" w:eastAsiaTheme="minorEastAsia" w:cstheme="minorEastAsia"/>
          <w:color w:val="auto"/>
          <w:sz w:val="24"/>
          <w:szCs w:val="24"/>
          <w:highlight w:val="none"/>
          <w:lang w:val="en" w:eastAsia="zh-CN" w:bidi="ar"/>
        </w:rPr>
        <w:t>采购人不提供任何服务人员的交通和住宿，所有工作人员的住宿和工作期间的餐费由</w:t>
      </w:r>
      <w:r>
        <w:rPr>
          <w:rFonts w:hint="eastAsia" w:asciiTheme="minorEastAsia" w:hAnsiTheme="minorEastAsia" w:eastAsiaTheme="minorEastAsia" w:cstheme="minorEastAsia"/>
          <w:color w:val="auto"/>
          <w:sz w:val="24"/>
          <w:szCs w:val="24"/>
          <w:highlight w:val="none"/>
          <w:lang w:val="en-US" w:eastAsia="zh-CN" w:bidi="ar"/>
        </w:rPr>
        <w:t>供应</w:t>
      </w:r>
      <w:r>
        <w:rPr>
          <w:rFonts w:hint="eastAsia" w:asciiTheme="minorEastAsia" w:hAnsiTheme="minorEastAsia" w:eastAsiaTheme="minorEastAsia" w:cstheme="minorEastAsia"/>
          <w:color w:val="auto"/>
          <w:sz w:val="24"/>
          <w:szCs w:val="24"/>
          <w:highlight w:val="none"/>
          <w:lang w:val="en" w:eastAsia="zh-CN" w:bidi="ar"/>
        </w:rPr>
        <w:t>商自行解决；采购人不提供</w:t>
      </w:r>
      <w:r>
        <w:rPr>
          <w:rFonts w:hint="eastAsia" w:asciiTheme="minorEastAsia" w:hAnsiTheme="minorEastAsia" w:eastAsiaTheme="minorEastAsia" w:cstheme="minorEastAsia"/>
          <w:color w:val="auto"/>
          <w:sz w:val="24"/>
          <w:szCs w:val="24"/>
          <w:highlight w:val="none"/>
          <w:lang w:val="en-US" w:eastAsia="zh-CN" w:bidi="ar"/>
        </w:rPr>
        <w:t>供应</w:t>
      </w:r>
      <w:r>
        <w:rPr>
          <w:rFonts w:hint="eastAsia" w:asciiTheme="minorEastAsia" w:hAnsiTheme="minorEastAsia" w:eastAsiaTheme="minorEastAsia" w:cstheme="minorEastAsia"/>
          <w:color w:val="auto"/>
          <w:sz w:val="24"/>
          <w:szCs w:val="24"/>
          <w:highlight w:val="none"/>
          <w:lang w:val="en" w:eastAsia="zh-CN" w:bidi="ar"/>
        </w:rPr>
        <w:t>商派驻项目部人员的办公设备及其他办公文具。</w:t>
      </w:r>
    </w:p>
    <w:p w14:paraId="0120D879">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3.1.7 </w:t>
      </w:r>
      <w:r>
        <w:rPr>
          <w:rFonts w:hint="eastAsia" w:asciiTheme="minorEastAsia" w:hAnsiTheme="minorEastAsia" w:eastAsiaTheme="minorEastAsia" w:cstheme="minorEastAsia"/>
          <w:color w:val="auto"/>
          <w:sz w:val="24"/>
          <w:szCs w:val="24"/>
          <w:highlight w:val="none"/>
          <w:lang w:val="en" w:eastAsia="zh-CN" w:bidi="ar"/>
        </w:rPr>
        <w:t>供应商需依法为本项目服务人员提供养老、医疗和工伤保险等国家规定的社会保障。供应商派驻项目所有人员在工作中出现人身意外等伤亡事故的责任及费用由供应商承担。</w:t>
      </w:r>
    </w:p>
    <w:p w14:paraId="4379DB1C">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3.1.8 </w:t>
      </w:r>
      <w:r>
        <w:rPr>
          <w:rFonts w:hint="eastAsia" w:asciiTheme="minorEastAsia" w:hAnsiTheme="minorEastAsia" w:eastAsiaTheme="minorEastAsia" w:cstheme="minorEastAsia"/>
          <w:color w:val="auto"/>
          <w:sz w:val="24"/>
          <w:szCs w:val="24"/>
          <w:highlight w:val="none"/>
          <w:lang w:val="en" w:eastAsia="zh-CN" w:bidi="ar"/>
        </w:rPr>
        <w:t>合同期届满，如采购人提出要求供应商延续提供服务，供应商应积极响应，费用标准按原合同规定执行，直至采购人依法进行新一轮招投标工作，选定供应商后正常办理交接手续。</w:t>
      </w:r>
    </w:p>
    <w:p w14:paraId="434B7ED8">
      <w:pPr>
        <w:keepNext w:val="0"/>
        <w:keepLines w:val="0"/>
        <w:pageBreakBefore w:val="0"/>
        <w:kinsoku/>
        <w:wordWrap/>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b/>
          <w:bCs/>
          <w:color w:val="auto"/>
          <w:sz w:val="24"/>
          <w:szCs w:val="24"/>
          <w:highlight w:val="none"/>
          <w:lang w:val="en" w:eastAsia="zh-CN" w:bidi="ar"/>
        </w:rPr>
      </w:pPr>
      <w:r>
        <w:rPr>
          <w:rFonts w:hint="eastAsia" w:asciiTheme="minorEastAsia" w:hAnsiTheme="minorEastAsia" w:eastAsiaTheme="minorEastAsia" w:cstheme="minorEastAsia"/>
          <w:b/>
          <w:bCs/>
          <w:color w:val="auto"/>
          <w:sz w:val="24"/>
          <w:szCs w:val="24"/>
          <w:highlight w:val="none"/>
          <w:lang w:val="en-US" w:eastAsia="zh-CN" w:bidi="ar"/>
        </w:rPr>
        <w:t xml:space="preserve">3.2 </w:t>
      </w:r>
      <w:r>
        <w:rPr>
          <w:rFonts w:hint="eastAsia" w:asciiTheme="minorEastAsia" w:hAnsiTheme="minorEastAsia" w:eastAsiaTheme="minorEastAsia" w:cstheme="minorEastAsia"/>
          <w:b/>
          <w:bCs/>
          <w:color w:val="auto"/>
          <w:sz w:val="24"/>
          <w:szCs w:val="24"/>
          <w:highlight w:val="none"/>
          <w:lang w:val="en" w:eastAsia="zh-CN" w:bidi="ar"/>
        </w:rPr>
        <w:t>健全各项管理制度规范</w:t>
      </w:r>
    </w:p>
    <w:p w14:paraId="6363FB50">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3.2.1 </w:t>
      </w:r>
      <w:r>
        <w:rPr>
          <w:rFonts w:hint="eastAsia" w:asciiTheme="minorEastAsia" w:hAnsiTheme="minorEastAsia" w:eastAsiaTheme="minorEastAsia" w:cstheme="minorEastAsia"/>
          <w:color w:val="auto"/>
          <w:sz w:val="24"/>
          <w:szCs w:val="24"/>
          <w:highlight w:val="none"/>
          <w:lang w:val="en" w:eastAsia="zh-CN" w:bidi="ar"/>
        </w:rPr>
        <w:t>建立各类人员岗位责任制，服务人员专岗专人、定职定位，分工明确；管理人员应取得物业管理从业资格证书或岗位证书，专业技术、操作人员应取得相应专业技术证书或职业技能资格证书。</w:t>
      </w:r>
    </w:p>
    <w:p w14:paraId="53E4016B">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3.2.2 </w:t>
      </w:r>
      <w:r>
        <w:rPr>
          <w:rFonts w:hint="eastAsia" w:asciiTheme="minorEastAsia" w:hAnsiTheme="minorEastAsia" w:eastAsiaTheme="minorEastAsia" w:cstheme="minorEastAsia"/>
          <w:color w:val="auto"/>
          <w:sz w:val="24"/>
          <w:szCs w:val="24"/>
          <w:highlight w:val="none"/>
          <w:lang w:val="en" w:eastAsia="zh-CN" w:bidi="ar"/>
        </w:rPr>
        <w:t>建立健全物业管理制度，订有内部管理运作制度和物业管理规章制度；有完善的管理服务工作流程，明确各个岗位工作标准，制定具体的落实措施和考核办法。</w:t>
      </w:r>
    </w:p>
    <w:p w14:paraId="033D0DCC">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3.2.3 </w:t>
      </w:r>
      <w:r>
        <w:rPr>
          <w:rFonts w:hint="eastAsia" w:asciiTheme="minorEastAsia" w:hAnsiTheme="minorEastAsia" w:eastAsiaTheme="minorEastAsia" w:cstheme="minorEastAsia"/>
          <w:color w:val="auto"/>
          <w:sz w:val="24"/>
          <w:szCs w:val="24"/>
          <w:highlight w:val="none"/>
          <w:lang w:val="en" w:eastAsia="zh-CN" w:bidi="ar"/>
        </w:rPr>
        <w:t>积极开展节能降耗工作，有切实可行的节能降耗制度措施，并积极组织实施，有明显功能降耗成果，每月提供能耗数据分析报告，提出合理化建议。</w:t>
      </w:r>
    </w:p>
    <w:p w14:paraId="149020E4">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3.2.4 </w:t>
      </w:r>
      <w:r>
        <w:rPr>
          <w:rFonts w:hint="eastAsia" w:asciiTheme="minorEastAsia" w:hAnsiTheme="minorEastAsia" w:eastAsiaTheme="minorEastAsia" w:cstheme="minorEastAsia"/>
          <w:color w:val="auto"/>
          <w:sz w:val="24"/>
          <w:szCs w:val="24"/>
          <w:highlight w:val="none"/>
          <w:lang w:val="en" w:eastAsia="zh-CN" w:bidi="ar"/>
        </w:rPr>
        <w:t>配合我院法警大队做好综合大楼的各项安全工作，制订和完善消防安全管理及各类设备设施运行突发事件应急处置预案，并定期培训和操演。确保综合楼正常供电供水，遇有计划限停水电，应按规定通知采购</w:t>
      </w:r>
      <w:r>
        <w:rPr>
          <w:rFonts w:hint="eastAsia" w:asciiTheme="minorEastAsia" w:hAnsiTheme="minorEastAsia" w:eastAsiaTheme="minorEastAsia" w:cstheme="minorEastAsia"/>
          <w:color w:val="auto"/>
          <w:sz w:val="24"/>
          <w:szCs w:val="24"/>
          <w:highlight w:val="none"/>
          <w:lang w:val="en-US" w:eastAsia="zh-CN" w:bidi="ar"/>
        </w:rPr>
        <w:t>人</w:t>
      </w:r>
      <w:r>
        <w:rPr>
          <w:rFonts w:hint="eastAsia" w:asciiTheme="minorEastAsia" w:hAnsiTheme="minorEastAsia" w:eastAsiaTheme="minorEastAsia" w:cstheme="minorEastAsia"/>
          <w:color w:val="auto"/>
          <w:sz w:val="24"/>
          <w:szCs w:val="24"/>
          <w:highlight w:val="none"/>
          <w:lang w:val="en" w:eastAsia="zh-CN" w:bidi="ar"/>
        </w:rPr>
        <w:t>。制订给排水事故应急处理方案，遇发生渗水事故，维修人员须在3分钟内抵达现场抢修，杜绝大面积跑水、泛水或长时间停水现象。</w:t>
      </w:r>
    </w:p>
    <w:p w14:paraId="58D269BE">
      <w:pPr>
        <w:keepNext w:val="0"/>
        <w:keepLines w:val="0"/>
        <w:pageBreakBefore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 xml:space="preserve">3.2.5 </w:t>
      </w:r>
      <w:r>
        <w:rPr>
          <w:rFonts w:hint="eastAsia" w:asciiTheme="minorEastAsia" w:hAnsiTheme="minorEastAsia" w:eastAsiaTheme="minorEastAsia" w:cstheme="minorEastAsia"/>
          <w:color w:val="auto"/>
          <w:sz w:val="24"/>
          <w:szCs w:val="24"/>
          <w:highlight w:val="none"/>
          <w:lang w:val="en" w:eastAsia="zh-CN" w:bidi="ar"/>
        </w:rPr>
        <w:t>制定智能化系统相关管理制度，物业公司对大楼门禁系统、辖区内的监控摄像头等应建立日常巡检制度，并建立巡检台账，确保大楼门禁系统及其各项设施功能正常，确保每一个摄像头图像清晰、录像正常。当门禁系统出现故障或有摄像头不工作时，物业相关维修人员需第一时间进行检查并及时处置，分析、判断故障原因，再报请技术处维修。监控机房（集控中心）工作人员，需24小时在岗值守，并按A、B岗要求配置值班人员，值班人员经培训合格，能熟练操作监控设备后方能上岗工作。</w:t>
      </w:r>
    </w:p>
    <w:p w14:paraId="2D826633">
      <w:pPr>
        <w:keepNext w:val="0"/>
        <w:keepLines w:val="0"/>
        <w:pageBreakBefore w:val="0"/>
        <w:kinsoku/>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color w:val="auto"/>
          <w:spacing w:val="0"/>
          <w:position w:val="0"/>
          <w:sz w:val="24"/>
          <w:szCs w:val="24"/>
          <w:lang w:val="en" w:eastAsia="zh-CN"/>
        </w:rPr>
      </w:pPr>
      <w:r>
        <w:rPr>
          <w:rFonts w:hint="eastAsia" w:ascii="宋体" w:hAnsi="宋体" w:eastAsia="宋体" w:cs="宋体"/>
          <w:b/>
          <w:bCs/>
          <w:color w:val="auto"/>
          <w:spacing w:val="0"/>
          <w:position w:val="0"/>
          <w:sz w:val="24"/>
          <w:szCs w:val="24"/>
          <w:lang w:val="en-US" w:eastAsia="zh-CN"/>
        </w:rPr>
        <w:t>4、</w:t>
      </w:r>
      <w:r>
        <w:rPr>
          <w:rFonts w:hint="eastAsia" w:ascii="宋体" w:hAnsi="宋体" w:eastAsia="宋体" w:cs="宋体"/>
          <w:b/>
          <w:bCs/>
          <w:color w:val="auto"/>
          <w:spacing w:val="0"/>
          <w:position w:val="0"/>
          <w:sz w:val="24"/>
          <w:szCs w:val="24"/>
          <w:lang w:val="en" w:eastAsia="zh-CN"/>
        </w:rPr>
        <w:t>服务要求标准：详见《</w:t>
      </w:r>
      <w:r>
        <w:rPr>
          <w:rFonts w:hint="eastAsia" w:ascii="宋体" w:hAnsi="宋体" w:eastAsia="宋体" w:cs="宋体"/>
          <w:b/>
          <w:bCs/>
          <w:color w:val="auto"/>
          <w:spacing w:val="0"/>
          <w:position w:val="0"/>
          <w:sz w:val="24"/>
          <w:szCs w:val="24"/>
          <w:lang w:val="en-US" w:eastAsia="zh-CN"/>
        </w:rPr>
        <w:t xml:space="preserve">附件一 </w:t>
      </w:r>
      <w:r>
        <w:rPr>
          <w:rFonts w:hint="eastAsia" w:ascii="宋体" w:hAnsi="宋体" w:eastAsia="宋体" w:cs="宋体"/>
          <w:b/>
          <w:bCs/>
          <w:color w:val="auto"/>
          <w:spacing w:val="0"/>
          <w:position w:val="0"/>
          <w:sz w:val="24"/>
          <w:szCs w:val="24"/>
          <w:lang w:val="en" w:eastAsia="zh-CN"/>
        </w:rPr>
        <w:t>物业管理服务标准》。</w:t>
      </w:r>
    </w:p>
    <w:p w14:paraId="2DD55902">
      <w:pPr>
        <w:keepNext w:val="0"/>
        <w:keepLines w:val="0"/>
        <w:pageBreakBefore w:val="0"/>
        <w:kinsoku/>
        <w:wordWrap/>
        <w:overflowPunct/>
        <w:topLinePunct w:val="0"/>
        <w:autoSpaceDE w:val="0"/>
        <w:autoSpaceDN w:val="0"/>
        <w:bidi w:val="0"/>
        <w:adjustRightInd w:val="0"/>
        <w:snapToGrid w:val="0"/>
        <w:spacing w:line="360" w:lineRule="auto"/>
        <w:ind w:firstLine="482" w:firstLineChars="200"/>
        <w:textAlignment w:val="baseline"/>
        <w:rPr>
          <w:rFonts w:hint="default"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5、</w:t>
      </w:r>
      <w:r>
        <w:rPr>
          <w:rFonts w:hint="eastAsia" w:ascii="宋体" w:hAnsi="宋体" w:eastAsia="宋体" w:cs="宋体"/>
          <w:b/>
          <w:bCs/>
          <w:color w:val="auto"/>
          <w:spacing w:val="0"/>
          <w:position w:val="0"/>
          <w:sz w:val="24"/>
          <w:szCs w:val="24"/>
          <w:lang w:val="en" w:eastAsia="zh-CN"/>
        </w:rPr>
        <w:t>服务考核办法：详见《</w:t>
      </w:r>
      <w:r>
        <w:rPr>
          <w:rFonts w:hint="eastAsia" w:ascii="宋体" w:hAnsi="宋体" w:eastAsia="宋体" w:cs="宋体"/>
          <w:b/>
          <w:bCs/>
          <w:color w:val="auto"/>
          <w:spacing w:val="0"/>
          <w:position w:val="0"/>
          <w:sz w:val="24"/>
          <w:szCs w:val="24"/>
          <w:lang w:val="en-US" w:eastAsia="zh-CN"/>
        </w:rPr>
        <w:t xml:space="preserve">附件二 </w:t>
      </w:r>
      <w:r>
        <w:rPr>
          <w:rFonts w:hint="eastAsia" w:ascii="宋体" w:hAnsi="宋体" w:eastAsia="宋体" w:cs="宋体"/>
          <w:b/>
          <w:bCs/>
          <w:color w:val="auto"/>
          <w:spacing w:val="0"/>
          <w:position w:val="0"/>
          <w:sz w:val="24"/>
          <w:szCs w:val="24"/>
          <w:lang w:val="en" w:eastAsia="zh-CN"/>
        </w:rPr>
        <w:t>物业服务监督管理考核工作》、《附件三</w:t>
      </w:r>
      <w:r>
        <w:rPr>
          <w:rFonts w:hint="eastAsia" w:ascii="宋体" w:hAnsi="宋体" w:eastAsia="宋体" w:cs="宋体"/>
          <w:b/>
          <w:bCs/>
          <w:color w:val="auto"/>
          <w:spacing w:val="0"/>
          <w:position w:val="0"/>
          <w:sz w:val="24"/>
          <w:szCs w:val="24"/>
          <w:lang w:val="en-US" w:eastAsia="zh-CN"/>
        </w:rPr>
        <w:t xml:space="preserve"> </w:t>
      </w:r>
      <w:r>
        <w:rPr>
          <w:rFonts w:hint="eastAsia" w:ascii="宋体" w:hAnsi="宋体" w:eastAsia="宋体" w:cs="宋体"/>
          <w:b/>
          <w:bCs/>
          <w:color w:val="auto"/>
          <w:spacing w:val="0"/>
          <w:position w:val="0"/>
          <w:sz w:val="24"/>
          <w:szCs w:val="24"/>
          <w:lang w:val="en" w:eastAsia="zh-CN"/>
        </w:rPr>
        <w:t>物业服务管理考核与处罚细则》。</w:t>
      </w:r>
    </w:p>
    <w:p w14:paraId="36B04741">
      <w:pPr>
        <w:pageBreakBefore w:val="0"/>
        <w:widowControl w:val="0"/>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6、服务人员要求</w:t>
      </w:r>
    </w:p>
    <w:p w14:paraId="45812A17">
      <w:pPr>
        <w:pageBreakBefore w:val="0"/>
        <w:widowControl w:val="0"/>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6.1 最低人员配置需求表</w:t>
      </w:r>
    </w:p>
    <w:p w14:paraId="2763FC79">
      <w:pPr>
        <w:pageBreakBefore w:val="0"/>
        <w:widowControl w:val="0"/>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根据现有实际情况，须配备物业办公室、会议客服、工程维修、安全保卫、环境保洁等物业管理服务人员，具体配置如下：</w:t>
      </w:r>
    </w:p>
    <w:p w14:paraId="4BE8E927">
      <w:pPr>
        <w:pageBreakBefore w:val="0"/>
        <w:widowControl w:val="0"/>
        <w:numPr>
          <w:ilvl w:val="0"/>
          <w:numId w:val="0"/>
        </w:numPr>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 w:eastAsia="zh-CN"/>
        </w:rPr>
      </w:pPr>
      <w:r>
        <w:rPr>
          <w:rFonts w:hint="eastAsia" w:ascii="宋体" w:hAnsi="宋体" w:eastAsia="宋体" w:cs="宋体"/>
          <w:b/>
          <w:bCs/>
          <w:color w:val="auto"/>
          <w:spacing w:val="0"/>
          <w:position w:val="0"/>
          <w:sz w:val="24"/>
          <w:szCs w:val="24"/>
          <w:lang w:val="en-US" w:eastAsia="zh-CN"/>
        </w:rPr>
        <w:t xml:space="preserve">6.1.1 </w:t>
      </w:r>
      <w:r>
        <w:rPr>
          <w:rFonts w:hint="eastAsia" w:ascii="宋体" w:hAnsi="宋体" w:eastAsia="宋体" w:cs="宋体"/>
          <w:b/>
          <w:bCs/>
          <w:color w:val="auto"/>
          <w:spacing w:val="0"/>
          <w:position w:val="0"/>
          <w:sz w:val="24"/>
          <w:szCs w:val="24"/>
          <w:lang w:val="en" w:eastAsia="zh-CN"/>
        </w:rPr>
        <w:t>物业办公室、会议客服、工程维修及岗位职责（</w:t>
      </w:r>
      <w:r>
        <w:rPr>
          <w:rFonts w:hint="eastAsia" w:ascii="宋体" w:hAnsi="宋体" w:eastAsia="宋体" w:cs="宋体"/>
          <w:b/>
          <w:bCs/>
          <w:color w:val="auto"/>
          <w:spacing w:val="0"/>
          <w:position w:val="0"/>
          <w:sz w:val="24"/>
          <w:szCs w:val="24"/>
          <w:lang w:val="en-US" w:eastAsia="zh-CN"/>
        </w:rPr>
        <w:t>3</w:t>
      </w:r>
      <w:r>
        <w:rPr>
          <w:rFonts w:hint="eastAsia" w:ascii="宋体" w:hAnsi="宋体" w:eastAsia="宋体" w:cs="宋体"/>
          <w:b/>
          <w:bCs/>
          <w:color w:val="auto"/>
          <w:spacing w:val="0"/>
          <w:position w:val="0"/>
          <w:sz w:val="24"/>
          <w:szCs w:val="24"/>
          <w:lang w:val="en" w:eastAsia="zh-CN"/>
        </w:rPr>
        <w:t>人）</w:t>
      </w:r>
    </w:p>
    <w:tbl>
      <w:tblPr>
        <w:tblStyle w:val="16"/>
        <w:tblW w:w="833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899"/>
        <w:gridCol w:w="849"/>
        <w:gridCol w:w="5591"/>
      </w:tblGrid>
      <w:tr w14:paraId="5FB323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6" w:hRule="atLeast"/>
          <w:jc w:val="center"/>
        </w:trPr>
        <w:tc>
          <w:tcPr>
            <w:tcW w:w="1899" w:type="dxa"/>
            <w:vAlign w:val="center"/>
          </w:tcPr>
          <w:p w14:paraId="308B7B9D">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岗位设置</w:t>
            </w:r>
          </w:p>
        </w:tc>
        <w:tc>
          <w:tcPr>
            <w:tcW w:w="849" w:type="dxa"/>
            <w:vAlign w:val="center"/>
          </w:tcPr>
          <w:p w14:paraId="447DB78B">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人数</w:t>
            </w:r>
          </w:p>
        </w:tc>
        <w:tc>
          <w:tcPr>
            <w:tcW w:w="5591" w:type="dxa"/>
            <w:vAlign w:val="center"/>
          </w:tcPr>
          <w:p w14:paraId="40DDDB61">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岗位职责及要求</w:t>
            </w:r>
          </w:p>
        </w:tc>
      </w:tr>
      <w:tr w14:paraId="0A222B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3" w:hRule="atLeast"/>
          <w:jc w:val="center"/>
        </w:trPr>
        <w:tc>
          <w:tcPr>
            <w:tcW w:w="1899" w:type="dxa"/>
            <w:vAlign w:val="center"/>
          </w:tcPr>
          <w:p w14:paraId="78866349">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物业经理</w:t>
            </w:r>
          </w:p>
        </w:tc>
        <w:tc>
          <w:tcPr>
            <w:tcW w:w="849" w:type="dxa"/>
            <w:vAlign w:val="center"/>
          </w:tcPr>
          <w:p w14:paraId="00B5E17F">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1</w:t>
            </w:r>
          </w:p>
        </w:tc>
        <w:tc>
          <w:tcPr>
            <w:tcW w:w="5591" w:type="dxa"/>
            <w:vAlign w:val="center"/>
          </w:tcPr>
          <w:p w14:paraId="2687E8AC">
            <w:pPr>
              <w:pageBreakBefore w:val="0"/>
              <w:widowControl w:val="0"/>
              <w:wordWrap/>
              <w:overflowPunct/>
              <w:topLinePunct w:val="0"/>
              <w:bidi w:val="0"/>
              <w:spacing w:line="240" w:lineRule="auto"/>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负责派驻项目全面工作，年龄5</w:t>
            </w:r>
            <w:r>
              <w:rPr>
                <w:rFonts w:hint="eastAsia" w:ascii="宋体" w:hAnsi="宋体" w:eastAsia="宋体" w:cs="宋体"/>
                <w:color w:val="auto"/>
                <w:spacing w:val="0"/>
                <w:position w:val="0"/>
                <w:sz w:val="24"/>
                <w:szCs w:val="24"/>
                <w:lang w:val="en-US" w:eastAsia="zh-CN"/>
              </w:rPr>
              <w:t>0</w:t>
            </w:r>
            <w:r>
              <w:rPr>
                <w:rFonts w:hint="eastAsia" w:ascii="宋体" w:hAnsi="宋体" w:eastAsia="宋体" w:cs="宋体"/>
                <w:color w:val="auto"/>
                <w:spacing w:val="0"/>
                <w:position w:val="0"/>
                <w:sz w:val="24"/>
                <w:szCs w:val="24"/>
                <w:lang w:val="en" w:eastAsia="zh-CN"/>
              </w:rPr>
              <w:t>周岁以内（含）。</w:t>
            </w:r>
          </w:p>
        </w:tc>
      </w:tr>
      <w:tr w14:paraId="76F5AD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899" w:type="dxa"/>
            <w:vAlign w:val="center"/>
          </w:tcPr>
          <w:p w14:paraId="4C5E7AD6">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会务客服人员</w:t>
            </w:r>
          </w:p>
        </w:tc>
        <w:tc>
          <w:tcPr>
            <w:tcW w:w="849" w:type="dxa"/>
            <w:vAlign w:val="center"/>
          </w:tcPr>
          <w:p w14:paraId="6FBEAB4E">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5591" w:type="dxa"/>
            <w:vAlign w:val="center"/>
          </w:tcPr>
          <w:p w14:paraId="027EE03B">
            <w:pPr>
              <w:keepNext w:val="0"/>
              <w:keepLines w:val="0"/>
              <w:pageBreakBefore w:val="0"/>
              <w:kinsoku/>
              <w:wordWrap/>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 w:eastAsia="zh-CN" w:bidi="ar"/>
              </w:rPr>
              <w:t>女性，年龄3</w:t>
            </w:r>
            <w:r>
              <w:rPr>
                <w:rFonts w:hint="eastAsia" w:asciiTheme="minorEastAsia" w:hAnsiTheme="minorEastAsia" w:eastAsiaTheme="minorEastAsia" w:cstheme="minorEastAsia"/>
                <w:color w:val="auto"/>
                <w:sz w:val="24"/>
                <w:szCs w:val="24"/>
                <w:highlight w:val="none"/>
                <w:lang w:val="en-US" w:eastAsia="zh-CN" w:bidi="ar"/>
              </w:rPr>
              <w:t>8</w:t>
            </w:r>
            <w:r>
              <w:rPr>
                <w:rFonts w:hint="eastAsia" w:asciiTheme="minorEastAsia" w:hAnsiTheme="minorEastAsia" w:eastAsiaTheme="minorEastAsia" w:cstheme="minorEastAsia"/>
                <w:color w:val="auto"/>
                <w:sz w:val="24"/>
                <w:szCs w:val="24"/>
                <w:highlight w:val="none"/>
                <w:lang w:val="en" w:eastAsia="zh-CN" w:bidi="ar"/>
              </w:rPr>
              <w:t>周岁以内，负责宾客来访、本院各部门会议的接待工作。</w:t>
            </w:r>
          </w:p>
        </w:tc>
      </w:tr>
      <w:tr w14:paraId="372275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7" w:hRule="atLeast"/>
          <w:jc w:val="center"/>
        </w:trPr>
        <w:tc>
          <w:tcPr>
            <w:tcW w:w="1899" w:type="dxa"/>
            <w:vAlign w:val="center"/>
          </w:tcPr>
          <w:p w14:paraId="605EDC2B">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水电泥木维修工</w:t>
            </w:r>
          </w:p>
        </w:tc>
        <w:tc>
          <w:tcPr>
            <w:tcW w:w="849" w:type="dxa"/>
            <w:vAlign w:val="center"/>
          </w:tcPr>
          <w:p w14:paraId="0F0573A0">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1</w:t>
            </w:r>
          </w:p>
        </w:tc>
        <w:tc>
          <w:tcPr>
            <w:tcW w:w="5591" w:type="dxa"/>
            <w:vAlign w:val="center"/>
          </w:tcPr>
          <w:p w14:paraId="035247E8">
            <w:pPr>
              <w:keepNext w:val="0"/>
              <w:keepLines w:val="0"/>
              <w:pageBreakBefore w:val="0"/>
              <w:kinsoku/>
              <w:wordWrap/>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 w:eastAsia="zh-CN" w:bidi="ar"/>
              </w:rPr>
              <w:t>要求具有特种作业操作证（电工）在物业经理的带领下，负责日常维修及设施设备的巡查、维护、保养工作，负责项目水、电、泥工、木工等维修工作。</w:t>
            </w:r>
          </w:p>
        </w:tc>
      </w:tr>
      <w:tr w14:paraId="11E0A2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2" w:hRule="atLeast"/>
          <w:jc w:val="center"/>
        </w:trPr>
        <w:tc>
          <w:tcPr>
            <w:tcW w:w="1899" w:type="dxa"/>
            <w:vAlign w:val="center"/>
          </w:tcPr>
          <w:p w14:paraId="64E2474D">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合计</w:t>
            </w:r>
          </w:p>
        </w:tc>
        <w:tc>
          <w:tcPr>
            <w:tcW w:w="849" w:type="dxa"/>
            <w:vAlign w:val="center"/>
          </w:tcPr>
          <w:p w14:paraId="7E8AED68">
            <w:pPr>
              <w:pageBreakBefore w:val="0"/>
              <w:widowControl w:val="0"/>
              <w:wordWrap/>
              <w:overflowPunct/>
              <w:topLinePunct w:val="0"/>
              <w:bidi w:val="0"/>
              <w:spacing w:line="240"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w:t>
            </w:r>
          </w:p>
        </w:tc>
        <w:tc>
          <w:tcPr>
            <w:tcW w:w="5591" w:type="dxa"/>
          </w:tcPr>
          <w:p w14:paraId="74312980">
            <w:pPr>
              <w:pageBreakBefore w:val="0"/>
              <w:widowControl w:val="0"/>
              <w:wordWrap/>
              <w:overflowPunct/>
              <w:topLinePunct w:val="0"/>
              <w:bidi w:val="0"/>
              <w:spacing w:line="240" w:lineRule="auto"/>
              <w:rPr>
                <w:rFonts w:hint="eastAsia" w:ascii="宋体" w:hAnsi="宋体" w:eastAsia="宋体" w:cs="宋体"/>
                <w:color w:val="auto"/>
                <w:spacing w:val="0"/>
                <w:position w:val="0"/>
                <w:sz w:val="24"/>
                <w:szCs w:val="24"/>
                <w:lang w:val="en" w:eastAsia="zh-CN"/>
              </w:rPr>
            </w:pPr>
          </w:p>
        </w:tc>
      </w:tr>
    </w:tbl>
    <w:p w14:paraId="524597DB">
      <w:pPr>
        <w:pageBreakBefore w:val="0"/>
        <w:widowControl w:val="0"/>
        <w:numPr>
          <w:ilvl w:val="0"/>
          <w:numId w:val="0"/>
        </w:numPr>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 w:eastAsia="zh-CN"/>
        </w:rPr>
      </w:pPr>
      <w:r>
        <w:rPr>
          <w:rFonts w:hint="eastAsia" w:ascii="宋体" w:hAnsi="宋体" w:eastAsia="宋体" w:cs="宋体"/>
          <w:b/>
          <w:bCs/>
          <w:color w:val="auto"/>
          <w:spacing w:val="0"/>
          <w:position w:val="0"/>
          <w:sz w:val="24"/>
          <w:szCs w:val="24"/>
          <w:lang w:val="en" w:eastAsia="zh-CN"/>
        </w:rPr>
        <w:t>6.1.2 安保人员配置及岗位职责（10人）</w:t>
      </w:r>
    </w:p>
    <w:tbl>
      <w:tblPr>
        <w:tblStyle w:val="16"/>
        <w:tblW w:w="815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713"/>
        <w:gridCol w:w="1156"/>
        <w:gridCol w:w="5289"/>
      </w:tblGrid>
      <w:tr w14:paraId="323FD8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7" w:hRule="atLeast"/>
          <w:jc w:val="center"/>
        </w:trPr>
        <w:tc>
          <w:tcPr>
            <w:tcW w:w="1713" w:type="dxa"/>
            <w:vAlign w:val="center"/>
          </w:tcPr>
          <w:p w14:paraId="7470E872">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岗位设置</w:t>
            </w:r>
          </w:p>
        </w:tc>
        <w:tc>
          <w:tcPr>
            <w:tcW w:w="1156" w:type="dxa"/>
            <w:vAlign w:val="center"/>
          </w:tcPr>
          <w:p w14:paraId="25D1E0DA">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人数</w:t>
            </w:r>
          </w:p>
        </w:tc>
        <w:tc>
          <w:tcPr>
            <w:tcW w:w="5289" w:type="dxa"/>
            <w:vAlign w:val="center"/>
          </w:tcPr>
          <w:p w14:paraId="790B03CC">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岗位职责及要求</w:t>
            </w:r>
          </w:p>
        </w:tc>
      </w:tr>
      <w:tr w14:paraId="70C764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03" w:hRule="atLeast"/>
          <w:jc w:val="center"/>
        </w:trPr>
        <w:tc>
          <w:tcPr>
            <w:tcW w:w="1713" w:type="dxa"/>
            <w:vAlign w:val="center"/>
          </w:tcPr>
          <w:p w14:paraId="35F3C69D">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南面正大门</w:t>
            </w:r>
          </w:p>
        </w:tc>
        <w:tc>
          <w:tcPr>
            <w:tcW w:w="1156" w:type="dxa"/>
            <w:vAlign w:val="center"/>
          </w:tcPr>
          <w:p w14:paraId="1A354A76">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US" w:eastAsia="zh-CN"/>
              </w:rPr>
              <w:t>2</w:t>
            </w:r>
            <w:r>
              <w:rPr>
                <w:rFonts w:hint="eastAsia" w:ascii="宋体" w:hAnsi="宋体" w:eastAsia="宋体" w:cs="宋体"/>
                <w:color w:val="auto"/>
                <w:spacing w:val="0"/>
                <w:position w:val="0"/>
                <w:sz w:val="24"/>
                <w:szCs w:val="24"/>
                <w:lang w:val="en" w:eastAsia="zh-CN"/>
              </w:rPr>
              <w:t>（白班</w:t>
            </w:r>
            <w:r>
              <w:rPr>
                <w:rFonts w:hint="eastAsia" w:ascii="宋体" w:hAnsi="宋体" w:eastAsia="宋体" w:cs="宋体"/>
                <w:color w:val="auto"/>
                <w:spacing w:val="0"/>
                <w:position w:val="0"/>
                <w:sz w:val="24"/>
                <w:szCs w:val="24"/>
                <w:lang w:val="en-US" w:eastAsia="zh-CN"/>
              </w:rPr>
              <w:t>1</w:t>
            </w:r>
            <w:r>
              <w:rPr>
                <w:rFonts w:hint="eastAsia" w:ascii="宋体" w:hAnsi="宋体" w:eastAsia="宋体" w:cs="宋体"/>
                <w:color w:val="auto"/>
                <w:spacing w:val="0"/>
                <w:position w:val="0"/>
                <w:sz w:val="24"/>
                <w:szCs w:val="24"/>
                <w:lang w:val="en" w:eastAsia="zh-CN"/>
              </w:rPr>
              <w:t>人、晚班</w:t>
            </w:r>
            <w:r>
              <w:rPr>
                <w:rFonts w:hint="eastAsia" w:ascii="宋体" w:hAnsi="宋体" w:eastAsia="宋体" w:cs="宋体"/>
                <w:color w:val="auto"/>
                <w:spacing w:val="0"/>
                <w:position w:val="0"/>
                <w:sz w:val="24"/>
                <w:szCs w:val="24"/>
                <w:lang w:val="en-US" w:eastAsia="zh-CN"/>
              </w:rPr>
              <w:t>1</w:t>
            </w:r>
            <w:r>
              <w:rPr>
                <w:rFonts w:hint="eastAsia" w:ascii="宋体" w:hAnsi="宋体" w:eastAsia="宋体" w:cs="宋体"/>
                <w:color w:val="auto"/>
                <w:spacing w:val="0"/>
                <w:position w:val="0"/>
                <w:sz w:val="24"/>
                <w:szCs w:val="24"/>
                <w:lang w:val="en" w:eastAsia="zh-CN"/>
              </w:rPr>
              <w:t>人 ）</w:t>
            </w:r>
          </w:p>
        </w:tc>
        <w:tc>
          <w:tcPr>
            <w:tcW w:w="5289" w:type="dxa"/>
            <w:vAlign w:val="center"/>
          </w:tcPr>
          <w:p w14:paraId="3339B4F3">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1.</w:t>
            </w:r>
            <w:r>
              <w:rPr>
                <w:rFonts w:hint="eastAsia" w:asciiTheme="minorEastAsia" w:hAnsiTheme="minorEastAsia" w:eastAsiaTheme="minorEastAsia" w:cstheme="minorEastAsia"/>
                <w:color w:val="auto"/>
                <w:sz w:val="24"/>
                <w:szCs w:val="24"/>
                <w:highlight w:val="none"/>
                <w:lang w:val="en" w:eastAsia="zh-CN" w:bidi="ar"/>
              </w:rPr>
              <w:t>负责院大门口道闸进出车辆的安全、畅通、有序。</w:t>
            </w:r>
          </w:p>
          <w:p w14:paraId="067496DB">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2.</w:t>
            </w:r>
            <w:r>
              <w:rPr>
                <w:rFonts w:hint="eastAsia" w:asciiTheme="minorEastAsia" w:hAnsiTheme="minorEastAsia" w:eastAsiaTheme="minorEastAsia" w:cstheme="minorEastAsia"/>
                <w:color w:val="auto"/>
                <w:sz w:val="24"/>
                <w:szCs w:val="24"/>
                <w:highlight w:val="none"/>
                <w:lang w:val="en" w:eastAsia="zh-CN" w:bidi="ar"/>
              </w:rPr>
              <w:t>按照工作标准对公诉人、律师和相关公职人员的身份进行核验、通行；</w:t>
            </w:r>
          </w:p>
          <w:p w14:paraId="370CCE45">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 w:eastAsia="zh-CN" w:bidi="ar"/>
              </w:rPr>
              <w:t>3.保障院大门的安全，及时发现、处置、报告相关工作情况。</w:t>
            </w:r>
          </w:p>
          <w:p w14:paraId="3DE6BC73">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 w:eastAsia="zh-CN" w:bidi="ar"/>
              </w:rPr>
              <w:t>要求：男性、</w:t>
            </w:r>
            <w:r>
              <w:rPr>
                <w:rFonts w:hint="eastAsia" w:asciiTheme="minorEastAsia" w:hAnsiTheme="minorEastAsia" w:eastAsiaTheme="minorEastAsia" w:cstheme="minorEastAsia"/>
                <w:color w:val="auto"/>
                <w:sz w:val="24"/>
                <w:szCs w:val="24"/>
                <w:highlight w:val="none"/>
                <w:lang w:val="en-US" w:eastAsia="zh-CN" w:bidi="ar"/>
              </w:rPr>
              <w:t>年龄55周岁以内</w:t>
            </w:r>
            <w:r>
              <w:rPr>
                <w:rFonts w:hint="eastAsia" w:asciiTheme="minorEastAsia" w:hAnsiTheme="minorEastAsia" w:eastAsiaTheme="minorEastAsia" w:cstheme="minorEastAsia"/>
                <w:color w:val="auto"/>
                <w:sz w:val="24"/>
                <w:szCs w:val="24"/>
                <w:highlight w:val="none"/>
                <w:lang w:val="en" w:eastAsia="zh-CN" w:bidi="ar"/>
              </w:rPr>
              <w:t>。</w:t>
            </w:r>
          </w:p>
        </w:tc>
      </w:tr>
      <w:tr w14:paraId="405F24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15" w:hRule="atLeast"/>
          <w:jc w:val="center"/>
        </w:trPr>
        <w:tc>
          <w:tcPr>
            <w:tcW w:w="1713" w:type="dxa"/>
            <w:vAlign w:val="center"/>
          </w:tcPr>
          <w:p w14:paraId="17169014">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西面大门安检室</w:t>
            </w:r>
          </w:p>
        </w:tc>
        <w:tc>
          <w:tcPr>
            <w:tcW w:w="1156" w:type="dxa"/>
            <w:vAlign w:val="center"/>
          </w:tcPr>
          <w:p w14:paraId="44A1F31B">
            <w:pPr>
              <w:pageBreakBefore w:val="0"/>
              <w:widowControl w:val="0"/>
              <w:wordWrap/>
              <w:overflowPunct/>
              <w:topLinePunct w:val="0"/>
              <w:bidi w:val="0"/>
              <w:spacing w:line="240"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2（女性一名)</w:t>
            </w:r>
          </w:p>
        </w:tc>
        <w:tc>
          <w:tcPr>
            <w:tcW w:w="5289" w:type="dxa"/>
            <w:vAlign w:val="center"/>
          </w:tcPr>
          <w:p w14:paraId="5781CCF6">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 w:eastAsia="zh-CN" w:bidi="ar"/>
              </w:rPr>
              <w:t>负责对进入法院当事人的身份验证、登记、安检及相应安保管理、疏导工作。</w:t>
            </w:r>
          </w:p>
          <w:p w14:paraId="25CBC5D6">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default" w:asciiTheme="minorEastAsia" w:hAnsiTheme="minorEastAsia" w:eastAsiaTheme="minorEastAsia" w:cstheme="minorEastAsia"/>
                <w:color w:val="auto"/>
                <w:sz w:val="24"/>
                <w:szCs w:val="24"/>
                <w:highlight w:val="none"/>
                <w:lang w:val="en-US" w:eastAsia="zh-CN" w:bidi="ar"/>
              </w:rPr>
            </w:pPr>
            <w:r>
              <w:rPr>
                <w:rFonts w:hint="eastAsia" w:asciiTheme="minorEastAsia" w:hAnsiTheme="minorEastAsia" w:eastAsiaTheme="minorEastAsia" w:cstheme="minorEastAsia"/>
                <w:color w:val="auto"/>
                <w:sz w:val="24"/>
                <w:szCs w:val="24"/>
                <w:highlight w:val="none"/>
                <w:lang w:val="en" w:eastAsia="zh-CN" w:bidi="ar"/>
              </w:rPr>
              <w:t>要求：男性、年龄</w:t>
            </w:r>
            <w:r>
              <w:rPr>
                <w:rFonts w:hint="eastAsia" w:asciiTheme="minorEastAsia" w:hAnsiTheme="minorEastAsia" w:eastAsiaTheme="minorEastAsia" w:cstheme="minorEastAsia"/>
                <w:color w:val="auto"/>
                <w:sz w:val="24"/>
                <w:szCs w:val="24"/>
                <w:highlight w:val="none"/>
                <w:lang w:val="en-US" w:eastAsia="zh-CN" w:bidi="ar"/>
              </w:rPr>
              <w:t>55周岁以内。女性、年龄50周岁以内。</w:t>
            </w:r>
          </w:p>
        </w:tc>
      </w:tr>
      <w:tr w14:paraId="331761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713" w:type="dxa"/>
            <w:vAlign w:val="center"/>
          </w:tcPr>
          <w:p w14:paraId="5A8832FE">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二楼诉讼服务大厅</w:t>
            </w:r>
          </w:p>
        </w:tc>
        <w:tc>
          <w:tcPr>
            <w:tcW w:w="1156" w:type="dxa"/>
            <w:vAlign w:val="center"/>
          </w:tcPr>
          <w:p w14:paraId="01FA7FE0">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5289" w:type="dxa"/>
            <w:vAlign w:val="center"/>
          </w:tcPr>
          <w:p w14:paraId="23055151">
            <w:pPr>
              <w:keepNext w:val="0"/>
              <w:keepLines w:val="0"/>
              <w:pageBreakBefore w:val="0"/>
              <w:widowControl/>
              <w:numPr>
                <w:ilvl w:val="0"/>
                <w:numId w:val="1"/>
              </w:numPr>
              <w:kinsoku/>
              <w:wordWrap w:val="0"/>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 w:eastAsia="zh-CN" w:bidi="ar"/>
              </w:rPr>
              <w:t>负责协助诉讼服务中心值班庭长和导诉员相关工作。</w:t>
            </w:r>
          </w:p>
          <w:p w14:paraId="7379623E">
            <w:pPr>
              <w:keepNext w:val="0"/>
              <w:keepLines w:val="0"/>
              <w:pageBreakBefore w:val="0"/>
              <w:widowControl/>
              <w:numPr>
                <w:ilvl w:val="0"/>
                <w:numId w:val="1"/>
              </w:numPr>
              <w:kinsoku/>
              <w:wordWrap w:val="0"/>
              <w:overflowPunct/>
              <w:topLinePunct w:val="0"/>
              <w:autoSpaceDE w:val="0"/>
              <w:autoSpaceDN w:val="0"/>
              <w:bidi w:val="0"/>
              <w:adjustRightInd w:val="0"/>
              <w:snapToGrid w:val="0"/>
              <w:spacing w:line="360" w:lineRule="auto"/>
              <w:ind w:left="0" w:leftChars="0" w:firstLine="0" w:firstLineChars="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 w:eastAsia="zh-CN" w:bidi="ar"/>
              </w:rPr>
              <w:t>维护诉讼服务中心秩序，及时发现、处置和报告相关工作情况。</w:t>
            </w:r>
          </w:p>
          <w:p w14:paraId="435515D7">
            <w:pPr>
              <w:keepNext w:val="0"/>
              <w:keepLines w:val="0"/>
              <w:pageBreakBefore w:val="0"/>
              <w:widowControl/>
              <w:numPr>
                <w:ilvl w:val="0"/>
                <w:numId w:val="1"/>
              </w:numPr>
              <w:kinsoku/>
              <w:wordWrap w:val="0"/>
              <w:overflowPunct/>
              <w:topLinePunct w:val="0"/>
              <w:autoSpaceDE w:val="0"/>
              <w:autoSpaceDN w:val="0"/>
              <w:bidi w:val="0"/>
              <w:adjustRightInd w:val="0"/>
              <w:snapToGrid w:val="0"/>
              <w:spacing w:line="360" w:lineRule="auto"/>
              <w:ind w:left="0" w:leftChars="0" w:firstLine="0" w:firstLineChars="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 w:eastAsia="zh-CN" w:bidi="ar"/>
              </w:rPr>
              <w:t>负责管制诉讼服务中心与办公通道的有效隔离。</w:t>
            </w:r>
          </w:p>
          <w:p w14:paraId="7CA774B0">
            <w:pPr>
              <w:keepNext w:val="0"/>
              <w:keepLines w:val="0"/>
              <w:pageBreakBefore w:val="0"/>
              <w:widowControl/>
              <w:numPr>
                <w:ilvl w:val="0"/>
                <w:numId w:val="0"/>
              </w:numPr>
              <w:kinsoku/>
              <w:wordWrap w:val="0"/>
              <w:overflowPunct/>
              <w:topLinePunct w:val="0"/>
              <w:autoSpaceDE w:val="0"/>
              <w:autoSpaceDN w:val="0"/>
              <w:bidi w:val="0"/>
              <w:adjustRightInd w:val="0"/>
              <w:snapToGrid w:val="0"/>
              <w:spacing w:line="360" w:lineRule="auto"/>
              <w:ind w:leftChars="0"/>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4</w:t>
            </w:r>
            <w:r>
              <w:rPr>
                <w:rFonts w:hint="eastAsia" w:asciiTheme="minorEastAsia" w:hAnsiTheme="minorEastAsia" w:eastAsiaTheme="minorEastAsia" w:cstheme="minorEastAsia"/>
                <w:color w:val="auto"/>
                <w:sz w:val="24"/>
                <w:szCs w:val="24"/>
                <w:highlight w:val="none"/>
                <w:lang w:val="en" w:eastAsia="zh-CN" w:bidi="ar"/>
              </w:rPr>
              <w:t>.对信访场所进行秩序维护及安全疏导。</w:t>
            </w:r>
          </w:p>
          <w:p w14:paraId="2D6D03E0">
            <w:pPr>
              <w:keepNext w:val="0"/>
              <w:keepLines w:val="0"/>
              <w:pageBreakBefore w:val="0"/>
              <w:widowControl/>
              <w:numPr>
                <w:ilvl w:val="0"/>
                <w:numId w:val="0"/>
              </w:numPr>
              <w:kinsoku/>
              <w:wordWrap w:val="0"/>
              <w:overflowPunct/>
              <w:topLinePunct w:val="0"/>
              <w:autoSpaceDE w:val="0"/>
              <w:autoSpaceDN w:val="0"/>
              <w:bidi w:val="0"/>
              <w:adjustRightInd w:val="0"/>
              <w:snapToGrid w:val="0"/>
              <w:spacing w:line="360" w:lineRule="auto"/>
              <w:textAlignment w:val="baseline"/>
              <w:rPr>
                <w:rFonts w:hint="default" w:asciiTheme="minorEastAsia" w:hAnsiTheme="minorEastAsia" w:eastAsiaTheme="minorEastAsia" w:cstheme="minorEastAsia"/>
                <w:color w:val="auto"/>
                <w:sz w:val="24"/>
                <w:szCs w:val="24"/>
                <w:highlight w:val="none"/>
                <w:lang w:val="en-US" w:eastAsia="zh-CN" w:bidi="ar"/>
              </w:rPr>
            </w:pPr>
            <w:r>
              <w:rPr>
                <w:rFonts w:hint="eastAsia" w:asciiTheme="minorEastAsia" w:hAnsiTheme="minorEastAsia" w:eastAsiaTheme="minorEastAsia" w:cstheme="minorEastAsia"/>
                <w:color w:val="auto"/>
                <w:sz w:val="24"/>
                <w:szCs w:val="24"/>
                <w:highlight w:val="none"/>
                <w:lang w:val="en" w:eastAsia="zh-CN" w:bidi="ar"/>
              </w:rPr>
              <w:t>要求：男性、年龄</w:t>
            </w:r>
            <w:r>
              <w:rPr>
                <w:rFonts w:hint="eastAsia" w:asciiTheme="minorEastAsia" w:hAnsiTheme="minorEastAsia" w:eastAsiaTheme="minorEastAsia" w:cstheme="minorEastAsia"/>
                <w:color w:val="auto"/>
                <w:sz w:val="24"/>
                <w:szCs w:val="24"/>
                <w:highlight w:val="none"/>
                <w:lang w:val="en-US" w:eastAsia="zh-CN" w:bidi="ar"/>
              </w:rPr>
              <w:t>55周岁以内。</w:t>
            </w:r>
          </w:p>
        </w:tc>
      </w:tr>
      <w:tr w14:paraId="32D0F6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56" w:hRule="atLeast"/>
          <w:jc w:val="center"/>
        </w:trPr>
        <w:tc>
          <w:tcPr>
            <w:tcW w:w="1713" w:type="dxa"/>
            <w:vAlign w:val="center"/>
          </w:tcPr>
          <w:p w14:paraId="498F3EF1">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消防监控室</w:t>
            </w:r>
          </w:p>
        </w:tc>
        <w:tc>
          <w:tcPr>
            <w:tcW w:w="1156" w:type="dxa"/>
            <w:vAlign w:val="center"/>
          </w:tcPr>
          <w:p w14:paraId="378B27DA">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1</w:t>
            </w:r>
          </w:p>
        </w:tc>
        <w:tc>
          <w:tcPr>
            <w:tcW w:w="5289" w:type="dxa"/>
            <w:vAlign w:val="center"/>
          </w:tcPr>
          <w:p w14:paraId="690202DA">
            <w:pPr>
              <w:keepNext w:val="0"/>
              <w:keepLines w:val="0"/>
              <w:pageBreakBefore w:val="0"/>
              <w:widowControl/>
              <w:numPr>
                <w:ilvl w:val="0"/>
                <w:numId w:val="2"/>
              </w:numPr>
              <w:kinsoku/>
              <w:wordWrap w:val="0"/>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 w:eastAsia="zh-CN" w:bidi="ar"/>
              </w:rPr>
              <w:t>负责对本院各个出入口及重要场所的视频监管（视频信号源损坏、消防控制系统报警的立即报修处理），及时发现、报告相关工作情况。</w:t>
            </w:r>
          </w:p>
          <w:p w14:paraId="353AA7EC">
            <w:pPr>
              <w:keepNext w:val="0"/>
              <w:keepLines w:val="0"/>
              <w:pageBreakBefore w:val="0"/>
              <w:widowControl/>
              <w:numPr>
                <w:ilvl w:val="0"/>
                <w:numId w:val="2"/>
              </w:numPr>
              <w:kinsoku/>
              <w:wordWrap w:val="0"/>
              <w:overflowPunct/>
              <w:topLinePunct w:val="0"/>
              <w:autoSpaceDE w:val="0"/>
              <w:autoSpaceDN w:val="0"/>
              <w:bidi w:val="0"/>
              <w:adjustRightInd w:val="0"/>
              <w:snapToGrid w:val="0"/>
              <w:spacing w:line="360" w:lineRule="auto"/>
              <w:ind w:left="0" w:leftChars="0" w:firstLine="0" w:firstLineChars="0"/>
              <w:textAlignment w:val="baseline"/>
              <w:rPr>
                <w:rFonts w:hint="eastAsia" w:asciiTheme="minorEastAsia" w:hAnsiTheme="minorEastAsia" w:eastAsiaTheme="minorEastAsia" w:cstheme="minorEastAsia"/>
                <w:color w:val="auto"/>
                <w:sz w:val="24"/>
                <w:szCs w:val="24"/>
                <w:highlight w:val="none"/>
                <w:lang w:val="en-US" w:eastAsia="zh-CN" w:bidi="ar"/>
              </w:rPr>
            </w:pPr>
            <w:r>
              <w:rPr>
                <w:rFonts w:hint="eastAsia" w:asciiTheme="minorEastAsia" w:hAnsiTheme="minorEastAsia" w:eastAsiaTheme="minorEastAsia" w:cstheme="minorEastAsia"/>
                <w:color w:val="auto"/>
                <w:sz w:val="24"/>
                <w:szCs w:val="24"/>
                <w:highlight w:val="none"/>
                <w:lang w:val="en-US" w:eastAsia="zh-CN" w:bidi="ar"/>
              </w:rPr>
              <w:t>兼白天巡逻岗职责。</w:t>
            </w:r>
          </w:p>
          <w:p w14:paraId="50E250EC">
            <w:pPr>
              <w:keepNext w:val="0"/>
              <w:keepLines w:val="0"/>
              <w:pageBreakBefore w:val="0"/>
              <w:widowControl/>
              <w:numPr>
                <w:ilvl w:val="0"/>
                <w:numId w:val="0"/>
              </w:numPr>
              <w:kinsoku/>
              <w:wordWrap w:val="0"/>
              <w:overflowPunct/>
              <w:topLinePunct w:val="0"/>
              <w:autoSpaceDE w:val="0"/>
              <w:autoSpaceDN w:val="0"/>
              <w:bidi w:val="0"/>
              <w:adjustRightInd w:val="0"/>
              <w:snapToGrid w:val="0"/>
              <w:spacing w:line="360" w:lineRule="auto"/>
              <w:ind w:leftChars="0"/>
              <w:textAlignment w:val="baseline"/>
              <w:rPr>
                <w:rFonts w:hint="default" w:asciiTheme="minorEastAsia" w:hAnsiTheme="minorEastAsia" w:eastAsiaTheme="minorEastAsia" w:cstheme="minorEastAsia"/>
                <w:color w:val="auto"/>
                <w:sz w:val="24"/>
                <w:szCs w:val="24"/>
                <w:highlight w:val="none"/>
                <w:lang w:val="en-US" w:eastAsia="zh-CN" w:bidi="ar"/>
              </w:rPr>
            </w:pPr>
            <w:r>
              <w:rPr>
                <w:rFonts w:hint="eastAsia" w:asciiTheme="minorEastAsia" w:hAnsiTheme="minorEastAsia" w:eastAsiaTheme="minorEastAsia" w:cstheme="minorEastAsia"/>
                <w:color w:val="auto"/>
                <w:sz w:val="24"/>
                <w:szCs w:val="24"/>
                <w:highlight w:val="none"/>
                <w:lang w:val="en-US" w:eastAsia="zh-CN" w:bidi="ar"/>
              </w:rPr>
              <w:t>要求：男性、年龄55周岁以内。</w:t>
            </w:r>
          </w:p>
        </w:tc>
      </w:tr>
      <w:tr w14:paraId="03CC76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92" w:hRule="atLeast"/>
          <w:jc w:val="center"/>
        </w:trPr>
        <w:tc>
          <w:tcPr>
            <w:tcW w:w="1713" w:type="dxa"/>
            <w:vAlign w:val="center"/>
          </w:tcPr>
          <w:p w14:paraId="24DACB51">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四个人民法庭安检室</w:t>
            </w:r>
          </w:p>
        </w:tc>
        <w:tc>
          <w:tcPr>
            <w:tcW w:w="1156" w:type="dxa"/>
            <w:vAlign w:val="center"/>
          </w:tcPr>
          <w:p w14:paraId="3698BFBB">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4(需驻庭）</w:t>
            </w:r>
          </w:p>
        </w:tc>
        <w:tc>
          <w:tcPr>
            <w:tcW w:w="5289" w:type="dxa"/>
            <w:vAlign w:val="center"/>
          </w:tcPr>
          <w:p w14:paraId="19AE383F">
            <w:pPr>
              <w:keepNext w:val="0"/>
              <w:keepLines w:val="0"/>
              <w:pageBreakBefore w:val="0"/>
              <w:widowControl/>
              <w:numPr>
                <w:ilvl w:val="0"/>
                <w:numId w:val="3"/>
              </w:numPr>
              <w:kinsoku/>
              <w:wordWrap w:val="0"/>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 w:eastAsia="zh-CN" w:bidi="ar"/>
              </w:rPr>
              <w:t>负责对进入法庭当事人的身份验证、登记、安检及相应安保管理、疏导工作。</w:t>
            </w:r>
          </w:p>
          <w:p w14:paraId="6ACD225F">
            <w:pPr>
              <w:keepNext w:val="0"/>
              <w:keepLines w:val="0"/>
              <w:pageBreakBefore w:val="0"/>
              <w:widowControl/>
              <w:numPr>
                <w:ilvl w:val="0"/>
                <w:numId w:val="0"/>
              </w:numPr>
              <w:kinsoku/>
              <w:wordWrap w:val="0"/>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US" w:eastAsia="zh-CN" w:bidi="ar"/>
              </w:rPr>
              <w:t>2.</w:t>
            </w:r>
            <w:r>
              <w:rPr>
                <w:rFonts w:hint="eastAsia" w:asciiTheme="minorEastAsia" w:hAnsiTheme="minorEastAsia" w:eastAsiaTheme="minorEastAsia" w:cstheme="minorEastAsia"/>
                <w:color w:val="auto"/>
                <w:sz w:val="24"/>
                <w:szCs w:val="24"/>
                <w:highlight w:val="none"/>
                <w:lang w:val="en" w:eastAsia="zh-CN" w:bidi="ar"/>
              </w:rPr>
              <w:t>按照工作标准对公诉人、律师和相关公职人员的身份进行核验、通行。</w:t>
            </w:r>
          </w:p>
          <w:p w14:paraId="51D268B5">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 w:eastAsia="zh-CN" w:bidi="ar"/>
              </w:rPr>
              <w:t>3.保障法庭大门的安全，及时发现、处置、报告相关工作情况。</w:t>
            </w:r>
          </w:p>
          <w:p w14:paraId="34DB071B">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default" w:asciiTheme="minorEastAsia" w:hAnsiTheme="minorEastAsia" w:eastAsiaTheme="minorEastAsia" w:cstheme="minorEastAsia"/>
                <w:color w:val="auto"/>
                <w:sz w:val="24"/>
                <w:szCs w:val="24"/>
                <w:highlight w:val="none"/>
                <w:lang w:val="en-US" w:eastAsia="zh-CN" w:bidi="ar"/>
              </w:rPr>
            </w:pPr>
            <w:r>
              <w:rPr>
                <w:rFonts w:hint="eastAsia" w:asciiTheme="minorEastAsia" w:hAnsiTheme="minorEastAsia" w:eastAsiaTheme="minorEastAsia" w:cstheme="minorEastAsia"/>
                <w:color w:val="auto"/>
                <w:sz w:val="24"/>
                <w:szCs w:val="24"/>
                <w:highlight w:val="none"/>
                <w:lang w:val="en-US" w:eastAsia="zh-CN" w:bidi="ar"/>
              </w:rPr>
              <w:t>要求：男性、年龄50周岁以内。</w:t>
            </w:r>
          </w:p>
        </w:tc>
      </w:tr>
      <w:tr w14:paraId="6FB09F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7" w:hRule="atLeast"/>
          <w:jc w:val="center"/>
        </w:trPr>
        <w:tc>
          <w:tcPr>
            <w:tcW w:w="1713" w:type="dxa"/>
            <w:vAlign w:val="center"/>
          </w:tcPr>
          <w:p w14:paraId="281775A6">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合计</w:t>
            </w:r>
          </w:p>
        </w:tc>
        <w:tc>
          <w:tcPr>
            <w:tcW w:w="1156" w:type="dxa"/>
            <w:vAlign w:val="center"/>
          </w:tcPr>
          <w:p w14:paraId="1E5B2445">
            <w:pPr>
              <w:pageBreakBefore w:val="0"/>
              <w:widowControl w:val="0"/>
              <w:wordWrap/>
              <w:overflowPunct/>
              <w:topLinePunct w:val="0"/>
              <w:bidi w:val="0"/>
              <w:spacing w:line="240"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w:t>
            </w:r>
          </w:p>
        </w:tc>
        <w:tc>
          <w:tcPr>
            <w:tcW w:w="5289" w:type="dxa"/>
            <w:vAlign w:val="center"/>
          </w:tcPr>
          <w:p w14:paraId="4EE48F0F">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US" w:eastAsia="zh-CN"/>
              </w:rPr>
            </w:pPr>
          </w:p>
        </w:tc>
      </w:tr>
      <w:tr w14:paraId="448AC6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99" w:hRule="atLeast"/>
          <w:jc w:val="center"/>
        </w:trPr>
        <w:tc>
          <w:tcPr>
            <w:tcW w:w="8158" w:type="dxa"/>
            <w:gridSpan w:val="3"/>
            <w:vAlign w:val="center"/>
          </w:tcPr>
          <w:p w14:paraId="754D0DE4">
            <w:pPr>
              <w:keepNext w:val="0"/>
              <w:keepLines w:val="0"/>
              <w:pageBreakBefore w:val="0"/>
              <w:widowControl/>
              <w:numPr>
                <w:ilvl w:val="0"/>
                <w:numId w:val="0"/>
              </w:numPr>
              <w:kinsoku/>
              <w:wordWrap w:val="0"/>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color w:val="auto"/>
                <w:sz w:val="24"/>
                <w:szCs w:val="24"/>
                <w:highlight w:val="none"/>
                <w:lang w:val="en-US" w:eastAsia="zh-CN" w:bidi="ar"/>
              </w:rPr>
            </w:pPr>
            <w:r>
              <w:rPr>
                <w:rFonts w:hint="eastAsia" w:asciiTheme="minorEastAsia" w:hAnsiTheme="minorEastAsia" w:eastAsiaTheme="minorEastAsia" w:cstheme="minorEastAsia"/>
                <w:color w:val="auto"/>
                <w:sz w:val="24"/>
                <w:szCs w:val="24"/>
                <w:highlight w:val="none"/>
                <w:lang w:val="en-US" w:eastAsia="zh-CN" w:bidi="ar"/>
              </w:rPr>
              <w:t>合计：10人</w:t>
            </w:r>
          </w:p>
          <w:p w14:paraId="231E0F63">
            <w:pPr>
              <w:keepNext w:val="0"/>
              <w:keepLines w:val="0"/>
              <w:pageBreakBefore w:val="0"/>
              <w:widowControl/>
              <w:numPr>
                <w:ilvl w:val="0"/>
                <w:numId w:val="0"/>
              </w:numPr>
              <w:kinsoku/>
              <w:wordWrap w:val="0"/>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color w:val="auto"/>
                <w:sz w:val="24"/>
                <w:szCs w:val="24"/>
                <w:highlight w:val="none"/>
                <w:lang w:val="en-US" w:eastAsia="zh-CN" w:bidi="ar"/>
              </w:rPr>
            </w:pPr>
            <w:r>
              <w:rPr>
                <w:rFonts w:hint="eastAsia" w:asciiTheme="minorEastAsia" w:hAnsiTheme="minorEastAsia" w:eastAsiaTheme="minorEastAsia" w:cstheme="minorEastAsia"/>
                <w:color w:val="auto"/>
                <w:sz w:val="24"/>
                <w:szCs w:val="24"/>
                <w:highlight w:val="none"/>
                <w:lang w:val="en-US" w:eastAsia="zh-CN" w:bidi="ar"/>
              </w:rPr>
              <w:t>备注：安保员：所有安保员必须具有五级及以上“保安员证”；（分5级，1级最高）</w:t>
            </w:r>
          </w:p>
          <w:p w14:paraId="511B579E">
            <w:pPr>
              <w:keepNext w:val="0"/>
              <w:keepLines w:val="0"/>
              <w:pageBreakBefore w:val="0"/>
              <w:widowControl/>
              <w:numPr>
                <w:ilvl w:val="0"/>
                <w:numId w:val="0"/>
              </w:numPr>
              <w:kinsoku/>
              <w:wordWrap w:val="0"/>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shd w:val="clear" w:color="auto" w:fill="FFFFFF"/>
              </w:rPr>
            </w:pPr>
            <w:r>
              <w:rPr>
                <w:rFonts w:hint="eastAsia" w:asciiTheme="minorEastAsia" w:hAnsiTheme="minorEastAsia" w:eastAsiaTheme="minorEastAsia" w:cstheme="minorEastAsia"/>
                <w:color w:val="auto"/>
                <w:sz w:val="24"/>
                <w:szCs w:val="24"/>
                <w:highlight w:val="none"/>
                <w:lang w:val="en-US" w:eastAsia="zh-CN" w:bidi="ar"/>
              </w:rPr>
              <w:t>消防监控室人员必须具有五级及以上“消防设施操作员”（或“建（构）筑物消防员”）证。（分5级，1级最高）。</w:t>
            </w:r>
          </w:p>
        </w:tc>
      </w:tr>
    </w:tbl>
    <w:p w14:paraId="2BBC4F03">
      <w:pPr>
        <w:keepNext w:val="0"/>
        <w:keepLines w:val="0"/>
        <w:pageBreakBefore w:val="0"/>
        <w:widowControl/>
        <w:kinsoku/>
        <w:wordWrap w:val="0"/>
        <w:overflowPunct/>
        <w:topLinePunct w:val="0"/>
        <w:autoSpaceDE w:val="0"/>
        <w:autoSpaceDN w:val="0"/>
        <w:bidi w:val="0"/>
        <w:adjustRightInd w:val="0"/>
        <w:snapToGrid w:val="0"/>
        <w:spacing w:line="360" w:lineRule="auto"/>
        <w:ind w:firstLine="482" w:firstLineChars="200"/>
        <w:textAlignment w:val="baseline"/>
        <w:rPr>
          <w:rFonts w:hint="eastAsia" w:asciiTheme="minorEastAsia" w:hAnsiTheme="minorEastAsia" w:eastAsiaTheme="minorEastAsia" w:cstheme="minorEastAsia"/>
          <w:b/>
          <w:bCs/>
          <w:color w:val="auto"/>
          <w:sz w:val="24"/>
          <w:szCs w:val="24"/>
          <w:highlight w:val="none"/>
          <w:lang w:val="en" w:eastAsia="zh-CN" w:bidi="ar"/>
        </w:rPr>
      </w:pPr>
      <w:r>
        <w:rPr>
          <w:rFonts w:hint="eastAsia" w:asciiTheme="minorEastAsia" w:hAnsiTheme="minorEastAsia" w:eastAsiaTheme="minorEastAsia" w:cstheme="minorEastAsia"/>
          <w:b/>
          <w:bCs/>
          <w:color w:val="auto"/>
          <w:sz w:val="24"/>
          <w:szCs w:val="24"/>
          <w:highlight w:val="none"/>
          <w:lang w:val="en-US" w:eastAsia="zh-CN" w:bidi="ar"/>
        </w:rPr>
        <w:t xml:space="preserve">6.1.3 </w:t>
      </w:r>
      <w:r>
        <w:rPr>
          <w:rFonts w:hint="eastAsia" w:asciiTheme="minorEastAsia" w:hAnsiTheme="minorEastAsia" w:eastAsiaTheme="minorEastAsia" w:cstheme="minorEastAsia"/>
          <w:b/>
          <w:bCs/>
          <w:color w:val="auto"/>
          <w:sz w:val="24"/>
          <w:szCs w:val="24"/>
          <w:highlight w:val="none"/>
          <w:lang w:val="en" w:eastAsia="zh-CN" w:bidi="ar"/>
        </w:rPr>
        <w:t>保洁人员配置及岗位职责（</w:t>
      </w:r>
      <w:r>
        <w:rPr>
          <w:rFonts w:hint="eastAsia" w:asciiTheme="minorEastAsia" w:hAnsiTheme="minorEastAsia" w:eastAsiaTheme="minorEastAsia" w:cstheme="minorEastAsia"/>
          <w:b/>
          <w:bCs/>
          <w:color w:val="auto"/>
          <w:sz w:val="24"/>
          <w:szCs w:val="24"/>
          <w:highlight w:val="none"/>
          <w:lang w:val="en-US" w:eastAsia="zh-CN" w:bidi="ar"/>
        </w:rPr>
        <w:t>4</w:t>
      </w:r>
      <w:r>
        <w:rPr>
          <w:rFonts w:hint="eastAsia" w:asciiTheme="minorEastAsia" w:hAnsiTheme="minorEastAsia" w:eastAsiaTheme="minorEastAsia" w:cstheme="minorEastAsia"/>
          <w:b/>
          <w:bCs/>
          <w:color w:val="auto"/>
          <w:sz w:val="24"/>
          <w:szCs w:val="24"/>
          <w:highlight w:val="none"/>
          <w:lang w:val="en" w:eastAsia="zh-CN" w:bidi="ar"/>
        </w:rPr>
        <w:t>人）</w:t>
      </w:r>
    </w:p>
    <w:tbl>
      <w:tblPr>
        <w:tblStyle w:val="16"/>
        <w:tblW w:w="82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5"/>
        <w:gridCol w:w="931"/>
        <w:gridCol w:w="6062"/>
      </w:tblGrid>
      <w:tr w14:paraId="5411F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jc w:val="center"/>
        </w:trPr>
        <w:tc>
          <w:tcPr>
            <w:tcW w:w="1285" w:type="dxa"/>
            <w:vAlign w:val="center"/>
          </w:tcPr>
          <w:p w14:paraId="3A4101FD">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岗位</w:t>
            </w:r>
          </w:p>
        </w:tc>
        <w:tc>
          <w:tcPr>
            <w:tcW w:w="931" w:type="dxa"/>
            <w:vAlign w:val="center"/>
          </w:tcPr>
          <w:p w14:paraId="315319C9">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人数</w:t>
            </w:r>
          </w:p>
        </w:tc>
        <w:tc>
          <w:tcPr>
            <w:tcW w:w="6062" w:type="dxa"/>
            <w:vAlign w:val="center"/>
          </w:tcPr>
          <w:p w14:paraId="3BB868E5">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服务项目及工作内容</w:t>
            </w:r>
          </w:p>
        </w:tc>
      </w:tr>
      <w:tr w14:paraId="01E31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1285" w:type="dxa"/>
            <w:vAlign w:val="center"/>
          </w:tcPr>
          <w:p w14:paraId="79D4F5BB">
            <w:pPr>
              <w:pageBreakBefore w:val="0"/>
              <w:kinsoku/>
              <w:wordWrap/>
              <w:overflowPunct/>
              <w:topLinePunct w:val="0"/>
              <w:bidi w:val="0"/>
              <w:spacing w:after="0" w:line="240" w:lineRule="auto"/>
              <w:ind w:firstLine="0" w:firstLineChars="0"/>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F-</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rPr>
              <w:t>F</w:t>
            </w:r>
          </w:p>
        </w:tc>
        <w:tc>
          <w:tcPr>
            <w:tcW w:w="931" w:type="dxa"/>
            <w:vAlign w:val="center"/>
          </w:tcPr>
          <w:p w14:paraId="56ED2BE5">
            <w:pPr>
              <w:pageBreakBefore w:val="0"/>
              <w:kinsoku/>
              <w:wordWrap/>
              <w:overflowPunct/>
              <w:topLinePunct w:val="0"/>
              <w:bidi w:val="0"/>
              <w:spacing w:after="0" w:line="560" w:lineRule="exact"/>
              <w:ind w:firstLine="0" w:firstLineChars="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w:t>
            </w:r>
          </w:p>
        </w:tc>
        <w:tc>
          <w:tcPr>
            <w:tcW w:w="6062" w:type="dxa"/>
            <w:vAlign w:val="center"/>
          </w:tcPr>
          <w:p w14:paraId="21250661">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 w:eastAsia="zh-CN" w:bidi="ar"/>
              </w:rPr>
              <w:t>负责办公楼及诉讼服务中心的大厅、过道、楼梯、门窗、大小审判庭、调解室、大小会议室、院领导办公室及合议室、电梯间、消防通道、公共洗手间及所有设施设备的清洁保洁。</w:t>
            </w:r>
          </w:p>
        </w:tc>
      </w:tr>
      <w:tr w14:paraId="00827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1285" w:type="dxa"/>
            <w:tcBorders>
              <w:bottom w:val="single" w:color="auto" w:sz="4" w:space="0"/>
            </w:tcBorders>
            <w:vAlign w:val="center"/>
          </w:tcPr>
          <w:p w14:paraId="1AD25DA5">
            <w:pPr>
              <w:pageBreakBefore w:val="0"/>
              <w:kinsoku/>
              <w:wordWrap/>
              <w:overflowPunct/>
              <w:topLinePunct w:val="0"/>
              <w:bidi w:val="0"/>
              <w:spacing w:after="0" w:line="240" w:lineRule="auto"/>
              <w:ind w:firstLine="0" w:firstLineChars="0"/>
              <w:jc w:val="center"/>
              <w:rPr>
                <w:rFonts w:hint="eastAsia" w:ascii="宋体" w:hAnsi="宋体" w:eastAsia="宋体" w:cs="宋体"/>
                <w:color w:val="auto"/>
                <w:sz w:val="24"/>
                <w:szCs w:val="24"/>
              </w:rPr>
            </w:pPr>
            <w:r>
              <w:rPr>
                <w:rFonts w:hint="eastAsia" w:ascii="宋体" w:hAnsi="宋体" w:eastAsia="宋体" w:cs="宋体"/>
                <w:color w:val="auto"/>
                <w:sz w:val="24"/>
                <w:szCs w:val="24"/>
              </w:rPr>
              <w:t>外围</w:t>
            </w:r>
          </w:p>
        </w:tc>
        <w:tc>
          <w:tcPr>
            <w:tcW w:w="931" w:type="dxa"/>
            <w:tcBorders>
              <w:bottom w:val="single" w:color="auto" w:sz="4" w:space="0"/>
              <w:right w:val="single" w:color="auto" w:sz="4" w:space="0"/>
            </w:tcBorders>
            <w:vAlign w:val="center"/>
          </w:tcPr>
          <w:p w14:paraId="1E50CC10">
            <w:pPr>
              <w:pageBreakBefore w:val="0"/>
              <w:kinsoku/>
              <w:wordWrap/>
              <w:overflowPunct/>
              <w:topLinePunct w:val="0"/>
              <w:bidi w:val="0"/>
              <w:spacing w:after="0" w:line="560" w:lineRule="exact"/>
              <w:ind w:firstLine="0" w:firstLineChars="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6062" w:type="dxa"/>
            <w:tcBorders>
              <w:bottom w:val="single" w:color="auto" w:sz="4" w:space="0"/>
              <w:right w:val="single" w:color="auto" w:sz="4" w:space="0"/>
            </w:tcBorders>
            <w:vAlign w:val="center"/>
          </w:tcPr>
          <w:p w14:paraId="54CC59E0">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color w:val="auto"/>
                <w:sz w:val="24"/>
                <w:szCs w:val="24"/>
                <w:highlight w:val="none"/>
                <w:lang w:val="en" w:eastAsia="zh-CN" w:bidi="ar"/>
              </w:rPr>
            </w:pPr>
            <w:r>
              <w:rPr>
                <w:rFonts w:hint="eastAsia" w:asciiTheme="minorEastAsia" w:hAnsiTheme="minorEastAsia" w:eastAsiaTheme="minorEastAsia" w:cstheme="minorEastAsia"/>
                <w:color w:val="auto"/>
                <w:sz w:val="24"/>
                <w:szCs w:val="24"/>
                <w:highlight w:val="none"/>
                <w:lang w:val="en" w:eastAsia="zh-CN" w:bidi="ar"/>
              </w:rPr>
              <w:t>负责围墙范围内室外环境及周边附属房、洗手间、停车场、洗车场等清洁保洁工作。</w:t>
            </w:r>
          </w:p>
        </w:tc>
      </w:tr>
      <w:tr w14:paraId="541F7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jc w:val="center"/>
        </w:trPr>
        <w:tc>
          <w:tcPr>
            <w:tcW w:w="1285" w:type="dxa"/>
            <w:tcBorders>
              <w:bottom w:val="single" w:color="auto" w:sz="4" w:space="0"/>
            </w:tcBorders>
            <w:vAlign w:val="center"/>
          </w:tcPr>
          <w:p w14:paraId="7A931C6B">
            <w:pPr>
              <w:pageBreakBefore w:val="0"/>
              <w:kinsoku/>
              <w:wordWrap/>
              <w:overflowPunct/>
              <w:topLinePunct w:val="0"/>
              <w:bidi w:val="0"/>
              <w:spacing w:after="0" w:line="240" w:lineRule="auto"/>
              <w:ind w:firstLine="0" w:firstLineChars="0"/>
              <w:jc w:val="center"/>
              <w:rPr>
                <w:rFonts w:hint="eastAsia" w:ascii="宋体" w:hAnsi="宋体" w:eastAsia="宋体" w:cs="宋体"/>
                <w:color w:val="auto"/>
                <w:sz w:val="24"/>
                <w:szCs w:val="24"/>
              </w:rPr>
            </w:pPr>
            <w:r>
              <w:rPr>
                <w:rFonts w:hint="eastAsia" w:ascii="宋体" w:hAnsi="宋体" w:eastAsia="宋体" w:cs="宋体"/>
                <w:color w:val="auto"/>
                <w:spacing w:val="0"/>
                <w:position w:val="0"/>
                <w:sz w:val="24"/>
                <w:szCs w:val="24"/>
                <w:lang w:val="en" w:eastAsia="zh-CN"/>
              </w:rPr>
              <w:t>合计</w:t>
            </w:r>
          </w:p>
        </w:tc>
        <w:tc>
          <w:tcPr>
            <w:tcW w:w="931" w:type="dxa"/>
            <w:tcBorders>
              <w:bottom w:val="single" w:color="auto" w:sz="4" w:space="0"/>
              <w:right w:val="single" w:color="auto" w:sz="4" w:space="0"/>
            </w:tcBorders>
            <w:vAlign w:val="center"/>
          </w:tcPr>
          <w:p w14:paraId="55F1035F">
            <w:pPr>
              <w:pageBreakBefore w:val="0"/>
              <w:kinsoku/>
              <w:wordWrap/>
              <w:overflowPunct/>
              <w:topLinePunct w:val="0"/>
              <w:bidi w:val="0"/>
              <w:spacing w:after="0" w:line="560" w:lineRule="exact"/>
              <w:ind w:firstLine="0" w:firstLineChars="0"/>
              <w:jc w:val="center"/>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w:t>
            </w:r>
          </w:p>
        </w:tc>
        <w:tc>
          <w:tcPr>
            <w:tcW w:w="6062" w:type="dxa"/>
            <w:tcBorders>
              <w:bottom w:val="single" w:color="auto" w:sz="4" w:space="0"/>
              <w:right w:val="single" w:color="auto" w:sz="4" w:space="0"/>
            </w:tcBorders>
            <w:vAlign w:val="center"/>
          </w:tcPr>
          <w:p w14:paraId="5741B98C">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color w:val="auto"/>
                <w:sz w:val="24"/>
                <w:szCs w:val="24"/>
                <w:highlight w:val="none"/>
                <w:lang w:val="en" w:eastAsia="zh-CN" w:bidi="ar"/>
              </w:rPr>
            </w:pPr>
          </w:p>
        </w:tc>
      </w:tr>
      <w:tr w14:paraId="795EE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8278" w:type="dxa"/>
            <w:gridSpan w:val="3"/>
            <w:vAlign w:val="center"/>
          </w:tcPr>
          <w:p w14:paraId="0C65BEDB">
            <w:pPr>
              <w:pageBreakBefore w:val="0"/>
              <w:kinsoku/>
              <w:wordWrap/>
              <w:overflowPunct/>
              <w:topLinePunct w:val="0"/>
              <w:bidi w:val="0"/>
              <w:spacing w:after="0" w:line="560" w:lineRule="exact"/>
              <w:ind w:firstLine="0" w:firstLineChars="0"/>
              <w:jc w:val="both"/>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要求：</w:t>
            </w:r>
            <w:r>
              <w:rPr>
                <w:rFonts w:hint="eastAsia" w:asciiTheme="minorEastAsia" w:hAnsiTheme="minorEastAsia" w:eastAsiaTheme="minorEastAsia" w:cstheme="minorEastAsia"/>
                <w:color w:val="auto"/>
                <w:sz w:val="24"/>
                <w:szCs w:val="24"/>
                <w:highlight w:val="none"/>
                <w:lang w:val="en-US" w:eastAsia="zh-CN" w:bidi="ar"/>
              </w:rPr>
              <w:t>符合法定用工年龄。</w:t>
            </w:r>
          </w:p>
        </w:tc>
      </w:tr>
    </w:tbl>
    <w:p w14:paraId="23E8DD79">
      <w:pPr>
        <w:pageBreakBefore w:val="0"/>
        <w:widowControl w:val="0"/>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US" w:eastAsia="zh-CN"/>
        </w:rPr>
        <w:t>6.2 供应商</w:t>
      </w:r>
      <w:r>
        <w:rPr>
          <w:rFonts w:hint="eastAsia" w:ascii="宋体" w:hAnsi="宋体" w:eastAsia="宋体" w:cs="宋体"/>
          <w:color w:val="auto"/>
          <w:spacing w:val="0"/>
          <w:position w:val="0"/>
          <w:sz w:val="24"/>
          <w:szCs w:val="24"/>
          <w:lang w:val="en" w:eastAsia="zh-CN"/>
        </w:rPr>
        <w:t>在项目的实际实施过程中应严格按照“</w:t>
      </w:r>
      <w:r>
        <w:rPr>
          <w:rFonts w:hint="eastAsia" w:ascii="宋体" w:hAnsi="宋体" w:eastAsia="宋体" w:cs="宋体"/>
          <w:color w:val="auto"/>
          <w:spacing w:val="0"/>
          <w:position w:val="0"/>
          <w:sz w:val="24"/>
          <w:szCs w:val="24"/>
          <w:lang w:val="en-US" w:eastAsia="zh-CN"/>
        </w:rPr>
        <w:t xml:space="preserve">6.1 </w:t>
      </w:r>
      <w:r>
        <w:rPr>
          <w:rFonts w:hint="eastAsia" w:ascii="宋体" w:hAnsi="宋体" w:eastAsia="宋体" w:cs="宋体"/>
          <w:color w:val="auto"/>
          <w:spacing w:val="0"/>
          <w:position w:val="0"/>
          <w:sz w:val="24"/>
          <w:szCs w:val="24"/>
          <w:lang w:val="en" w:eastAsia="zh-CN"/>
        </w:rPr>
        <w:t>最低人员配置需求”</w:t>
      </w:r>
      <w:r>
        <w:rPr>
          <w:rFonts w:hint="eastAsia" w:ascii="宋体" w:hAnsi="宋体" w:eastAsia="宋体" w:cs="宋体"/>
          <w:color w:val="auto"/>
          <w:spacing w:val="0"/>
          <w:position w:val="0"/>
          <w:sz w:val="24"/>
          <w:szCs w:val="24"/>
          <w:lang w:val="en-US" w:eastAsia="zh-CN"/>
        </w:rPr>
        <w:t>配</w:t>
      </w:r>
      <w:r>
        <w:rPr>
          <w:rFonts w:hint="eastAsia" w:ascii="宋体" w:hAnsi="宋体" w:eastAsia="宋体" w:cs="宋体"/>
          <w:color w:val="auto"/>
          <w:spacing w:val="0"/>
          <w:position w:val="0"/>
          <w:sz w:val="24"/>
          <w:szCs w:val="24"/>
          <w:lang w:val="en" w:eastAsia="zh-CN"/>
        </w:rPr>
        <w:t>置的</w:t>
      </w:r>
      <w:r>
        <w:rPr>
          <w:rFonts w:hint="eastAsia" w:ascii="宋体" w:hAnsi="宋体" w:eastAsia="宋体" w:cs="宋体"/>
          <w:color w:val="auto"/>
          <w:spacing w:val="0"/>
          <w:position w:val="0"/>
          <w:sz w:val="24"/>
          <w:szCs w:val="24"/>
          <w:lang w:val="en-US" w:eastAsia="zh-CN"/>
        </w:rPr>
        <w:t>岗位及</w:t>
      </w:r>
      <w:r>
        <w:rPr>
          <w:rFonts w:hint="eastAsia" w:ascii="宋体" w:hAnsi="宋体" w:eastAsia="宋体" w:cs="宋体"/>
          <w:color w:val="auto"/>
          <w:spacing w:val="0"/>
          <w:position w:val="0"/>
          <w:sz w:val="24"/>
          <w:szCs w:val="24"/>
          <w:lang w:val="en" w:eastAsia="zh-CN"/>
        </w:rPr>
        <w:t>人员数量履约，如有更换需提前征得采购</w:t>
      </w:r>
      <w:r>
        <w:rPr>
          <w:rFonts w:hint="eastAsia" w:ascii="宋体" w:hAnsi="宋体" w:eastAsia="宋体" w:cs="宋体"/>
          <w:color w:val="auto"/>
          <w:spacing w:val="0"/>
          <w:position w:val="0"/>
          <w:sz w:val="24"/>
          <w:szCs w:val="24"/>
          <w:lang w:val="en-US" w:eastAsia="zh-CN"/>
        </w:rPr>
        <w:t>人</w:t>
      </w:r>
      <w:r>
        <w:rPr>
          <w:rFonts w:hint="eastAsia" w:ascii="宋体" w:hAnsi="宋体" w:eastAsia="宋体" w:cs="宋体"/>
          <w:color w:val="auto"/>
          <w:spacing w:val="0"/>
          <w:position w:val="0"/>
          <w:sz w:val="24"/>
          <w:szCs w:val="24"/>
          <w:lang w:val="en" w:eastAsia="zh-CN"/>
        </w:rPr>
        <w:t>同意。</w:t>
      </w:r>
      <w:r>
        <w:rPr>
          <w:rFonts w:hint="eastAsia" w:ascii="宋体" w:hAnsi="宋体" w:eastAsia="宋体" w:cs="宋体"/>
          <w:color w:val="auto"/>
          <w:spacing w:val="0"/>
          <w:position w:val="0"/>
          <w:sz w:val="24"/>
          <w:szCs w:val="24"/>
          <w:lang w:val="en-US" w:eastAsia="zh-CN"/>
        </w:rPr>
        <w:t>供应商</w:t>
      </w:r>
      <w:r>
        <w:rPr>
          <w:rFonts w:hint="eastAsia" w:ascii="宋体" w:hAnsi="宋体" w:eastAsia="宋体" w:cs="宋体"/>
          <w:color w:val="auto"/>
          <w:spacing w:val="0"/>
          <w:position w:val="0"/>
          <w:sz w:val="24"/>
          <w:szCs w:val="24"/>
          <w:lang w:val="en" w:eastAsia="zh-CN"/>
        </w:rPr>
        <w:t>擅自更改人员及减少人员的，采购</w:t>
      </w:r>
      <w:r>
        <w:rPr>
          <w:rFonts w:hint="eastAsia" w:ascii="宋体" w:hAnsi="宋体" w:eastAsia="宋体" w:cs="宋体"/>
          <w:color w:val="auto"/>
          <w:spacing w:val="0"/>
          <w:position w:val="0"/>
          <w:sz w:val="24"/>
          <w:szCs w:val="24"/>
          <w:lang w:val="en-US" w:eastAsia="zh-CN"/>
        </w:rPr>
        <w:t>人</w:t>
      </w:r>
      <w:r>
        <w:rPr>
          <w:rFonts w:hint="eastAsia" w:ascii="宋体" w:hAnsi="宋体" w:eastAsia="宋体" w:cs="宋体"/>
          <w:color w:val="auto"/>
          <w:spacing w:val="0"/>
          <w:position w:val="0"/>
          <w:sz w:val="24"/>
          <w:szCs w:val="24"/>
          <w:lang w:val="en" w:eastAsia="zh-CN"/>
        </w:rPr>
        <w:t>有权对</w:t>
      </w:r>
      <w:r>
        <w:rPr>
          <w:rFonts w:hint="eastAsia" w:ascii="宋体" w:hAnsi="宋体" w:eastAsia="宋体" w:cs="宋体"/>
          <w:color w:val="auto"/>
          <w:spacing w:val="0"/>
          <w:position w:val="0"/>
          <w:sz w:val="24"/>
          <w:szCs w:val="24"/>
          <w:lang w:val="en-US" w:eastAsia="zh-CN"/>
        </w:rPr>
        <w:t>供应商</w:t>
      </w:r>
      <w:r>
        <w:rPr>
          <w:rFonts w:hint="eastAsia" w:ascii="宋体" w:hAnsi="宋体" w:eastAsia="宋体" w:cs="宋体"/>
          <w:color w:val="auto"/>
          <w:spacing w:val="0"/>
          <w:position w:val="0"/>
          <w:sz w:val="24"/>
          <w:szCs w:val="24"/>
          <w:lang w:val="en" w:eastAsia="zh-CN"/>
        </w:rPr>
        <w:t>给予相应的经济处罚。</w:t>
      </w:r>
    </w:p>
    <w:p w14:paraId="7F70DFE4">
      <w:pPr>
        <w:pageBreakBefore w:val="0"/>
        <w:widowControl w:val="0"/>
        <w:wordWrap/>
        <w:overflowPunct/>
        <w:topLinePunct w:val="0"/>
        <w:bidi w:val="0"/>
        <w:spacing w:line="360" w:lineRule="auto"/>
        <w:ind w:firstLine="480" w:firstLineChars="200"/>
        <w:rPr>
          <w:rFonts w:hint="eastAsia" w:ascii="宋体" w:hAnsi="宋体" w:eastAsia="宋体" w:cs="宋体"/>
          <w:b/>
          <w:bCs/>
          <w:color w:val="auto"/>
          <w:spacing w:val="0"/>
          <w:position w:val="0"/>
          <w:sz w:val="24"/>
          <w:szCs w:val="24"/>
          <w:lang w:val="en" w:eastAsia="zh-CN"/>
        </w:rPr>
      </w:pPr>
      <w:r>
        <w:rPr>
          <w:rFonts w:hint="eastAsia" w:ascii="宋体" w:hAnsi="宋体" w:eastAsia="宋体" w:cs="宋体"/>
          <w:color w:val="auto"/>
          <w:spacing w:val="0"/>
          <w:position w:val="0"/>
          <w:sz w:val="24"/>
          <w:szCs w:val="24"/>
          <w:lang w:val="en-US" w:eastAsia="zh-CN"/>
        </w:rPr>
        <w:t>6.3 供应商</w:t>
      </w:r>
      <w:r>
        <w:rPr>
          <w:rFonts w:hint="eastAsia" w:ascii="宋体" w:hAnsi="宋体" w:eastAsia="宋体" w:cs="宋体"/>
          <w:color w:val="auto"/>
          <w:spacing w:val="0"/>
          <w:position w:val="0"/>
          <w:sz w:val="24"/>
          <w:szCs w:val="24"/>
          <w:lang w:val="en" w:eastAsia="zh-CN"/>
        </w:rPr>
        <w:t>必须依照《中华人民共和国劳动合同法》、《社会保险法》、《社会保险费征缴条例》等法律法规和所在地区劳动用工规定进行合法用工</w:t>
      </w:r>
      <w:r>
        <w:rPr>
          <w:rFonts w:hint="eastAsia" w:ascii="宋体" w:hAnsi="宋体" w:eastAsia="宋体" w:cs="宋体"/>
          <w:color w:val="auto"/>
          <w:spacing w:val="0"/>
          <w:position w:val="0"/>
          <w:sz w:val="24"/>
          <w:szCs w:val="24"/>
          <w:lang w:val="en-US" w:eastAsia="zh-CN"/>
        </w:rPr>
        <w:t>与</w:t>
      </w:r>
      <w:r>
        <w:rPr>
          <w:rFonts w:hint="eastAsia" w:ascii="宋体" w:hAnsi="宋体" w:eastAsia="宋体" w:cs="宋体"/>
          <w:color w:val="auto"/>
          <w:spacing w:val="0"/>
          <w:position w:val="0"/>
          <w:sz w:val="24"/>
          <w:szCs w:val="24"/>
          <w:lang w:val="en" w:eastAsia="zh-CN"/>
        </w:rPr>
        <w:t>本项目所有服务人员签订劳动合同（</w:t>
      </w:r>
      <w:r>
        <w:rPr>
          <w:rFonts w:hint="eastAsia" w:ascii="宋体" w:hAnsi="宋体" w:eastAsia="宋体" w:cs="宋体"/>
          <w:color w:val="auto"/>
          <w:spacing w:val="0"/>
          <w:position w:val="0"/>
          <w:sz w:val="24"/>
          <w:szCs w:val="24"/>
          <w:lang w:val="en-US" w:eastAsia="zh-CN"/>
        </w:rPr>
        <w:t>非劳务派遣合同）</w:t>
      </w:r>
      <w:r>
        <w:rPr>
          <w:rFonts w:hint="eastAsia" w:ascii="宋体" w:hAnsi="宋体" w:eastAsia="宋体" w:cs="宋体"/>
          <w:color w:val="auto"/>
          <w:spacing w:val="0"/>
          <w:position w:val="0"/>
          <w:sz w:val="24"/>
          <w:szCs w:val="24"/>
          <w:lang w:val="en" w:eastAsia="zh-CN"/>
        </w:rPr>
        <w:t>。本项目所有服务人员不得兼职，严格执行一人一岗。</w:t>
      </w:r>
      <w:r>
        <w:rPr>
          <w:rFonts w:hint="eastAsia" w:ascii="宋体" w:hAnsi="宋体" w:eastAsia="宋体" w:cs="宋体"/>
          <w:b/>
          <w:bCs/>
          <w:color w:val="auto"/>
          <w:spacing w:val="0"/>
          <w:position w:val="0"/>
          <w:sz w:val="24"/>
          <w:szCs w:val="24"/>
          <w:lang w:val="en-US" w:eastAsia="zh-CN"/>
        </w:rPr>
        <w:t>供应商</w:t>
      </w:r>
      <w:r>
        <w:rPr>
          <w:rFonts w:hint="eastAsia" w:ascii="宋体" w:hAnsi="宋体" w:eastAsia="宋体" w:cs="宋体"/>
          <w:b/>
          <w:bCs/>
          <w:color w:val="auto"/>
          <w:spacing w:val="0"/>
          <w:position w:val="0"/>
          <w:sz w:val="24"/>
          <w:szCs w:val="24"/>
          <w:lang w:val="en" w:eastAsia="zh-CN"/>
        </w:rPr>
        <w:t>必须为所有服务人员依法缴纳</w:t>
      </w:r>
      <w:r>
        <w:rPr>
          <w:rFonts w:hint="eastAsia" w:ascii="宋体" w:hAnsi="宋体" w:eastAsia="宋体" w:cs="宋体"/>
          <w:b/>
          <w:bCs/>
          <w:color w:val="auto"/>
          <w:spacing w:val="0"/>
          <w:position w:val="0"/>
          <w:sz w:val="24"/>
          <w:szCs w:val="24"/>
          <w:lang w:val="en-US" w:eastAsia="zh-CN"/>
        </w:rPr>
        <w:t>全年</w:t>
      </w:r>
      <w:r>
        <w:rPr>
          <w:rFonts w:hint="eastAsia" w:ascii="宋体" w:hAnsi="宋体" w:eastAsia="宋体" w:cs="宋体"/>
          <w:b/>
          <w:bCs/>
          <w:color w:val="auto"/>
          <w:spacing w:val="0"/>
          <w:position w:val="0"/>
          <w:sz w:val="24"/>
          <w:szCs w:val="24"/>
          <w:lang w:val="en" w:eastAsia="zh-CN"/>
        </w:rPr>
        <w:t>社会保险（含养老、工伤、失业和医疗(基本医疗、生育、大病)）</w:t>
      </w:r>
      <w:r>
        <w:rPr>
          <w:rFonts w:hint="eastAsia" w:ascii="宋体" w:hAnsi="宋体" w:eastAsia="宋体" w:cs="宋体"/>
          <w:b/>
          <w:bCs/>
          <w:color w:val="auto"/>
          <w:spacing w:val="0"/>
          <w:position w:val="0"/>
          <w:sz w:val="24"/>
          <w:szCs w:val="24"/>
          <w:lang w:val="en-US" w:eastAsia="zh-CN"/>
        </w:rPr>
        <w:t>。</w:t>
      </w:r>
    </w:p>
    <w:p w14:paraId="1EC01561">
      <w:pPr>
        <w:pageBreakBefore w:val="0"/>
        <w:widowControl w:val="0"/>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6.4 对上述“6.1 最低人员配置需求”中所涉及的证书、工作经验证明材料、岗位要求等证明材料，供应商谈判阶段无需提供材料仅需作出实质性响应即可。供应商成交后、正式签订采购合同前，须在采购人规定时限内提交“6.1 最低人员配置需求”中所涉及的证书、工作经验证明材料、岗位要求等证明材料至采购人进行审查。成交供应商完全符合谈判时的承诺方可签订合同。否则，采购人有权拒绝签订合同，并上报至同级财政部门按《政府采购法》第七十七条处理。</w:t>
      </w:r>
    </w:p>
    <w:p w14:paraId="05CF2C77">
      <w:pPr>
        <w:pageBreakBefore w:val="0"/>
        <w:widowControl w:val="0"/>
        <w:wordWrap/>
        <w:overflowPunct/>
        <w:topLinePunct w:val="0"/>
        <w:bidi w:val="0"/>
        <w:spacing w:line="360" w:lineRule="auto"/>
        <w:ind w:firstLine="480" w:firstLineChars="200"/>
        <w:rPr>
          <w:rFonts w:hint="eastAsia" w:ascii="宋体" w:hAnsi="宋体" w:eastAsia="宋体" w:cs="宋体"/>
          <w:color w:val="auto"/>
          <w:spacing w:val="0"/>
          <w:position w:val="0"/>
          <w:sz w:val="24"/>
          <w:szCs w:val="24"/>
          <w:highlight w:val="none"/>
          <w:lang w:val="en" w:eastAsia="zh-CN"/>
        </w:rPr>
      </w:pPr>
      <w:r>
        <w:rPr>
          <w:rFonts w:hint="eastAsia" w:ascii="宋体" w:hAnsi="宋体" w:eastAsia="宋体" w:cs="宋体"/>
          <w:color w:val="auto"/>
          <w:spacing w:val="0"/>
          <w:position w:val="0"/>
          <w:sz w:val="24"/>
          <w:szCs w:val="24"/>
          <w:highlight w:val="none"/>
          <w:lang w:val="en-US" w:eastAsia="zh-CN"/>
        </w:rPr>
        <w:t>6.5 成交</w:t>
      </w:r>
      <w:r>
        <w:rPr>
          <w:rFonts w:hint="eastAsia" w:ascii="宋体" w:hAnsi="宋体" w:eastAsia="宋体" w:cs="宋体"/>
          <w:color w:val="auto"/>
          <w:spacing w:val="0"/>
          <w:position w:val="0"/>
          <w:sz w:val="24"/>
          <w:szCs w:val="24"/>
          <w:highlight w:val="none"/>
          <w:lang w:val="en" w:eastAsia="zh-CN"/>
        </w:rPr>
        <w:t>后，在签订合同时必须列出全部服务人员名单，人员人数及岗位不得低于“</w:t>
      </w:r>
      <w:r>
        <w:rPr>
          <w:rFonts w:hint="eastAsia" w:ascii="宋体" w:hAnsi="宋体" w:eastAsia="宋体" w:cs="宋体"/>
          <w:color w:val="auto"/>
          <w:spacing w:val="0"/>
          <w:position w:val="0"/>
          <w:sz w:val="24"/>
          <w:szCs w:val="24"/>
          <w:highlight w:val="none"/>
          <w:lang w:val="en-US" w:eastAsia="zh-CN"/>
        </w:rPr>
        <w:t xml:space="preserve">6.1 </w:t>
      </w:r>
      <w:r>
        <w:rPr>
          <w:rFonts w:hint="eastAsia" w:ascii="宋体" w:hAnsi="宋体" w:eastAsia="宋体" w:cs="宋体"/>
          <w:color w:val="auto"/>
          <w:spacing w:val="0"/>
          <w:position w:val="0"/>
          <w:sz w:val="24"/>
          <w:szCs w:val="24"/>
          <w:highlight w:val="none"/>
          <w:lang w:val="en" w:eastAsia="zh-CN"/>
        </w:rPr>
        <w:t>最低人员配置需求”，并作为合同的主要组成部分。</w:t>
      </w:r>
    </w:p>
    <w:p w14:paraId="7924CA96">
      <w:pPr>
        <w:pageBreakBefore w:val="0"/>
        <w:widowControl w:val="0"/>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US" w:eastAsia="zh-CN"/>
        </w:rPr>
        <w:t xml:space="preserve">6.6 </w:t>
      </w:r>
      <w:r>
        <w:rPr>
          <w:rFonts w:hint="eastAsia" w:ascii="宋体" w:hAnsi="宋体" w:eastAsia="宋体" w:cs="宋体"/>
          <w:color w:val="auto"/>
          <w:spacing w:val="0"/>
          <w:position w:val="0"/>
          <w:sz w:val="24"/>
          <w:szCs w:val="24"/>
          <w:lang w:val="en" w:eastAsia="zh-CN"/>
        </w:rPr>
        <w:t>服务过程，</w:t>
      </w:r>
      <w:r>
        <w:rPr>
          <w:rFonts w:hint="eastAsia" w:ascii="宋体" w:hAnsi="宋体" w:eastAsia="宋体" w:cs="宋体"/>
          <w:color w:val="auto"/>
          <w:spacing w:val="0"/>
          <w:position w:val="0"/>
          <w:sz w:val="24"/>
          <w:szCs w:val="24"/>
          <w:lang w:val="en-US" w:eastAsia="zh-CN"/>
        </w:rPr>
        <w:t>成交供应商</w:t>
      </w:r>
      <w:r>
        <w:rPr>
          <w:rFonts w:hint="eastAsia" w:ascii="宋体" w:hAnsi="宋体" w:eastAsia="宋体" w:cs="宋体"/>
          <w:color w:val="auto"/>
          <w:spacing w:val="0"/>
          <w:position w:val="0"/>
          <w:sz w:val="24"/>
          <w:szCs w:val="24"/>
          <w:lang w:val="en" w:eastAsia="zh-CN"/>
        </w:rPr>
        <w:t>更换“物业经理、会务人员”需经采购人同意，未经许可擅自更换，处每人次3000元的罚款；</w:t>
      </w:r>
    </w:p>
    <w:p w14:paraId="3938CA45">
      <w:pPr>
        <w:pageBreakBefore w:val="0"/>
        <w:widowControl w:val="0"/>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US" w:eastAsia="zh-CN"/>
        </w:rPr>
        <w:t>6.7 成交供应商</w:t>
      </w:r>
      <w:r>
        <w:rPr>
          <w:rFonts w:hint="eastAsia" w:ascii="宋体" w:hAnsi="宋体" w:eastAsia="宋体" w:cs="宋体"/>
          <w:color w:val="auto"/>
          <w:spacing w:val="0"/>
          <w:position w:val="0"/>
          <w:sz w:val="24"/>
          <w:szCs w:val="24"/>
          <w:lang w:val="en" w:eastAsia="zh-CN"/>
        </w:rPr>
        <w:t>派驻的服务（含管理）人员不能满意采购人需要的，采购人有权要求</w:t>
      </w:r>
      <w:r>
        <w:rPr>
          <w:rFonts w:hint="eastAsia" w:ascii="宋体" w:hAnsi="宋体" w:eastAsia="宋体" w:cs="宋体"/>
          <w:color w:val="auto"/>
          <w:spacing w:val="0"/>
          <w:position w:val="0"/>
          <w:sz w:val="24"/>
          <w:szCs w:val="24"/>
          <w:lang w:val="en-US" w:eastAsia="zh-CN"/>
        </w:rPr>
        <w:t>成交供应商</w:t>
      </w:r>
      <w:r>
        <w:rPr>
          <w:rFonts w:hint="eastAsia" w:ascii="宋体" w:hAnsi="宋体" w:eastAsia="宋体" w:cs="宋体"/>
          <w:color w:val="auto"/>
          <w:spacing w:val="0"/>
          <w:position w:val="0"/>
          <w:sz w:val="24"/>
          <w:szCs w:val="24"/>
          <w:lang w:val="en" w:eastAsia="zh-CN"/>
        </w:rPr>
        <w:t>更换人员，</w:t>
      </w:r>
      <w:r>
        <w:rPr>
          <w:rFonts w:hint="eastAsia" w:ascii="宋体" w:hAnsi="宋体" w:eastAsia="宋体" w:cs="宋体"/>
          <w:color w:val="auto"/>
          <w:spacing w:val="0"/>
          <w:position w:val="0"/>
          <w:sz w:val="24"/>
          <w:szCs w:val="24"/>
          <w:lang w:val="en-US" w:eastAsia="zh-CN"/>
        </w:rPr>
        <w:t>成交供应商</w:t>
      </w:r>
      <w:r>
        <w:rPr>
          <w:rFonts w:hint="eastAsia" w:ascii="宋体" w:hAnsi="宋体" w:eastAsia="宋体" w:cs="宋体"/>
          <w:color w:val="auto"/>
          <w:spacing w:val="0"/>
          <w:position w:val="0"/>
          <w:sz w:val="24"/>
          <w:szCs w:val="24"/>
          <w:lang w:val="en" w:eastAsia="zh-CN"/>
        </w:rPr>
        <w:t>要积极配合，按采购人提出的要求更换，</w:t>
      </w:r>
      <w:r>
        <w:rPr>
          <w:rFonts w:hint="eastAsia" w:ascii="宋体" w:hAnsi="宋体" w:eastAsia="宋体" w:cs="宋体"/>
          <w:color w:val="auto"/>
          <w:spacing w:val="0"/>
          <w:position w:val="0"/>
          <w:sz w:val="24"/>
          <w:szCs w:val="24"/>
          <w:lang w:val="en-US" w:eastAsia="zh-CN"/>
        </w:rPr>
        <w:t>成交供应商</w:t>
      </w:r>
      <w:r>
        <w:rPr>
          <w:rFonts w:hint="eastAsia" w:ascii="宋体" w:hAnsi="宋体" w:eastAsia="宋体" w:cs="宋体"/>
          <w:color w:val="auto"/>
          <w:spacing w:val="0"/>
          <w:position w:val="0"/>
          <w:sz w:val="24"/>
          <w:szCs w:val="24"/>
          <w:lang w:val="en" w:eastAsia="zh-CN"/>
        </w:rPr>
        <w:t>提供的更换人选的素质不低于</w:t>
      </w:r>
      <w:r>
        <w:rPr>
          <w:rFonts w:hint="eastAsia" w:ascii="宋体" w:hAnsi="宋体" w:eastAsia="宋体" w:cs="宋体"/>
          <w:color w:val="auto"/>
          <w:spacing w:val="0"/>
          <w:position w:val="0"/>
          <w:sz w:val="24"/>
          <w:szCs w:val="24"/>
          <w:lang w:val="en-US" w:eastAsia="zh-CN"/>
        </w:rPr>
        <w:t>谈判</w:t>
      </w:r>
      <w:r>
        <w:rPr>
          <w:rFonts w:hint="eastAsia" w:ascii="宋体" w:hAnsi="宋体" w:eastAsia="宋体" w:cs="宋体"/>
          <w:color w:val="auto"/>
          <w:spacing w:val="0"/>
          <w:position w:val="0"/>
          <w:sz w:val="24"/>
          <w:szCs w:val="24"/>
          <w:lang w:val="en" w:eastAsia="zh-CN"/>
        </w:rPr>
        <w:t>时对应人员素质（经验、职称，技能等），符合要求的更换人员必须在 7 个工作日内到位。否则按缺员处罚。</w:t>
      </w:r>
    </w:p>
    <w:p w14:paraId="3085A438">
      <w:pPr>
        <w:pageBreakBefore w:val="0"/>
        <w:widowControl w:val="0"/>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US" w:eastAsia="zh-CN"/>
        </w:rPr>
        <w:t>6.8 成交供应商</w:t>
      </w:r>
      <w:r>
        <w:rPr>
          <w:rFonts w:hint="eastAsia" w:ascii="宋体" w:hAnsi="宋体" w:eastAsia="宋体" w:cs="宋体"/>
          <w:color w:val="auto"/>
          <w:spacing w:val="0"/>
          <w:position w:val="0"/>
          <w:sz w:val="24"/>
          <w:szCs w:val="24"/>
          <w:lang w:val="en" w:eastAsia="zh-CN"/>
        </w:rPr>
        <w:t>招聘的服务人员须持有身份证、健康证</w:t>
      </w:r>
      <w:r>
        <w:rPr>
          <w:rFonts w:hint="eastAsia" w:ascii="宋体" w:hAnsi="宋体" w:eastAsia="宋体" w:cs="宋体"/>
          <w:color w:val="auto"/>
          <w:spacing w:val="0"/>
          <w:position w:val="0"/>
          <w:sz w:val="24"/>
          <w:szCs w:val="24"/>
          <w:lang w:val="en-US" w:eastAsia="zh-CN"/>
        </w:rPr>
        <w:t>；</w:t>
      </w:r>
      <w:r>
        <w:rPr>
          <w:rFonts w:hint="eastAsia" w:ascii="宋体" w:hAnsi="宋体" w:eastAsia="宋体" w:cs="宋体"/>
          <w:color w:val="auto"/>
          <w:spacing w:val="0"/>
          <w:position w:val="0"/>
          <w:sz w:val="24"/>
          <w:szCs w:val="24"/>
          <w:lang w:val="en" w:eastAsia="zh-CN"/>
        </w:rPr>
        <w:t>国家有准入要求的岗位人员，必须按国家要求配置满足相关资格要求的人员，相关资格考试、培训等费用由成交供应商承担。因成交供应商配置的服务人员不符合国家要求的资格要求，造成采购人被相关管理部门处罚的，由成交供应商赔偿采购人的一切损失，并接受采购人的处罚。</w:t>
      </w:r>
    </w:p>
    <w:p w14:paraId="260F790A">
      <w:pPr>
        <w:pageBreakBefore w:val="0"/>
        <w:widowControl w:val="0"/>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US" w:eastAsia="zh-CN"/>
        </w:rPr>
        <w:t xml:space="preserve">6.9 </w:t>
      </w:r>
      <w:r>
        <w:rPr>
          <w:rFonts w:hint="eastAsia" w:ascii="宋体" w:hAnsi="宋体" w:eastAsia="宋体" w:cs="宋体"/>
          <w:color w:val="auto"/>
          <w:spacing w:val="0"/>
          <w:position w:val="0"/>
          <w:sz w:val="24"/>
          <w:szCs w:val="24"/>
          <w:lang w:val="en" w:eastAsia="zh-CN"/>
        </w:rPr>
        <w:t>物业服务过程中精神状态良好、表情自然、举止大方、语言文明；主动、热情、耐心、周到；统一着装、佩戴标志，仪表仪容整洁端庄。</w:t>
      </w:r>
    </w:p>
    <w:p w14:paraId="178A0FF9">
      <w:pPr>
        <w:pageBreakBefore w:val="0"/>
        <w:widowControl w:val="0"/>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 w:eastAsia="zh-CN"/>
        </w:rPr>
      </w:pPr>
      <w:r>
        <w:rPr>
          <w:rFonts w:hint="default" w:ascii="宋体" w:hAnsi="宋体" w:eastAsia="宋体" w:cs="宋体"/>
          <w:color w:val="auto"/>
          <w:spacing w:val="0"/>
          <w:position w:val="0"/>
          <w:sz w:val="24"/>
          <w:szCs w:val="24"/>
          <w:lang w:val="en-US" w:eastAsia="zh-CN"/>
        </w:rPr>
        <mc:AlternateContent>
          <mc:Choice Requires="wps">
            <w:drawing>
              <wp:anchor distT="0" distB="0" distL="114300" distR="114300" simplePos="0" relativeHeight="251662336" behindDoc="1" locked="0" layoutInCell="1" allowOverlap="1">
                <wp:simplePos x="0" y="0"/>
                <wp:positionH relativeFrom="page">
                  <wp:posOffset>0</wp:posOffset>
                </wp:positionH>
                <wp:positionV relativeFrom="page">
                  <wp:posOffset>9913620</wp:posOffset>
                </wp:positionV>
                <wp:extent cx="5203825" cy="147955"/>
                <wp:effectExtent l="0" t="0" r="0" b="0"/>
                <wp:wrapNone/>
                <wp:docPr id="8" name="文本框 8"/>
                <wp:cNvGraphicFramePr/>
                <a:graphic xmlns:a="http://schemas.openxmlformats.org/drawingml/2006/main">
                  <a:graphicData uri="http://schemas.microsoft.com/office/word/2010/wordprocessingShape">
                    <wps:wsp>
                      <wps:cNvSpPr txBox="1">
                        <a:spLocks noChangeArrowheads="1"/>
                      </wps:cNvSpPr>
                      <wps:spPr bwMode="auto">
                        <a:xfrm>
                          <a:off x="0" y="0"/>
                          <a:ext cx="5203825" cy="147955"/>
                        </a:xfrm>
                        <a:prstGeom prst="rect">
                          <a:avLst/>
                        </a:prstGeom>
                        <a:noFill/>
                        <a:ln>
                          <a:noFill/>
                        </a:ln>
                        <a:effectLst/>
                      </wps:spPr>
                      <wps:txbx>
                        <w:txbxContent>
                          <w:p w14:paraId="7209A7C9">
                            <w:pPr>
                              <w:spacing w:line="208" w:lineRule="exact"/>
                              <w:ind w:right="2193"/>
                              <w:jc w:val="right"/>
                              <w:rPr>
                                <w:sz w:val="18"/>
                              </w:rPr>
                            </w:pPr>
                          </w:p>
                        </w:txbxContent>
                      </wps:txbx>
                      <wps:bodyPr rot="0" vert="horz" wrap="square" lIns="0" tIns="0" rIns="0" bIns="0" anchor="t" anchorCtr="0" upright="1">
                        <a:noAutofit/>
                      </wps:bodyPr>
                    </wps:wsp>
                  </a:graphicData>
                </a:graphic>
              </wp:anchor>
            </w:drawing>
          </mc:Choice>
          <mc:Fallback>
            <w:pict>
              <v:shape id="_x0000_s1026" o:spid="_x0000_s1026" o:spt="202" type="#_x0000_t202" style="position:absolute;left:0pt;margin-left:0pt;margin-top:780.6pt;height:11.65pt;width:409.75pt;mso-position-horizontal-relative:page;mso-position-vertical-relative:page;z-index:-251654144;mso-width-relative:page;mso-height-relative:page;" filled="f" stroked="f" coordsize="21600,21600" o:gfxdata="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rYvsw2AAAAAoBAAAPAAAAAAAA&#10;AAEAIAAAACIAAABkcnMvZG93bnJldi54bWxQSwECFAAUAAAACACHTuJAAnN7jhICAAATBAAADgAA&#10;AAAAAAABACAAAAAnAQAAZHJzL2Uyb0RvYy54bWxQSwUGAAAAAAYABgBZAQAAqwUAAAAA&#10;">
                <v:fill on="f" focussize="0,0"/>
                <v:stroke on="f"/>
                <v:imagedata o:title=""/>
                <o:lock v:ext="edit" aspectratio="f"/>
                <v:textbox inset="0mm,0mm,0mm,0mm">
                  <w:txbxContent>
                    <w:p w14:paraId="7209A7C9">
                      <w:pPr>
                        <w:spacing w:line="208" w:lineRule="exact"/>
                        <w:ind w:right="2193"/>
                        <w:jc w:val="right"/>
                        <w:rPr>
                          <w:sz w:val="18"/>
                        </w:rPr>
                      </w:pPr>
                    </w:p>
                  </w:txbxContent>
                </v:textbox>
              </v:shape>
            </w:pict>
          </mc:Fallback>
        </mc:AlternateContent>
      </w:r>
      <w:r>
        <w:rPr>
          <w:rFonts w:hint="eastAsia" w:ascii="宋体" w:hAnsi="宋体" w:eastAsia="宋体" w:cs="宋体"/>
          <w:color w:val="auto"/>
          <w:spacing w:val="0"/>
          <w:position w:val="0"/>
          <w:sz w:val="24"/>
          <w:szCs w:val="24"/>
          <w:lang w:val="en-US" w:eastAsia="zh-CN"/>
        </w:rPr>
        <w:t xml:space="preserve">6.10 </w:t>
      </w:r>
      <w:r>
        <w:rPr>
          <w:rFonts w:hint="eastAsia" w:ascii="宋体" w:hAnsi="宋体" w:eastAsia="宋体" w:cs="宋体"/>
          <w:color w:val="auto"/>
          <w:spacing w:val="0"/>
          <w:position w:val="0"/>
          <w:sz w:val="24"/>
          <w:szCs w:val="24"/>
          <w:lang w:val="en" w:eastAsia="zh-CN"/>
        </w:rPr>
        <w:t>人员管理</w:t>
      </w:r>
    </w:p>
    <w:p w14:paraId="5FCE799B">
      <w:pPr>
        <w:pageBreakBefore w:val="0"/>
        <w:widowControl w:val="0"/>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（1）物业服务人员应及时、认真做好工作日志、交接班记录、账册等记录工作，做到字迹清晰、数据准确,向采购人有关部门定期报送数据、报送及时。</w:t>
      </w:r>
    </w:p>
    <w:p w14:paraId="7B6B6C85">
      <w:pPr>
        <w:pageBreakBefore w:val="0"/>
        <w:widowControl w:val="0"/>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2）物业服务人员应接受过相关专业技能的培训（物业人员上岗后应每年定期进行教育培训），掌握物业管理基本法律法规及采购人相关规章制度，熟悉的基本情况，能正确使用相关专用设备，合规处置出现的事件与问题。</w:t>
      </w:r>
    </w:p>
    <w:p w14:paraId="38D9044B">
      <w:pPr>
        <w:pageBreakBefore w:val="0"/>
        <w:widowControl w:val="0"/>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（3）对投诉对象（物业服务人员）经采购人核查属实的，并且采购人要求撤换的，</w:t>
      </w:r>
      <w:r>
        <w:rPr>
          <w:rFonts w:hint="eastAsia" w:ascii="宋体" w:hAnsi="宋体" w:eastAsia="宋体" w:cs="宋体"/>
          <w:color w:val="auto"/>
          <w:spacing w:val="0"/>
          <w:position w:val="0"/>
          <w:sz w:val="24"/>
          <w:szCs w:val="24"/>
          <w:lang w:val="en-US" w:eastAsia="zh-CN"/>
        </w:rPr>
        <w:t>成交供应商</w:t>
      </w:r>
      <w:r>
        <w:rPr>
          <w:rFonts w:hint="eastAsia" w:ascii="宋体" w:hAnsi="宋体" w:eastAsia="宋体" w:cs="宋体"/>
          <w:color w:val="auto"/>
          <w:spacing w:val="0"/>
          <w:position w:val="0"/>
          <w:sz w:val="24"/>
          <w:szCs w:val="24"/>
          <w:lang w:val="en" w:eastAsia="zh-CN"/>
        </w:rPr>
        <w:t>应在48小时内撤换。</w:t>
      </w:r>
    </w:p>
    <w:p w14:paraId="657DB037">
      <w:pPr>
        <w:pageBreakBefore w:val="0"/>
        <w:widowControl w:val="0"/>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 w:eastAsia="zh-CN"/>
        </w:rPr>
        <w:t>（4）物业服务人员须遵守采购人的有关规章制度，接受采购人治安管理与检查。</w:t>
      </w:r>
    </w:p>
    <w:p w14:paraId="08916E28">
      <w:pPr>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US" w:eastAsia="zh-CN"/>
        </w:rPr>
        <w:t xml:space="preserve">6.11 </w:t>
      </w:r>
      <w:r>
        <w:rPr>
          <w:rFonts w:hint="eastAsia" w:ascii="宋体" w:hAnsi="宋体" w:eastAsia="宋体" w:cs="宋体"/>
          <w:color w:val="auto"/>
          <w:spacing w:val="0"/>
          <w:position w:val="0"/>
          <w:sz w:val="24"/>
          <w:szCs w:val="24"/>
          <w:lang w:val="en" w:eastAsia="zh-CN"/>
        </w:rPr>
        <w:t>人员劳动报酬要求：</w:t>
      </w:r>
      <w:r>
        <w:rPr>
          <w:rFonts w:hint="eastAsia" w:ascii="宋体" w:hAnsi="宋体" w:eastAsia="宋体" w:cs="宋体"/>
          <w:color w:val="auto"/>
          <w:spacing w:val="0"/>
          <w:position w:val="0"/>
          <w:sz w:val="24"/>
          <w:szCs w:val="24"/>
          <w:lang w:val="en-US" w:eastAsia="zh-CN"/>
        </w:rPr>
        <w:t>成交供应商</w:t>
      </w:r>
      <w:r>
        <w:rPr>
          <w:rFonts w:hint="eastAsia" w:ascii="宋体" w:hAnsi="宋体" w:eastAsia="宋体" w:cs="宋体"/>
          <w:color w:val="auto"/>
          <w:spacing w:val="0"/>
          <w:position w:val="0"/>
          <w:sz w:val="24"/>
          <w:szCs w:val="24"/>
          <w:lang w:val="en" w:eastAsia="zh-CN"/>
        </w:rPr>
        <w:t>应按国家及省市劳动报酬相关法律法规和规定确定人员劳动报酬，包括</w:t>
      </w:r>
      <w:r>
        <w:rPr>
          <w:rFonts w:hint="eastAsia" w:ascii="宋体" w:hAnsi="宋体" w:eastAsia="宋体" w:cs="宋体"/>
          <w:color w:val="auto"/>
          <w:spacing w:val="0"/>
          <w:position w:val="0"/>
          <w:sz w:val="24"/>
          <w:szCs w:val="24"/>
          <w:lang w:val="en-US" w:eastAsia="zh-CN"/>
        </w:rPr>
        <w:t>基本</w:t>
      </w:r>
      <w:r>
        <w:rPr>
          <w:rFonts w:hint="eastAsia" w:ascii="宋体" w:hAnsi="宋体" w:eastAsia="宋体" w:cs="宋体"/>
          <w:color w:val="auto"/>
          <w:spacing w:val="0"/>
          <w:position w:val="0"/>
          <w:sz w:val="24"/>
          <w:szCs w:val="24"/>
          <w:lang w:val="en" w:eastAsia="zh-CN"/>
        </w:rPr>
        <w:t>工资、社会保险费、福利费、法定节假日</w:t>
      </w:r>
      <w:r>
        <w:rPr>
          <w:rFonts w:hint="eastAsia" w:ascii="宋体" w:hAnsi="宋体" w:eastAsia="宋体" w:cs="宋体"/>
          <w:color w:val="auto"/>
          <w:spacing w:val="0"/>
          <w:position w:val="0"/>
          <w:sz w:val="24"/>
          <w:szCs w:val="24"/>
          <w:lang w:val="en-US" w:eastAsia="zh-CN"/>
        </w:rPr>
        <w:t>加班费</w:t>
      </w:r>
      <w:r>
        <w:rPr>
          <w:rFonts w:hint="eastAsia" w:ascii="宋体" w:hAnsi="宋体" w:eastAsia="宋体" w:cs="宋体"/>
          <w:color w:val="auto"/>
          <w:spacing w:val="0"/>
          <w:position w:val="0"/>
          <w:sz w:val="24"/>
          <w:szCs w:val="24"/>
          <w:lang w:val="en" w:eastAsia="zh-CN"/>
        </w:rPr>
        <w:t>、伙食补助费、</w:t>
      </w:r>
      <w:r>
        <w:rPr>
          <w:rFonts w:hint="eastAsia" w:ascii="宋体" w:hAnsi="宋体" w:eastAsia="宋体" w:cs="宋体"/>
          <w:color w:val="auto"/>
          <w:spacing w:val="0"/>
          <w:position w:val="0"/>
          <w:sz w:val="24"/>
          <w:szCs w:val="24"/>
          <w:lang w:val="en-US" w:eastAsia="zh-CN"/>
        </w:rPr>
        <w:t>高温补贴费</w:t>
      </w:r>
      <w:r>
        <w:rPr>
          <w:rFonts w:hint="eastAsia" w:ascii="宋体" w:hAnsi="宋体" w:eastAsia="宋体" w:cs="宋体"/>
          <w:color w:val="auto"/>
          <w:spacing w:val="0"/>
          <w:position w:val="0"/>
          <w:sz w:val="24"/>
          <w:szCs w:val="24"/>
          <w:lang w:val="en" w:eastAsia="zh-CN"/>
        </w:rPr>
        <w:t>等各项法定必须支付给劳动者的相关费用，供应商自行测算对各项费用的报价。每月需提供员工工资花名册（工资支付台账）及社保缴纳凭证备查。如出现实际支付的（人员工资及社保费用）人员费用与</w:t>
      </w:r>
      <w:r>
        <w:rPr>
          <w:rFonts w:hint="eastAsia" w:ascii="宋体" w:hAnsi="宋体" w:eastAsia="宋体" w:cs="宋体"/>
          <w:color w:val="auto"/>
          <w:spacing w:val="0"/>
          <w:position w:val="0"/>
          <w:sz w:val="24"/>
          <w:szCs w:val="24"/>
          <w:lang w:val="en-US" w:eastAsia="zh-CN"/>
        </w:rPr>
        <w:t>响应</w:t>
      </w:r>
      <w:r>
        <w:rPr>
          <w:rFonts w:hint="eastAsia" w:ascii="宋体" w:hAnsi="宋体" w:eastAsia="宋体" w:cs="宋体"/>
          <w:color w:val="auto"/>
          <w:spacing w:val="0"/>
          <w:position w:val="0"/>
          <w:sz w:val="24"/>
          <w:szCs w:val="24"/>
          <w:lang w:val="en" w:eastAsia="zh-CN"/>
        </w:rPr>
        <w:t>文件“</w:t>
      </w:r>
      <w:r>
        <w:rPr>
          <w:rFonts w:hint="eastAsia" w:ascii="宋体" w:hAnsi="宋体" w:eastAsia="宋体" w:cs="宋体"/>
          <w:color w:val="auto"/>
          <w:spacing w:val="0"/>
          <w:position w:val="0"/>
          <w:sz w:val="24"/>
          <w:szCs w:val="24"/>
          <w:lang w:val="en-US" w:eastAsia="zh-CN"/>
        </w:rPr>
        <w:t>报价</w:t>
      </w:r>
      <w:r>
        <w:rPr>
          <w:rFonts w:hint="eastAsia" w:ascii="宋体" w:hAnsi="宋体" w:eastAsia="宋体" w:cs="宋体"/>
          <w:color w:val="auto"/>
          <w:spacing w:val="0"/>
          <w:position w:val="0"/>
          <w:sz w:val="24"/>
          <w:szCs w:val="24"/>
          <w:lang w:val="en" w:eastAsia="zh-CN"/>
        </w:rPr>
        <w:t>一览明细表”中人员的数量、社会保险费数量不足的，采购人在支付物业服务费时将进行相应的扣减。</w:t>
      </w:r>
    </w:p>
    <w:p w14:paraId="7D067AEF">
      <w:pPr>
        <w:pageBreakBefore w:val="0"/>
        <w:widowControl w:val="0"/>
        <w:wordWrap/>
        <w:overflowPunct/>
        <w:topLinePunct w:val="0"/>
        <w:bidi w:val="0"/>
        <w:spacing w:line="360" w:lineRule="auto"/>
        <w:ind w:firstLine="482" w:firstLineChars="200"/>
        <w:rPr>
          <w:rFonts w:hint="eastAsia" w:ascii="宋体" w:hAnsi="宋体" w:eastAsia="宋体" w:cs="宋体"/>
          <w:color w:val="auto"/>
          <w:spacing w:val="0"/>
          <w:position w:val="0"/>
          <w:sz w:val="24"/>
          <w:szCs w:val="24"/>
          <w:lang w:val="en" w:eastAsia="zh-CN"/>
        </w:rPr>
      </w:pPr>
      <w:r>
        <w:rPr>
          <w:rFonts w:hint="eastAsia" w:ascii="宋体" w:hAnsi="宋体" w:eastAsia="宋体" w:cs="宋体"/>
          <w:b/>
          <w:bCs/>
          <w:color w:val="auto"/>
          <w:spacing w:val="0"/>
          <w:position w:val="0"/>
          <w:sz w:val="24"/>
          <w:szCs w:val="24"/>
          <w:lang w:val="en-US" w:eastAsia="zh-CN"/>
        </w:rPr>
        <w:t>7、服务耗材</w:t>
      </w:r>
    </w:p>
    <w:p w14:paraId="740759DA">
      <w:pPr>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7.1 服务耗材须全新购买不可利旧。</w:t>
      </w:r>
    </w:p>
    <w:p w14:paraId="7610BE5E">
      <w:pPr>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7.2 所有服务涉及的耗材已包含在本项目总报价内，由成交供应商统一提供，采购人不再额外支付相关耗材费用或不再提供本项目内所涉任何耗材，成交供应商提供的服务耗材可优于采购人要求的服务耗材配置清单。</w:t>
      </w:r>
    </w:p>
    <w:p w14:paraId="11DA9647">
      <w:pPr>
        <w:pageBreakBefore w:val="0"/>
        <w:widowControl w:val="0"/>
        <w:numPr>
          <w:ilvl w:val="0"/>
          <w:numId w:val="0"/>
        </w:numPr>
        <w:wordWrap/>
        <w:overflowPunct/>
        <w:topLinePunct w:val="0"/>
        <w:bidi w:val="0"/>
        <w:spacing w:line="360" w:lineRule="auto"/>
        <w:ind w:firstLine="482" w:firstLineChars="200"/>
        <w:rPr>
          <w:rFonts w:hint="default"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7.3 服务耗材配置清单</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8"/>
        <w:gridCol w:w="2061"/>
        <w:gridCol w:w="954"/>
        <w:gridCol w:w="956"/>
        <w:gridCol w:w="3363"/>
      </w:tblGrid>
      <w:tr w14:paraId="5FC64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62B1D28B">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序号</w:t>
            </w:r>
          </w:p>
        </w:tc>
        <w:tc>
          <w:tcPr>
            <w:tcW w:w="2061" w:type="dxa"/>
            <w:vAlign w:val="center"/>
          </w:tcPr>
          <w:p w14:paraId="2DDE8C85">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工具、耗材名称</w:t>
            </w:r>
          </w:p>
        </w:tc>
        <w:tc>
          <w:tcPr>
            <w:tcW w:w="954" w:type="dxa"/>
            <w:vAlign w:val="center"/>
          </w:tcPr>
          <w:p w14:paraId="43B4390F">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数量</w:t>
            </w:r>
          </w:p>
        </w:tc>
        <w:tc>
          <w:tcPr>
            <w:tcW w:w="956" w:type="dxa"/>
            <w:vAlign w:val="center"/>
          </w:tcPr>
          <w:p w14:paraId="1D95EC32">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单位</w:t>
            </w:r>
          </w:p>
        </w:tc>
        <w:tc>
          <w:tcPr>
            <w:tcW w:w="3363" w:type="dxa"/>
            <w:vAlign w:val="center"/>
          </w:tcPr>
          <w:p w14:paraId="066B0ADC">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备注</w:t>
            </w:r>
          </w:p>
        </w:tc>
      </w:tr>
      <w:tr w14:paraId="403EE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57A89DAF">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1</w:t>
            </w:r>
          </w:p>
        </w:tc>
        <w:tc>
          <w:tcPr>
            <w:tcW w:w="2061" w:type="dxa"/>
            <w:vAlign w:val="center"/>
          </w:tcPr>
          <w:p w14:paraId="47621DE4">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尘推</w:t>
            </w:r>
          </w:p>
        </w:tc>
        <w:tc>
          <w:tcPr>
            <w:tcW w:w="954" w:type="dxa"/>
            <w:vAlign w:val="center"/>
          </w:tcPr>
          <w:p w14:paraId="580DC01F">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10</w:t>
            </w:r>
          </w:p>
        </w:tc>
        <w:tc>
          <w:tcPr>
            <w:tcW w:w="956" w:type="dxa"/>
            <w:vAlign w:val="center"/>
          </w:tcPr>
          <w:p w14:paraId="4DB29E81">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个</w:t>
            </w:r>
          </w:p>
        </w:tc>
        <w:tc>
          <w:tcPr>
            <w:tcW w:w="3363" w:type="dxa"/>
            <w:vMerge w:val="restart"/>
            <w:vAlign w:val="center"/>
          </w:tcPr>
          <w:p w14:paraId="7AF38DAE">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年需求量，</w:t>
            </w:r>
            <w:r>
              <w:rPr>
                <w:rFonts w:hint="eastAsia" w:ascii="宋体" w:hAnsi="宋体" w:eastAsia="宋体" w:cs="宋体"/>
                <w:color w:val="auto"/>
                <w:kern w:val="2"/>
                <w:sz w:val="24"/>
                <w:szCs w:val="24"/>
                <w:highlight w:val="none"/>
                <w:shd w:val="clear" w:color="auto" w:fill="FFFFFF"/>
                <w:lang w:val="en-US" w:eastAsia="zh-CN"/>
              </w:rPr>
              <w:t>具体数量以实际发生的为准</w:t>
            </w:r>
          </w:p>
        </w:tc>
      </w:tr>
      <w:tr w14:paraId="1DA93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7EED635D">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2</w:t>
            </w:r>
          </w:p>
        </w:tc>
        <w:tc>
          <w:tcPr>
            <w:tcW w:w="2061" w:type="dxa"/>
            <w:vAlign w:val="center"/>
          </w:tcPr>
          <w:p w14:paraId="0CB839C1">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拖把</w:t>
            </w:r>
          </w:p>
        </w:tc>
        <w:tc>
          <w:tcPr>
            <w:tcW w:w="954" w:type="dxa"/>
            <w:vAlign w:val="center"/>
          </w:tcPr>
          <w:p w14:paraId="06323BB6">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10</w:t>
            </w:r>
          </w:p>
        </w:tc>
        <w:tc>
          <w:tcPr>
            <w:tcW w:w="956" w:type="dxa"/>
            <w:vAlign w:val="center"/>
          </w:tcPr>
          <w:p w14:paraId="7FB4EAFE">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个</w:t>
            </w:r>
          </w:p>
        </w:tc>
        <w:tc>
          <w:tcPr>
            <w:tcW w:w="3363" w:type="dxa"/>
            <w:vMerge w:val="continue"/>
            <w:vAlign w:val="center"/>
          </w:tcPr>
          <w:p w14:paraId="7DF19F90">
            <w:pPr>
              <w:pageBreakBefore w:val="0"/>
              <w:widowControl w:val="0"/>
              <w:kinsoku/>
              <w:wordWrap/>
              <w:overflowPunct/>
              <w:topLinePunct w:val="0"/>
              <w:bidi w:val="0"/>
              <w:spacing w:after="0" w:line="560" w:lineRule="exact"/>
              <w:ind w:firstLine="0" w:firstLineChars="0"/>
              <w:jc w:val="both"/>
              <w:rPr>
                <w:rFonts w:hint="eastAsia" w:ascii="宋体" w:hAnsi="宋体" w:eastAsia="宋体" w:cs="宋体"/>
                <w:color w:val="auto"/>
                <w:kern w:val="2"/>
                <w:sz w:val="24"/>
                <w:szCs w:val="24"/>
                <w:shd w:val="clear" w:color="auto" w:fill="FFFFFF"/>
              </w:rPr>
            </w:pPr>
          </w:p>
        </w:tc>
      </w:tr>
      <w:tr w14:paraId="4A4DD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00A72DDB">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3</w:t>
            </w:r>
          </w:p>
        </w:tc>
        <w:tc>
          <w:tcPr>
            <w:tcW w:w="2061" w:type="dxa"/>
            <w:vAlign w:val="center"/>
          </w:tcPr>
          <w:p w14:paraId="0531BA63">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扫把、畚斗</w:t>
            </w:r>
          </w:p>
        </w:tc>
        <w:tc>
          <w:tcPr>
            <w:tcW w:w="954" w:type="dxa"/>
            <w:vAlign w:val="center"/>
          </w:tcPr>
          <w:p w14:paraId="4958EA43">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20</w:t>
            </w:r>
          </w:p>
        </w:tc>
        <w:tc>
          <w:tcPr>
            <w:tcW w:w="956" w:type="dxa"/>
            <w:vAlign w:val="center"/>
          </w:tcPr>
          <w:p w14:paraId="5E475CFA">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套</w:t>
            </w:r>
          </w:p>
        </w:tc>
        <w:tc>
          <w:tcPr>
            <w:tcW w:w="3363" w:type="dxa"/>
            <w:vMerge w:val="continue"/>
            <w:vAlign w:val="center"/>
          </w:tcPr>
          <w:p w14:paraId="4C67E032">
            <w:pPr>
              <w:pageBreakBefore w:val="0"/>
              <w:widowControl w:val="0"/>
              <w:kinsoku/>
              <w:wordWrap/>
              <w:overflowPunct/>
              <w:topLinePunct w:val="0"/>
              <w:bidi w:val="0"/>
              <w:spacing w:after="0" w:line="560" w:lineRule="exact"/>
              <w:ind w:firstLine="0" w:firstLineChars="0"/>
              <w:jc w:val="both"/>
              <w:rPr>
                <w:rFonts w:hint="eastAsia" w:ascii="宋体" w:hAnsi="宋体" w:eastAsia="宋体" w:cs="宋体"/>
                <w:color w:val="auto"/>
                <w:kern w:val="2"/>
                <w:sz w:val="24"/>
                <w:szCs w:val="24"/>
                <w:shd w:val="clear" w:color="auto" w:fill="FFFFFF"/>
              </w:rPr>
            </w:pPr>
          </w:p>
        </w:tc>
      </w:tr>
      <w:tr w14:paraId="2A653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2B6C8994">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4</w:t>
            </w:r>
          </w:p>
        </w:tc>
        <w:tc>
          <w:tcPr>
            <w:tcW w:w="2061" w:type="dxa"/>
            <w:vAlign w:val="center"/>
          </w:tcPr>
          <w:p w14:paraId="56A4097C">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洗地机</w:t>
            </w:r>
          </w:p>
        </w:tc>
        <w:tc>
          <w:tcPr>
            <w:tcW w:w="954" w:type="dxa"/>
            <w:vAlign w:val="center"/>
          </w:tcPr>
          <w:p w14:paraId="324A5FC6">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1</w:t>
            </w:r>
          </w:p>
        </w:tc>
        <w:tc>
          <w:tcPr>
            <w:tcW w:w="956" w:type="dxa"/>
            <w:vAlign w:val="center"/>
          </w:tcPr>
          <w:p w14:paraId="1C156D23">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个</w:t>
            </w:r>
          </w:p>
        </w:tc>
        <w:tc>
          <w:tcPr>
            <w:tcW w:w="3363" w:type="dxa"/>
            <w:vMerge w:val="continue"/>
            <w:vAlign w:val="center"/>
          </w:tcPr>
          <w:p w14:paraId="5CEB4D1F">
            <w:pPr>
              <w:pageBreakBefore w:val="0"/>
              <w:widowControl w:val="0"/>
              <w:kinsoku/>
              <w:wordWrap/>
              <w:overflowPunct/>
              <w:topLinePunct w:val="0"/>
              <w:bidi w:val="0"/>
              <w:spacing w:after="0" w:line="560" w:lineRule="exact"/>
              <w:ind w:firstLine="0" w:firstLineChars="0"/>
              <w:jc w:val="both"/>
              <w:rPr>
                <w:rFonts w:hint="eastAsia" w:ascii="宋体" w:hAnsi="宋体" w:eastAsia="宋体" w:cs="宋体"/>
                <w:color w:val="auto"/>
                <w:kern w:val="2"/>
                <w:sz w:val="24"/>
                <w:szCs w:val="24"/>
                <w:shd w:val="clear" w:color="auto" w:fill="FFFFFF"/>
              </w:rPr>
            </w:pPr>
          </w:p>
        </w:tc>
      </w:tr>
      <w:tr w14:paraId="41827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4863F816">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5</w:t>
            </w:r>
          </w:p>
        </w:tc>
        <w:tc>
          <w:tcPr>
            <w:tcW w:w="2061" w:type="dxa"/>
            <w:vAlign w:val="center"/>
          </w:tcPr>
          <w:p w14:paraId="11CBB6DC">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打蜡抛光一体机</w:t>
            </w:r>
          </w:p>
        </w:tc>
        <w:tc>
          <w:tcPr>
            <w:tcW w:w="954" w:type="dxa"/>
            <w:vAlign w:val="center"/>
          </w:tcPr>
          <w:p w14:paraId="6E92C8C9">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1</w:t>
            </w:r>
          </w:p>
        </w:tc>
        <w:tc>
          <w:tcPr>
            <w:tcW w:w="956" w:type="dxa"/>
            <w:vAlign w:val="center"/>
          </w:tcPr>
          <w:p w14:paraId="4B0983B1">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个</w:t>
            </w:r>
          </w:p>
        </w:tc>
        <w:tc>
          <w:tcPr>
            <w:tcW w:w="3363" w:type="dxa"/>
            <w:vMerge w:val="continue"/>
            <w:vAlign w:val="center"/>
          </w:tcPr>
          <w:p w14:paraId="7E2A5756">
            <w:pPr>
              <w:pageBreakBefore w:val="0"/>
              <w:widowControl w:val="0"/>
              <w:kinsoku/>
              <w:wordWrap/>
              <w:overflowPunct/>
              <w:topLinePunct w:val="0"/>
              <w:bidi w:val="0"/>
              <w:spacing w:after="0" w:line="560" w:lineRule="exact"/>
              <w:ind w:firstLine="0" w:firstLineChars="0"/>
              <w:jc w:val="both"/>
              <w:rPr>
                <w:rFonts w:hint="eastAsia" w:ascii="宋体" w:hAnsi="宋体" w:eastAsia="宋体" w:cs="宋体"/>
                <w:color w:val="auto"/>
                <w:kern w:val="2"/>
                <w:sz w:val="24"/>
                <w:szCs w:val="24"/>
                <w:shd w:val="clear" w:color="auto" w:fill="FFFFFF"/>
              </w:rPr>
            </w:pPr>
          </w:p>
        </w:tc>
      </w:tr>
      <w:tr w14:paraId="4D893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332965D3">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6</w:t>
            </w:r>
          </w:p>
        </w:tc>
        <w:tc>
          <w:tcPr>
            <w:tcW w:w="2061" w:type="dxa"/>
            <w:vAlign w:val="center"/>
          </w:tcPr>
          <w:p w14:paraId="36084DD5">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高压清洗机</w:t>
            </w:r>
          </w:p>
        </w:tc>
        <w:tc>
          <w:tcPr>
            <w:tcW w:w="954" w:type="dxa"/>
            <w:vAlign w:val="center"/>
          </w:tcPr>
          <w:p w14:paraId="06E11E8C">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1</w:t>
            </w:r>
          </w:p>
        </w:tc>
        <w:tc>
          <w:tcPr>
            <w:tcW w:w="956" w:type="dxa"/>
            <w:vAlign w:val="center"/>
          </w:tcPr>
          <w:p w14:paraId="78EF515F">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台</w:t>
            </w:r>
          </w:p>
        </w:tc>
        <w:tc>
          <w:tcPr>
            <w:tcW w:w="3363" w:type="dxa"/>
            <w:vMerge w:val="continue"/>
            <w:vAlign w:val="center"/>
          </w:tcPr>
          <w:p w14:paraId="1A50EC91">
            <w:pPr>
              <w:pageBreakBefore w:val="0"/>
              <w:widowControl w:val="0"/>
              <w:kinsoku/>
              <w:wordWrap/>
              <w:overflowPunct/>
              <w:topLinePunct w:val="0"/>
              <w:bidi w:val="0"/>
              <w:spacing w:after="0" w:line="560" w:lineRule="exact"/>
              <w:ind w:firstLine="0" w:firstLineChars="0"/>
              <w:jc w:val="both"/>
              <w:rPr>
                <w:rFonts w:hint="eastAsia" w:ascii="宋体" w:hAnsi="宋体" w:eastAsia="宋体" w:cs="宋体"/>
                <w:color w:val="auto"/>
                <w:kern w:val="2"/>
                <w:sz w:val="24"/>
                <w:szCs w:val="24"/>
                <w:shd w:val="clear" w:color="auto" w:fill="FFFFFF"/>
              </w:rPr>
            </w:pPr>
          </w:p>
        </w:tc>
      </w:tr>
      <w:tr w14:paraId="26A75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38693B9E">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7</w:t>
            </w:r>
          </w:p>
        </w:tc>
        <w:tc>
          <w:tcPr>
            <w:tcW w:w="2061" w:type="dxa"/>
            <w:vAlign w:val="center"/>
          </w:tcPr>
          <w:p w14:paraId="431F6F36">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胶手套</w:t>
            </w:r>
          </w:p>
        </w:tc>
        <w:tc>
          <w:tcPr>
            <w:tcW w:w="954" w:type="dxa"/>
            <w:vAlign w:val="center"/>
          </w:tcPr>
          <w:p w14:paraId="77E09E42">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100</w:t>
            </w:r>
          </w:p>
        </w:tc>
        <w:tc>
          <w:tcPr>
            <w:tcW w:w="956" w:type="dxa"/>
            <w:vAlign w:val="center"/>
          </w:tcPr>
          <w:p w14:paraId="30E528BE">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双</w:t>
            </w:r>
          </w:p>
        </w:tc>
        <w:tc>
          <w:tcPr>
            <w:tcW w:w="3363" w:type="dxa"/>
            <w:vMerge w:val="continue"/>
            <w:vAlign w:val="center"/>
          </w:tcPr>
          <w:p w14:paraId="3FE22692">
            <w:pPr>
              <w:pageBreakBefore w:val="0"/>
              <w:widowControl w:val="0"/>
              <w:kinsoku/>
              <w:wordWrap/>
              <w:overflowPunct/>
              <w:topLinePunct w:val="0"/>
              <w:bidi w:val="0"/>
              <w:spacing w:after="0" w:line="560" w:lineRule="exact"/>
              <w:ind w:firstLine="0" w:firstLineChars="0"/>
              <w:jc w:val="both"/>
              <w:rPr>
                <w:rFonts w:hint="eastAsia" w:ascii="宋体" w:hAnsi="宋体" w:eastAsia="宋体" w:cs="宋体"/>
                <w:color w:val="auto"/>
                <w:kern w:val="2"/>
                <w:sz w:val="24"/>
                <w:szCs w:val="24"/>
                <w:shd w:val="clear" w:color="auto" w:fill="FFFFFF"/>
              </w:rPr>
            </w:pPr>
          </w:p>
        </w:tc>
      </w:tr>
      <w:tr w14:paraId="0A394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513507BF">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8</w:t>
            </w:r>
          </w:p>
        </w:tc>
        <w:tc>
          <w:tcPr>
            <w:tcW w:w="2061" w:type="dxa"/>
            <w:vAlign w:val="center"/>
          </w:tcPr>
          <w:p w14:paraId="79641FA3">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毛巾</w:t>
            </w:r>
          </w:p>
        </w:tc>
        <w:tc>
          <w:tcPr>
            <w:tcW w:w="954" w:type="dxa"/>
            <w:vAlign w:val="center"/>
          </w:tcPr>
          <w:p w14:paraId="0603B2C2">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100</w:t>
            </w:r>
          </w:p>
        </w:tc>
        <w:tc>
          <w:tcPr>
            <w:tcW w:w="956" w:type="dxa"/>
            <w:vAlign w:val="center"/>
          </w:tcPr>
          <w:p w14:paraId="6DBD60AA">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条</w:t>
            </w:r>
          </w:p>
        </w:tc>
        <w:tc>
          <w:tcPr>
            <w:tcW w:w="3363" w:type="dxa"/>
            <w:vMerge w:val="continue"/>
            <w:vAlign w:val="center"/>
          </w:tcPr>
          <w:p w14:paraId="364FC64A">
            <w:pPr>
              <w:pageBreakBefore w:val="0"/>
              <w:widowControl w:val="0"/>
              <w:kinsoku/>
              <w:wordWrap/>
              <w:overflowPunct/>
              <w:topLinePunct w:val="0"/>
              <w:bidi w:val="0"/>
              <w:spacing w:after="0" w:line="560" w:lineRule="exact"/>
              <w:ind w:firstLine="0" w:firstLineChars="0"/>
              <w:jc w:val="both"/>
              <w:rPr>
                <w:rFonts w:hint="eastAsia" w:ascii="宋体" w:hAnsi="宋体" w:eastAsia="宋体" w:cs="宋体"/>
                <w:color w:val="auto"/>
                <w:kern w:val="2"/>
                <w:sz w:val="24"/>
                <w:szCs w:val="24"/>
                <w:shd w:val="clear" w:color="auto" w:fill="FFFFFF"/>
              </w:rPr>
            </w:pPr>
          </w:p>
        </w:tc>
      </w:tr>
      <w:tr w14:paraId="5BB23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0124F4DA">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9</w:t>
            </w:r>
          </w:p>
        </w:tc>
        <w:tc>
          <w:tcPr>
            <w:tcW w:w="2061" w:type="dxa"/>
            <w:vAlign w:val="center"/>
          </w:tcPr>
          <w:p w14:paraId="1B0E2E6D">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清洁球</w:t>
            </w:r>
          </w:p>
        </w:tc>
        <w:tc>
          <w:tcPr>
            <w:tcW w:w="954" w:type="dxa"/>
            <w:vAlign w:val="center"/>
          </w:tcPr>
          <w:p w14:paraId="36048938">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100</w:t>
            </w:r>
          </w:p>
        </w:tc>
        <w:tc>
          <w:tcPr>
            <w:tcW w:w="956" w:type="dxa"/>
            <w:vAlign w:val="center"/>
          </w:tcPr>
          <w:p w14:paraId="64AB1497">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个</w:t>
            </w:r>
          </w:p>
        </w:tc>
        <w:tc>
          <w:tcPr>
            <w:tcW w:w="3363" w:type="dxa"/>
            <w:vMerge w:val="continue"/>
            <w:vAlign w:val="center"/>
          </w:tcPr>
          <w:p w14:paraId="31E08A1D">
            <w:pPr>
              <w:pageBreakBefore w:val="0"/>
              <w:widowControl w:val="0"/>
              <w:kinsoku/>
              <w:wordWrap/>
              <w:overflowPunct/>
              <w:topLinePunct w:val="0"/>
              <w:bidi w:val="0"/>
              <w:spacing w:after="0" w:line="560" w:lineRule="exact"/>
              <w:ind w:firstLine="0" w:firstLineChars="0"/>
              <w:jc w:val="both"/>
              <w:rPr>
                <w:rFonts w:hint="eastAsia" w:ascii="宋体" w:hAnsi="宋体" w:eastAsia="宋体" w:cs="宋体"/>
                <w:color w:val="auto"/>
                <w:kern w:val="2"/>
                <w:sz w:val="24"/>
                <w:szCs w:val="24"/>
                <w:shd w:val="clear" w:color="auto" w:fill="FFFFFF"/>
              </w:rPr>
            </w:pPr>
          </w:p>
        </w:tc>
      </w:tr>
      <w:tr w14:paraId="5C409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0D187BE2">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10</w:t>
            </w:r>
          </w:p>
        </w:tc>
        <w:tc>
          <w:tcPr>
            <w:tcW w:w="2061" w:type="dxa"/>
            <w:vAlign w:val="center"/>
          </w:tcPr>
          <w:p w14:paraId="57AD524E">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香球</w:t>
            </w:r>
          </w:p>
        </w:tc>
        <w:tc>
          <w:tcPr>
            <w:tcW w:w="954" w:type="dxa"/>
            <w:vAlign w:val="center"/>
          </w:tcPr>
          <w:p w14:paraId="1F1030A6">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800</w:t>
            </w:r>
          </w:p>
        </w:tc>
        <w:tc>
          <w:tcPr>
            <w:tcW w:w="956" w:type="dxa"/>
            <w:vAlign w:val="center"/>
          </w:tcPr>
          <w:p w14:paraId="3EDF9387">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个</w:t>
            </w:r>
          </w:p>
        </w:tc>
        <w:tc>
          <w:tcPr>
            <w:tcW w:w="3363" w:type="dxa"/>
            <w:vMerge w:val="continue"/>
            <w:vAlign w:val="center"/>
          </w:tcPr>
          <w:p w14:paraId="016A6F63">
            <w:pPr>
              <w:pageBreakBefore w:val="0"/>
              <w:widowControl w:val="0"/>
              <w:kinsoku/>
              <w:wordWrap/>
              <w:overflowPunct/>
              <w:topLinePunct w:val="0"/>
              <w:bidi w:val="0"/>
              <w:spacing w:after="0" w:line="560" w:lineRule="exact"/>
              <w:ind w:firstLine="0" w:firstLineChars="0"/>
              <w:jc w:val="both"/>
              <w:rPr>
                <w:rFonts w:hint="eastAsia" w:ascii="宋体" w:hAnsi="宋体" w:eastAsia="宋体" w:cs="宋体"/>
                <w:color w:val="auto"/>
                <w:kern w:val="2"/>
                <w:sz w:val="24"/>
                <w:szCs w:val="24"/>
                <w:shd w:val="clear" w:color="auto" w:fill="FFFFFF"/>
              </w:rPr>
            </w:pPr>
          </w:p>
        </w:tc>
      </w:tr>
      <w:tr w14:paraId="7848D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0E2917CE">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11</w:t>
            </w:r>
          </w:p>
        </w:tc>
        <w:tc>
          <w:tcPr>
            <w:tcW w:w="2061" w:type="dxa"/>
            <w:vAlign w:val="center"/>
          </w:tcPr>
          <w:p w14:paraId="6BF84FAF">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厕刷</w:t>
            </w:r>
          </w:p>
        </w:tc>
        <w:tc>
          <w:tcPr>
            <w:tcW w:w="954" w:type="dxa"/>
            <w:vAlign w:val="center"/>
          </w:tcPr>
          <w:p w14:paraId="554432F6">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20</w:t>
            </w:r>
          </w:p>
        </w:tc>
        <w:tc>
          <w:tcPr>
            <w:tcW w:w="956" w:type="dxa"/>
            <w:vAlign w:val="center"/>
          </w:tcPr>
          <w:p w14:paraId="2F973D6C">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个</w:t>
            </w:r>
          </w:p>
        </w:tc>
        <w:tc>
          <w:tcPr>
            <w:tcW w:w="3363" w:type="dxa"/>
            <w:vMerge w:val="continue"/>
            <w:vAlign w:val="center"/>
          </w:tcPr>
          <w:p w14:paraId="5FD4B250">
            <w:pPr>
              <w:pageBreakBefore w:val="0"/>
              <w:widowControl w:val="0"/>
              <w:kinsoku/>
              <w:wordWrap/>
              <w:overflowPunct/>
              <w:topLinePunct w:val="0"/>
              <w:bidi w:val="0"/>
              <w:spacing w:after="0" w:line="560" w:lineRule="exact"/>
              <w:ind w:firstLine="0" w:firstLineChars="0"/>
              <w:jc w:val="both"/>
              <w:rPr>
                <w:rFonts w:hint="eastAsia" w:ascii="宋体" w:hAnsi="宋体" w:eastAsia="宋体" w:cs="宋体"/>
                <w:color w:val="auto"/>
                <w:kern w:val="2"/>
                <w:sz w:val="24"/>
                <w:szCs w:val="24"/>
                <w:shd w:val="clear" w:color="auto" w:fill="FFFFFF"/>
              </w:rPr>
            </w:pPr>
          </w:p>
        </w:tc>
      </w:tr>
      <w:tr w14:paraId="4749C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3473FB80">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12</w:t>
            </w:r>
          </w:p>
        </w:tc>
        <w:tc>
          <w:tcPr>
            <w:tcW w:w="2061" w:type="dxa"/>
            <w:vAlign w:val="center"/>
          </w:tcPr>
          <w:p w14:paraId="5167F660">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刮水拖把</w:t>
            </w:r>
          </w:p>
        </w:tc>
        <w:tc>
          <w:tcPr>
            <w:tcW w:w="954" w:type="dxa"/>
            <w:vAlign w:val="center"/>
          </w:tcPr>
          <w:p w14:paraId="6E451CFA">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10</w:t>
            </w:r>
          </w:p>
        </w:tc>
        <w:tc>
          <w:tcPr>
            <w:tcW w:w="956" w:type="dxa"/>
            <w:vAlign w:val="center"/>
          </w:tcPr>
          <w:p w14:paraId="604B2B1F">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把</w:t>
            </w:r>
          </w:p>
        </w:tc>
        <w:tc>
          <w:tcPr>
            <w:tcW w:w="3363" w:type="dxa"/>
            <w:vMerge w:val="continue"/>
            <w:vAlign w:val="center"/>
          </w:tcPr>
          <w:p w14:paraId="35ED6DF0">
            <w:pPr>
              <w:pageBreakBefore w:val="0"/>
              <w:widowControl w:val="0"/>
              <w:kinsoku/>
              <w:wordWrap/>
              <w:overflowPunct/>
              <w:topLinePunct w:val="0"/>
              <w:bidi w:val="0"/>
              <w:spacing w:after="0" w:line="560" w:lineRule="exact"/>
              <w:ind w:firstLine="0" w:firstLineChars="0"/>
              <w:jc w:val="both"/>
              <w:rPr>
                <w:rFonts w:hint="eastAsia" w:ascii="宋体" w:hAnsi="宋体" w:eastAsia="宋体" w:cs="宋体"/>
                <w:color w:val="auto"/>
                <w:kern w:val="2"/>
                <w:sz w:val="24"/>
                <w:szCs w:val="24"/>
                <w:shd w:val="clear" w:color="auto" w:fill="FFFFFF"/>
              </w:rPr>
            </w:pPr>
          </w:p>
        </w:tc>
      </w:tr>
      <w:tr w14:paraId="5F92F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0577B138">
            <w:pPr>
              <w:pageBreakBefore w:val="0"/>
              <w:widowControl w:val="0"/>
              <w:kinsoku/>
              <w:wordWrap/>
              <w:overflowPunct/>
              <w:topLinePunct w:val="0"/>
              <w:bidi w:val="0"/>
              <w:spacing w:after="0" w:line="240" w:lineRule="auto"/>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13</w:t>
            </w:r>
          </w:p>
        </w:tc>
        <w:tc>
          <w:tcPr>
            <w:tcW w:w="2061" w:type="dxa"/>
            <w:vAlign w:val="center"/>
          </w:tcPr>
          <w:p w14:paraId="11D8F3D8">
            <w:pPr>
              <w:pageBreakBefore w:val="0"/>
              <w:widowControl w:val="0"/>
              <w:kinsoku/>
              <w:wordWrap/>
              <w:overflowPunct/>
              <w:topLinePunct w:val="0"/>
              <w:bidi w:val="0"/>
              <w:spacing w:after="0" w:line="240" w:lineRule="auto"/>
              <w:ind w:firstLine="0" w:firstLineChars="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二次加压供水消杀、水箱清洗</w:t>
            </w:r>
          </w:p>
        </w:tc>
        <w:tc>
          <w:tcPr>
            <w:tcW w:w="954" w:type="dxa"/>
            <w:vAlign w:val="center"/>
          </w:tcPr>
          <w:p w14:paraId="6B87D0FE">
            <w:pPr>
              <w:pageBreakBefore w:val="0"/>
              <w:widowControl w:val="0"/>
              <w:kinsoku/>
              <w:wordWrap/>
              <w:overflowPunct/>
              <w:topLinePunct w:val="0"/>
              <w:bidi w:val="0"/>
              <w:spacing w:after="0" w:line="240" w:lineRule="auto"/>
              <w:ind w:firstLine="0" w:firstLineChars="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p>
        </w:tc>
        <w:tc>
          <w:tcPr>
            <w:tcW w:w="956" w:type="dxa"/>
            <w:vAlign w:val="center"/>
          </w:tcPr>
          <w:p w14:paraId="0E8D2DCB">
            <w:pPr>
              <w:pageBreakBefore w:val="0"/>
              <w:widowControl w:val="0"/>
              <w:kinsoku/>
              <w:wordWrap/>
              <w:overflowPunct/>
              <w:topLinePunct w:val="0"/>
              <w:bidi w:val="0"/>
              <w:spacing w:after="0" w:line="240" w:lineRule="auto"/>
              <w:ind w:firstLine="0" w:firstLineChars="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次</w:t>
            </w:r>
          </w:p>
        </w:tc>
        <w:tc>
          <w:tcPr>
            <w:tcW w:w="3363" w:type="dxa"/>
            <w:vAlign w:val="center"/>
          </w:tcPr>
          <w:p w14:paraId="1BFD5BC3">
            <w:pPr>
              <w:pageBreakBefore w:val="0"/>
              <w:widowControl w:val="0"/>
              <w:kinsoku/>
              <w:wordWrap/>
              <w:overflowPunct/>
              <w:topLinePunct w:val="0"/>
              <w:bidi w:val="0"/>
              <w:spacing w:after="0" w:line="560" w:lineRule="exact"/>
              <w:ind w:firstLine="0" w:firstLineChars="0"/>
              <w:jc w:val="both"/>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年需求量</w:t>
            </w:r>
          </w:p>
        </w:tc>
      </w:tr>
      <w:tr w14:paraId="0877F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3B00F12C">
            <w:pPr>
              <w:pageBreakBefore w:val="0"/>
              <w:widowControl w:val="0"/>
              <w:kinsoku/>
              <w:wordWrap/>
              <w:overflowPunct/>
              <w:topLinePunct w:val="0"/>
              <w:bidi w:val="0"/>
              <w:spacing w:after="0" w:line="240" w:lineRule="auto"/>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14</w:t>
            </w:r>
          </w:p>
        </w:tc>
        <w:tc>
          <w:tcPr>
            <w:tcW w:w="2061" w:type="dxa"/>
            <w:vAlign w:val="center"/>
          </w:tcPr>
          <w:p w14:paraId="4DE06B14">
            <w:pPr>
              <w:pageBreakBefore w:val="0"/>
              <w:widowControl w:val="0"/>
              <w:kinsoku/>
              <w:wordWrap/>
              <w:overflowPunct/>
              <w:topLinePunct w:val="0"/>
              <w:bidi w:val="0"/>
              <w:spacing w:after="0" w:line="240" w:lineRule="auto"/>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辖区内域的化粪池、雨水井、污水井、明渠、暗沟清掏</w:t>
            </w:r>
          </w:p>
        </w:tc>
        <w:tc>
          <w:tcPr>
            <w:tcW w:w="954" w:type="dxa"/>
            <w:vAlign w:val="center"/>
          </w:tcPr>
          <w:p w14:paraId="6B96933B">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lang w:val="en-US" w:eastAsia="zh-CN"/>
              </w:rPr>
            </w:pPr>
            <w:r>
              <w:rPr>
                <w:rFonts w:hint="eastAsia" w:eastAsia="宋体"/>
                <w:color w:val="auto"/>
                <w:lang w:val="en-US" w:eastAsia="zh-CN"/>
              </w:rPr>
              <w:t>1</w:t>
            </w:r>
          </w:p>
        </w:tc>
        <w:tc>
          <w:tcPr>
            <w:tcW w:w="956" w:type="dxa"/>
            <w:vAlign w:val="center"/>
          </w:tcPr>
          <w:p w14:paraId="69F819CD">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次</w:t>
            </w:r>
          </w:p>
        </w:tc>
        <w:tc>
          <w:tcPr>
            <w:tcW w:w="3363" w:type="dxa"/>
            <w:vAlign w:val="center"/>
          </w:tcPr>
          <w:p w14:paraId="5BA9B955">
            <w:pPr>
              <w:pageBreakBefore w:val="0"/>
              <w:widowControl w:val="0"/>
              <w:kinsoku/>
              <w:wordWrap/>
              <w:overflowPunct/>
              <w:topLinePunct w:val="0"/>
              <w:bidi w:val="0"/>
              <w:spacing w:after="0" w:line="560" w:lineRule="exact"/>
              <w:ind w:firstLine="0" w:firstLineChars="0"/>
              <w:jc w:val="both"/>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年需求量</w:t>
            </w:r>
          </w:p>
        </w:tc>
      </w:tr>
      <w:tr w14:paraId="6F48B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00487EA5">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15</w:t>
            </w:r>
          </w:p>
        </w:tc>
        <w:tc>
          <w:tcPr>
            <w:tcW w:w="2061" w:type="dxa"/>
            <w:vAlign w:val="center"/>
          </w:tcPr>
          <w:p w14:paraId="036091DD">
            <w:pPr>
              <w:pageBreakBefore w:val="0"/>
              <w:widowControl w:val="0"/>
              <w:kinsoku/>
              <w:wordWrap/>
              <w:overflowPunct/>
              <w:topLinePunct w:val="0"/>
              <w:bidi w:val="0"/>
              <w:spacing w:after="0" w:line="240" w:lineRule="auto"/>
              <w:ind w:firstLine="0" w:firstLineChars="0"/>
              <w:jc w:val="center"/>
              <w:rPr>
                <w:rFonts w:hint="eastAsia" w:ascii="宋体" w:hAnsi="宋体" w:eastAsia="宋体" w:cs="宋体"/>
                <w:color w:val="auto"/>
                <w:kern w:val="2"/>
                <w:sz w:val="24"/>
                <w:szCs w:val="24"/>
                <w:shd w:val="clear" w:color="auto" w:fill="FFFFFF"/>
                <w:lang w:eastAsia="zh-CN"/>
              </w:rPr>
            </w:pPr>
            <w:r>
              <w:rPr>
                <w:rFonts w:hint="eastAsia" w:ascii="宋体" w:hAnsi="宋体" w:eastAsia="宋体" w:cs="宋体"/>
                <w:color w:val="auto"/>
                <w:kern w:val="2"/>
                <w:sz w:val="24"/>
                <w:szCs w:val="24"/>
                <w:shd w:val="clear" w:color="auto" w:fill="FFFFFF"/>
              </w:rPr>
              <w:t>卫生纸</w:t>
            </w:r>
            <w:r>
              <w:rPr>
                <w:rFonts w:hint="eastAsia" w:ascii="宋体" w:hAnsi="宋体" w:eastAsia="宋体" w:cs="宋体"/>
                <w:color w:val="auto"/>
                <w:kern w:val="2"/>
                <w:sz w:val="24"/>
                <w:szCs w:val="24"/>
                <w:shd w:val="clear" w:color="auto" w:fill="FFFFFF"/>
                <w:lang w:eastAsia="zh-CN"/>
              </w:rPr>
              <w:t>（包括擦手纸）</w:t>
            </w:r>
          </w:p>
        </w:tc>
        <w:tc>
          <w:tcPr>
            <w:tcW w:w="954" w:type="dxa"/>
            <w:vAlign w:val="center"/>
          </w:tcPr>
          <w:p w14:paraId="5362F16B">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600</w:t>
            </w:r>
          </w:p>
        </w:tc>
        <w:tc>
          <w:tcPr>
            <w:tcW w:w="956" w:type="dxa"/>
            <w:vAlign w:val="center"/>
          </w:tcPr>
          <w:p w14:paraId="4E99DD7F">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卷</w:t>
            </w:r>
          </w:p>
        </w:tc>
        <w:tc>
          <w:tcPr>
            <w:tcW w:w="3363" w:type="dxa"/>
            <w:vAlign w:val="center"/>
          </w:tcPr>
          <w:p w14:paraId="28FABD8D">
            <w:pPr>
              <w:pageBreakBefore w:val="0"/>
              <w:widowControl w:val="0"/>
              <w:kinsoku/>
              <w:wordWrap/>
              <w:overflowPunct/>
              <w:topLinePunct w:val="0"/>
              <w:bidi w:val="0"/>
              <w:spacing w:after="0" w:line="240" w:lineRule="auto"/>
              <w:ind w:firstLine="0" w:firstLineChars="0"/>
              <w:jc w:val="both"/>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lang w:val="en-US" w:eastAsia="zh-CN"/>
              </w:rPr>
              <w:t>月均需求量，</w:t>
            </w:r>
            <w:r>
              <w:rPr>
                <w:rFonts w:hint="eastAsia" w:ascii="宋体" w:hAnsi="宋体" w:eastAsia="宋体" w:cs="宋体"/>
                <w:color w:val="auto"/>
                <w:kern w:val="2"/>
                <w:sz w:val="24"/>
                <w:szCs w:val="24"/>
                <w:shd w:val="clear" w:color="auto" w:fill="FFFFFF"/>
              </w:rPr>
              <w:t>品牌为心相印、清风或维达，规格：卷纸宽度大于等于10厘米，两层或三层</w:t>
            </w:r>
          </w:p>
        </w:tc>
      </w:tr>
      <w:tr w14:paraId="64575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70412C0E">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16</w:t>
            </w:r>
          </w:p>
        </w:tc>
        <w:tc>
          <w:tcPr>
            <w:tcW w:w="2061" w:type="dxa"/>
            <w:vAlign w:val="center"/>
          </w:tcPr>
          <w:p w14:paraId="1BAE0F88">
            <w:pPr>
              <w:pageBreakBefore w:val="0"/>
              <w:widowControl w:val="0"/>
              <w:kinsoku/>
              <w:wordWrap/>
              <w:overflowPunct/>
              <w:topLinePunct w:val="0"/>
              <w:bidi w:val="0"/>
              <w:spacing w:after="0" w:line="240" w:lineRule="auto"/>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芳香球</w:t>
            </w:r>
          </w:p>
        </w:tc>
        <w:tc>
          <w:tcPr>
            <w:tcW w:w="954" w:type="dxa"/>
            <w:vAlign w:val="center"/>
          </w:tcPr>
          <w:p w14:paraId="57092D01">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200</w:t>
            </w:r>
          </w:p>
        </w:tc>
        <w:tc>
          <w:tcPr>
            <w:tcW w:w="956" w:type="dxa"/>
            <w:vAlign w:val="center"/>
          </w:tcPr>
          <w:p w14:paraId="508CC949">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个</w:t>
            </w:r>
          </w:p>
        </w:tc>
        <w:tc>
          <w:tcPr>
            <w:tcW w:w="3363" w:type="dxa"/>
            <w:vAlign w:val="center"/>
          </w:tcPr>
          <w:p w14:paraId="68DA3B36">
            <w:pPr>
              <w:pageBreakBefore w:val="0"/>
              <w:widowControl w:val="0"/>
              <w:kinsoku/>
              <w:wordWrap/>
              <w:overflowPunct/>
              <w:topLinePunct w:val="0"/>
              <w:bidi w:val="0"/>
              <w:spacing w:after="0" w:line="560" w:lineRule="exact"/>
              <w:ind w:firstLine="0" w:firstLineChars="0"/>
              <w:jc w:val="both"/>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月均需求量</w:t>
            </w:r>
          </w:p>
        </w:tc>
      </w:tr>
      <w:tr w14:paraId="106D0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35ACB2F9">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17</w:t>
            </w:r>
          </w:p>
        </w:tc>
        <w:tc>
          <w:tcPr>
            <w:tcW w:w="2061" w:type="dxa"/>
            <w:vAlign w:val="center"/>
          </w:tcPr>
          <w:p w14:paraId="78FAC335">
            <w:pPr>
              <w:pageBreakBefore w:val="0"/>
              <w:widowControl w:val="0"/>
              <w:kinsoku/>
              <w:wordWrap/>
              <w:overflowPunct/>
              <w:topLinePunct w:val="0"/>
              <w:bidi w:val="0"/>
              <w:spacing w:after="0" w:line="240" w:lineRule="auto"/>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洗手液</w:t>
            </w:r>
          </w:p>
        </w:tc>
        <w:tc>
          <w:tcPr>
            <w:tcW w:w="954" w:type="dxa"/>
            <w:vAlign w:val="center"/>
          </w:tcPr>
          <w:p w14:paraId="2043AC86">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20</w:t>
            </w:r>
          </w:p>
        </w:tc>
        <w:tc>
          <w:tcPr>
            <w:tcW w:w="956" w:type="dxa"/>
            <w:vAlign w:val="center"/>
          </w:tcPr>
          <w:p w14:paraId="035639D7">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500g</w:t>
            </w:r>
          </w:p>
        </w:tc>
        <w:tc>
          <w:tcPr>
            <w:tcW w:w="3363" w:type="dxa"/>
            <w:vAlign w:val="center"/>
          </w:tcPr>
          <w:p w14:paraId="69A8091B">
            <w:pPr>
              <w:pageBreakBefore w:val="0"/>
              <w:widowControl w:val="0"/>
              <w:kinsoku/>
              <w:wordWrap/>
              <w:overflowPunct/>
              <w:topLinePunct w:val="0"/>
              <w:bidi w:val="0"/>
              <w:spacing w:after="0" w:line="560" w:lineRule="exact"/>
              <w:ind w:firstLine="0" w:firstLineChars="0"/>
              <w:jc w:val="both"/>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lang w:val="en-US" w:eastAsia="zh-CN"/>
              </w:rPr>
              <w:t>月均需求量</w:t>
            </w:r>
          </w:p>
        </w:tc>
      </w:tr>
      <w:tr w14:paraId="09F49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27B7EDAC">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18</w:t>
            </w:r>
          </w:p>
        </w:tc>
        <w:tc>
          <w:tcPr>
            <w:tcW w:w="2061" w:type="dxa"/>
            <w:vAlign w:val="center"/>
          </w:tcPr>
          <w:p w14:paraId="524929E6">
            <w:pPr>
              <w:pageBreakBefore w:val="0"/>
              <w:widowControl w:val="0"/>
              <w:kinsoku/>
              <w:wordWrap/>
              <w:overflowPunct/>
              <w:topLinePunct w:val="0"/>
              <w:bidi w:val="0"/>
              <w:spacing w:after="0" w:line="240" w:lineRule="auto"/>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电梯按键纸</w:t>
            </w:r>
          </w:p>
        </w:tc>
        <w:tc>
          <w:tcPr>
            <w:tcW w:w="954" w:type="dxa"/>
            <w:vAlign w:val="center"/>
          </w:tcPr>
          <w:p w14:paraId="29CBCB60">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100</w:t>
            </w:r>
          </w:p>
        </w:tc>
        <w:tc>
          <w:tcPr>
            <w:tcW w:w="956" w:type="dxa"/>
            <w:vAlign w:val="center"/>
          </w:tcPr>
          <w:p w14:paraId="66853C0E">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包</w:t>
            </w:r>
          </w:p>
        </w:tc>
        <w:tc>
          <w:tcPr>
            <w:tcW w:w="3363" w:type="dxa"/>
            <w:vAlign w:val="center"/>
          </w:tcPr>
          <w:p w14:paraId="57B82BFB">
            <w:pPr>
              <w:pageBreakBefore w:val="0"/>
              <w:widowControl w:val="0"/>
              <w:kinsoku/>
              <w:wordWrap/>
              <w:overflowPunct/>
              <w:topLinePunct w:val="0"/>
              <w:bidi w:val="0"/>
              <w:spacing w:after="0" w:line="560" w:lineRule="exact"/>
              <w:ind w:firstLine="0" w:firstLineChars="0"/>
              <w:jc w:val="both"/>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lang w:val="en-US" w:eastAsia="zh-CN"/>
              </w:rPr>
              <w:t>月均需求量，</w:t>
            </w:r>
            <w:r>
              <w:rPr>
                <w:rFonts w:hint="eastAsia" w:ascii="宋体" w:hAnsi="宋体" w:eastAsia="宋体" w:cs="宋体"/>
                <w:color w:val="auto"/>
                <w:kern w:val="2"/>
                <w:sz w:val="24"/>
                <w:szCs w:val="24"/>
                <w:shd w:val="clear" w:color="auto" w:fill="FFFFFF"/>
              </w:rPr>
              <w:t>普通两层纸巾</w:t>
            </w:r>
          </w:p>
        </w:tc>
      </w:tr>
      <w:tr w14:paraId="7BD8B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vAlign w:val="center"/>
          </w:tcPr>
          <w:p w14:paraId="2D68B814">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19</w:t>
            </w:r>
          </w:p>
        </w:tc>
        <w:tc>
          <w:tcPr>
            <w:tcW w:w="2061" w:type="dxa"/>
            <w:vAlign w:val="center"/>
          </w:tcPr>
          <w:p w14:paraId="7AE17B4A">
            <w:pPr>
              <w:pageBreakBefore w:val="0"/>
              <w:widowControl w:val="0"/>
              <w:kinsoku/>
              <w:wordWrap/>
              <w:overflowPunct/>
              <w:topLinePunct w:val="0"/>
              <w:bidi w:val="0"/>
              <w:spacing w:after="0" w:line="240" w:lineRule="auto"/>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窗帘、沙发巾清洗</w:t>
            </w:r>
          </w:p>
        </w:tc>
        <w:tc>
          <w:tcPr>
            <w:tcW w:w="954" w:type="dxa"/>
            <w:vAlign w:val="center"/>
          </w:tcPr>
          <w:p w14:paraId="7CF2E2A6">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w:t>
            </w:r>
          </w:p>
        </w:tc>
        <w:tc>
          <w:tcPr>
            <w:tcW w:w="956" w:type="dxa"/>
            <w:vAlign w:val="center"/>
          </w:tcPr>
          <w:p w14:paraId="5F6A5AC8">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 xml:space="preserve">次 </w:t>
            </w:r>
          </w:p>
        </w:tc>
        <w:tc>
          <w:tcPr>
            <w:tcW w:w="3363" w:type="dxa"/>
            <w:vAlign w:val="center"/>
          </w:tcPr>
          <w:p w14:paraId="0661DAE4">
            <w:pPr>
              <w:pageBreakBefore w:val="0"/>
              <w:widowControl w:val="0"/>
              <w:kinsoku/>
              <w:wordWrap/>
              <w:overflowPunct/>
              <w:topLinePunct w:val="0"/>
              <w:bidi w:val="0"/>
              <w:spacing w:after="0" w:line="560" w:lineRule="exact"/>
              <w:ind w:firstLine="0" w:firstLineChars="0"/>
              <w:jc w:val="both"/>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一年不少于1次</w:t>
            </w:r>
          </w:p>
        </w:tc>
      </w:tr>
    </w:tbl>
    <w:p w14:paraId="6FDE7DB4">
      <w:pPr>
        <w:pageBreakBefore w:val="0"/>
        <w:widowControl w:val="0"/>
        <w:numPr>
          <w:ilvl w:val="0"/>
          <w:numId w:val="0"/>
        </w:numPr>
        <w:wordWrap/>
        <w:overflowPunct/>
        <w:topLinePunct w:val="0"/>
        <w:bidi w:val="0"/>
        <w:spacing w:line="360" w:lineRule="auto"/>
        <w:ind w:firstLine="482" w:firstLineChars="200"/>
        <w:rPr>
          <w:rFonts w:hint="default"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8、</w:t>
      </w:r>
      <w:r>
        <w:rPr>
          <w:rFonts w:hint="default" w:ascii="宋体" w:hAnsi="宋体" w:eastAsia="宋体" w:cs="宋体"/>
          <w:b/>
          <w:bCs/>
          <w:color w:val="auto"/>
          <w:spacing w:val="0"/>
          <w:position w:val="0"/>
          <w:sz w:val="24"/>
          <w:szCs w:val="24"/>
          <w:lang w:val="en-US" w:eastAsia="zh-CN"/>
        </w:rPr>
        <w:t>机械设备</w:t>
      </w:r>
    </w:p>
    <w:p w14:paraId="3DFE97E4">
      <w:pPr>
        <w:pageBreakBefore w:val="0"/>
        <w:widowControl w:val="0"/>
        <w:numPr>
          <w:ilvl w:val="0"/>
          <w:numId w:val="0"/>
        </w:numPr>
        <w:wordWrap/>
        <w:overflowPunct/>
        <w:topLinePunct w:val="0"/>
        <w:bidi w:val="0"/>
        <w:spacing w:line="360" w:lineRule="auto"/>
        <w:ind w:firstLine="480" w:firstLineChars="200"/>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8.1 成交供应商提供的机械设备可优于采购人要求的机械设备配置清单。</w:t>
      </w:r>
    </w:p>
    <w:p w14:paraId="5D05633B">
      <w:pPr>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8.2 成交供应商不能按时提供或不能完整提供响应文件中拟配置机具设备及耗材，则采购人有权拒绝与成交供应商签订合同。</w:t>
      </w:r>
    </w:p>
    <w:p w14:paraId="5A6A5373">
      <w:pPr>
        <w:pageBreakBefore w:val="0"/>
        <w:widowControl w:val="0"/>
        <w:numPr>
          <w:ilvl w:val="0"/>
          <w:numId w:val="0"/>
        </w:numPr>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8.3 机械设备配置清单</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14"/>
        <w:gridCol w:w="2301"/>
        <w:gridCol w:w="1222"/>
        <w:gridCol w:w="1328"/>
        <w:gridCol w:w="2178"/>
      </w:tblGrid>
      <w:tr w14:paraId="75440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02028CD6">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序号</w:t>
            </w:r>
          </w:p>
        </w:tc>
        <w:tc>
          <w:tcPr>
            <w:tcW w:w="2301" w:type="dxa"/>
            <w:vAlign w:val="center"/>
          </w:tcPr>
          <w:p w14:paraId="1F379584">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工具、设备名称</w:t>
            </w:r>
          </w:p>
        </w:tc>
        <w:tc>
          <w:tcPr>
            <w:tcW w:w="1222" w:type="dxa"/>
            <w:vAlign w:val="center"/>
          </w:tcPr>
          <w:p w14:paraId="41F3AFC0">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数量</w:t>
            </w:r>
          </w:p>
        </w:tc>
        <w:tc>
          <w:tcPr>
            <w:tcW w:w="1328" w:type="dxa"/>
            <w:vAlign w:val="center"/>
          </w:tcPr>
          <w:p w14:paraId="1635C5F3">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单位</w:t>
            </w:r>
          </w:p>
        </w:tc>
        <w:tc>
          <w:tcPr>
            <w:tcW w:w="2178" w:type="dxa"/>
            <w:vAlign w:val="center"/>
          </w:tcPr>
          <w:p w14:paraId="4A254B84">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备注</w:t>
            </w:r>
          </w:p>
        </w:tc>
      </w:tr>
      <w:tr w14:paraId="6D13D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0B1A4EE6">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1</w:t>
            </w:r>
          </w:p>
        </w:tc>
        <w:tc>
          <w:tcPr>
            <w:tcW w:w="2301" w:type="dxa"/>
            <w:vAlign w:val="center"/>
          </w:tcPr>
          <w:p w14:paraId="75B19672">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清扫三轮车</w:t>
            </w:r>
          </w:p>
        </w:tc>
        <w:tc>
          <w:tcPr>
            <w:tcW w:w="1222" w:type="dxa"/>
            <w:vAlign w:val="center"/>
          </w:tcPr>
          <w:p w14:paraId="6D80E952">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1</w:t>
            </w:r>
          </w:p>
        </w:tc>
        <w:tc>
          <w:tcPr>
            <w:tcW w:w="1328" w:type="dxa"/>
            <w:vAlign w:val="center"/>
          </w:tcPr>
          <w:p w14:paraId="44E2BE96">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个</w:t>
            </w:r>
          </w:p>
        </w:tc>
        <w:tc>
          <w:tcPr>
            <w:tcW w:w="2178" w:type="dxa"/>
            <w:vMerge w:val="restart"/>
            <w:vAlign w:val="center"/>
          </w:tcPr>
          <w:p w14:paraId="17D763E0">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lang w:val="en-US" w:eastAsia="zh-CN"/>
              </w:rPr>
              <w:t>年需求量，</w:t>
            </w:r>
            <w:r>
              <w:rPr>
                <w:rFonts w:hint="eastAsia" w:ascii="宋体" w:hAnsi="宋体" w:eastAsia="宋体" w:cs="宋体"/>
                <w:color w:val="auto"/>
                <w:kern w:val="2"/>
                <w:sz w:val="24"/>
                <w:szCs w:val="24"/>
                <w:highlight w:val="none"/>
                <w:shd w:val="clear" w:color="auto" w:fill="FFFFFF"/>
                <w:lang w:val="en-US" w:eastAsia="zh-CN"/>
              </w:rPr>
              <w:t>具体数量以实际发生的为准</w:t>
            </w:r>
          </w:p>
        </w:tc>
      </w:tr>
      <w:tr w14:paraId="0FE2D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21F00E0A">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2</w:t>
            </w:r>
          </w:p>
        </w:tc>
        <w:tc>
          <w:tcPr>
            <w:tcW w:w="2301" w:type="dxa"/>
            <w:vAlign w:val="center"/>
          </w:tcPr>
          <w:p w14:paraId="47A55DC3">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强光手电</w:t>
            </w:r>
          </w:p>
        </w:tc>
        <w:tc>
          <w:tcPr>
            <w:tcW w:w="1222" w:type="dxa"/>
            <w:vAlign w:val="center"/>
          </w:tcPr>
          <w:p w14:paraId="41D41F81">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2</w:t>
            </w:r>
          </w:p>
        </w:tc>
        <w:tc>
          <w:tcPr>
            <w:tcW w:w="1328" w:type="dxa"/>
            <w:vAlign w:val="center"/>
          </w:tcPr>
          <w:p w14:paraId="3041F9CF">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个</w:t>
            </w:r>
          </w:p>
        </w:tc>
        <w:tc>
          <w:tcPr>
            <w:tcW w:w="2178" w:type="dxa"/>
            <w:vMerge w:val="continue"/>
            <w:vAlign w:val="center"/>
          </w:tcPr>
          <w:p w14:paraId="62E7E7A3">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p>
        </w:tc>
      </w:tr>
      <w:tr w14:paraId="3493A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5E73FC5C">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3</w:t>
            </w:r>
          </w:p>
        </w:tc>
        <w:tc>
          <w:tcPr>
            <w:tcW w:w="2301" w:type="dxa"/>
            <w:vAlign w:val="center"/>
          </w:tcPr>
          <w:p w14:paraId="70225211">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维修记录本</w:t>
            </w:r>
          </w:p>
        </w:tc>
        <w:tc>
          <w:tcPr>
            <w:tcW w:w="1222" w:type="dxa"/>
            <w:vAlign w:val="center"/>
          </w:tcPr>
          <w:p w14:paraId="405B3C72">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2</w:t>
            </w:r>
          </w:p>
        </w:tc>
        <w:tc>
          <w:tcPr>
            <w:tcW w:w="1328" w:type="dxa"/>
            <w:vAlign w:val="center"/>
          </w:tcPr>
          <w:p w14:paraId="192BF014">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本</w:t>
            </w:r>
          </w:p>
        </w:tc>
        <w:tc>
          <w:tcPr>
            <w:tcW w:w="2178" w:type="dxa"/>
            <w:vMerge w:val="continue"/>
            <w:vAlign w:val="center"/>
          </w:tcPr>
          <w:p w14:paraId="63F93D20">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p>
        </w:tc>
      </w:tr>
      <w:tr w14:paraId="20CC2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14D0A24D">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4</w:t>
            </w:r>
          </w:p>
        </w:tc>
        <w:tc>
          <w:tcPr>
            <w:tcW w:w="2301" w:type="dxa"/>
            <w:vAlign w:val="center"/>
          </w:tcPr>
          <w:p w14:paraId="31767412">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交接班记录本</w:t>
            </w:r>
          </w:p>
        </w:tc>
        <w:tc>
          <w:tcPr>
            <w:tcW w:w="1222" w:type="dxa"/>
            <w:vAlign w:val="center"/>
          </w:tcPr>
          <w:p w14:paraId="5BA0FD80">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3</w:t>
            </w:r>
          </w:p>
        </w:tc>
        <w:tc>
          <w:tcPr>
            <w:tcW w:w="1328" w:type="dxa"/>
            <w:vAlign w:val="center"/>
          </w:tcPr>
          <w:p w14:paraId="791F3D85">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本</w:t>
            </w:r>
          </w:p>
        </w:tc>
        <w:tc>
          <w:tcPr>
            <w:tcW w:w="2178" w:type="dxa"/>
            <w:vMerge w:val="continue"/>
            <w:vAlign w:val="center"/>
          </w:tcPr>
          <w:p w14:paraId="21A6FC43">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p>
        </w:tc>
      </w:tr>
      <w:tr w14:paraId="120E2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5D89D2ED">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5</w:t>
            </w:r>
          </w:p>
        </w:tc>
        <w:tc>
          <w:tcPr>
            <w:tcW w:w="2301" w:type="dxa"/>
            <w:vAlign w:val="center"/>
          </w:tcPr>
          <w:p w14:paraId="44B4170F">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对讲机</w:t>
            </w:r>
          </w:p>
        </w:tc>
        <w:tc>
          <w:tcPr>
            <w:tcW w:w="1222" w:type="dxa"/>
            <w:vAlign w:val="center"/>
          </w:tcPr>
          <w:p w14:paraId="0A6E2FC1">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5</w:t>
            </w:r>
          </w:p>
        </w:tc>
        <w:tc>
          <w:tcPr>
            <w:tcW w:w="1328" w:type="dxa"/>
            <w:vAlign w:val="center"/>
          </w:tcPr>
          <w:p w14:paraId="3F4AC90F">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个</w:t>
            </w:r>
          </w:p>
        </w:tc>
        <w:tc>
          <w:tcPr>
            <w:tcW w:w="2178" w:type="dxa"/>
            <w:vMerge w:val="continue"/>
            <w:vAlign w:val="center"/>
          </w:tcPr>
          <w:p w14:paraId="140C8EB2">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p>
        </w:tc>
      </w:tr>
      <w:tr w14:paraId="1B884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2585CCAF">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6</w:t>
            </w:r>
          </w:p>
        </w:tc>
        <w:tc>
          <w:tcPr>
            <w:tcW w:w="2301" w:type="dxa"/>
            <w:vAlign w:val="center"/>
          </w:tcPr>
          <w:p w14:paraId="34420A23">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水电维修工具</w:t>
            </w:r>
          </w:p>
        </w:tc>
        <w:tc>
          <w:tcPr>
            <w:tcW w:w="1222" w:type="dxa"/>
            <w:vAlign w:val="center"/>
          </w:tcPr>
          <w:p w14:paraId="0A35E899">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w:t>
            </w:r>
          </w:p>
        </w:tc>
        <w:tc>
          <w:tcPr>
            <w:tcW w:w="1328" w:type="dxa"/>
            <w:vAlign w:val="center"/>
          </w:tcPr>
          <w:p w14:paraId="0F19223B">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套</w:t>
            </w:r>
          </w:p>
        </w:tc>
        <w:tc>
          <w:tcPr>
            <w:tcW w:w="2178" w:type="dxa"/>
            <w:vMerge w:val="continue"/>
            <w:vAlign w:val="center"/>
          </w:tcPr>
          <w:p w14:paraId="769BC52F">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p>
        </w:tc>
      </w:tr>
      <w:tr w14:paraId="52832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341F671A">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7</w:t>
            </w:r>
          </w:p>
        </w:tc>
        <w:tc>
          <w:tcPr>
            <w:tcW w:w="2301" w:type="dxa"/>
            <w:vAlign w:val="center"/>
          </w:tcPr>
          <w:p w14:paraId="48ADB28E">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绿化修剪工具</w:t>
            </w:r>
          </w:p>
        </w:tc>
        <w:tc>
          <w:tcPr>
            <w:tcW w:w="1222" w:type="dxa"/>
            <w:vAlign w:val="center"/>
          </w:tcPr>
          <w:p w14:paraId="6CAECEA4">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1</w:t>
            </w:r>
          </w:p>
        </w:tc>
        <w:tc>
          <w:tcPr>
            <w:tcW w:w="1328" w:type="dxa"/>
            <w:vAlign w:val="center"/>
          </w:tcPr>
          <w:p w14:paraId="78B3AA9B">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套</w:t>
            </w:r>
          </w:p>
        </w:tc>
        <w:tc>
          <w:tcPr>
            <w:tcW w:w="2178" w:type="dxa"/>
            <w:vMerge w:val="continue"/>
            <w:vAlign w:val="center"/>
          </w:tcPr>
          <w:p w14:paraId="3F0D50A1">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p>
        </w:tc>
      </w:tr>
      <w:tr w14:paraId="2BFE0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190B2887">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8</w:t>
            </w:r>
          </w:p>
        </w:tc>
        <w:tc>
          <w:tcPr>
            <w:tcW w:w="2301" w:type="dxa"/>
            <w:vAlign w:val="center"/>
          </w:tcPr>
          <w:p w14:paraId="67FDB1E5">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管道疏通工具</w:t>
            </w:r>
          </w:p>
        </w:tc>
        <w:tc>
          <w:tcPr>
            <w:tcW w:w="1222" w:type="dxa"/>
            <w:vAlign w:val="center"/>
          </w:tcPr>
          <w:p w14:paraId="39B8F32F">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1</w:t>
            </w:r>
          </w:p>
        </w:tc>
        <w:tc>
          <w:tcPr>
            <w:tcW w:w="1328" w:type="dxa"/>
            <w:vAlign w:val="center"/>
          </w:tcPr>
          <w:p w14:paraId="77FA232D">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套</w:t>
            </w:r>
          </w:p>
        </w:tc>
        <w:tc>
          <w:tcPr>
            <w:tcW w:w="2178" w:type="dxa"/>
            <w:vMerge w:val="continue"/>
            <w:vAlign w:val="center"/>
          </w:tcPr>
          <w:p w14:paraId="1CD5B809">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p>
        </w:tc>
      </w:tr>
    </w:tbl>
    <w:p w14:paraId="06F74208">
      <w:pPr>
        <w:pageBreakBefore w:val="0"/>
        <w:widowControl w:val="0"/>
        <w:numPr>
          <w:ilvl w:val="0"/>
          <w:numId w:val="4"/>
        </w:numPr>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绿植配置清单（绿植大盆95盆、小盆30盆）</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14"/>
        <w:gridCol w:w="2301"/>
        <w:gridCol w:w="918"/>
        <w:gridCol w:w="990"/>
        <w:gridCol w:w="2820"/>
      </w:tblGrid>
      <w:tr w14:paraId="307E8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6C6B5F5F">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序号</w:t>
            </w:r>
          </w:p>
        </w:tc>
        <w:tc>
          <w:tcPr>
            <w:tcW w:w="2301" w:type="dxa"/>
            <w:vAlign w:val="center"/>
          </w:tcPr>
          <w:p w14:paraId="320F741E">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名称</w:t>
            </w:r>
          </w:p>
        </w:tc>
        <w:tc>
          <w:tcPr>
            <w:tcW w:w="918" w:type="dxa"/>
            <w:vAlign w:val="center"/>
          </w:tcPr>
          <w:p w14:paraId="0C7873FB">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数量</w:t>
            </w:r>
          </w:p>
        </w:tc>
        <w:tc>
          <w:tcPr>
            <w:tcW w:w="990" w:type="dxa"/>
            <w:vAlign w:val="center"/>
          </w:tcPr>
          <w:p w14:paraId="3B3B19AB">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单位</w:t>
            </w:r>
          </w:p>
        </w:tc>
        <w:tc>
          <w:tcPr>
            <w:tcW w:w="2820" w:type="dxa"/>
            <w:vAlign w:val="center"/>
          </w:tcPr>
          <w:p w14:paraId="2E27FE67">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规格{㎝}</w:t>
            </w:r>
          </w:p>
        </w:tc>
      </w:tr>
      <w:tr w14:paraId="35A43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40228E7F">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1</w:t>
            </w:r>
          </w:p>
        </w:tc>
        <w:tc>
          <w:tcPr>
            <w:tcW w:w="2301" w:type="dxa"/>
            <w:vAlign w:val="center"/>
          </w:tcPr>
          <w:p w14:paraId="32456AC8">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夏威夷</w:t>
            </w:r>
          </w:p>
        </w:tc>
        <w:tc>
          <w:tcPr>
            <w:tcW w:w="918" w:type="dxa"/>
            <w:vAlign w:val="center"/>
          </w:tcPr>
          <w:p w14:paraId="1880F01E">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15</w:t>
            </w:r>
          </w:p>
        </w:tc>
        <w:tc>
          <w:tcPr>
            <w:tcW w:w="990" w:type="dxa"/>
            <w:vAlign w:val="center"/>
          </w:tcPr>
          <w:p w14:paraId="1BB74889">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大盆</w:t>
            </w:r>
          </w:p>
        </w:tc>
        <w:tc>
          <w:tcPr>
            <w:tcW w:w="2820" w:type="dxa"/>
            <w:vAlign w:val="center"/>
          </w:tcPr>
          <w:p w14:paraId="44BF02B4">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H170</w:t>
            </w:r>
          </w:p>
        </w:tc>
      </w:tr>
      <w:tr w14:paraId="1A252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14" w:type="dxa"/>
            <w:vAlign w:val="center"/>
          </w:tcPr>
          <w:p w14:paraId="6E119169">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2</w:t>
            </w:r>
          </w:p>
        </w:tc>
        <w:tc>
          <w:tcPr>
            <w:tcW w:w="2301" w:type="dxa"/>
            <w:vAlign w:val="center"/>
          </w:tcPr>
          <w:p w14:paraId="73A92F02">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绿罗柱</w:t>
            </w:r>
          </w:p>
        </w:tc>
        <w:tc>
          <w:tcPr>
            <w:tcW w:w="918" w:type="dxa"/>
            <w:vAlign w:val="center"/>
          </w:tcPr>
          <w:p w14:paraId="17333FAD">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20</w:t>
            </w:r>
          </w:p>
        </w:tc>
        <w:tc>
          <w:tcPr>
            <w:tcW w:w="990" w:type="dxa"/>
            <w:vAlign w:val="center"/>
          </w:tcPr>
          <w:p w14:paraId="6C3E7EEA">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大盆</w:t>
            </w:r>
          </w:p>
        </w:tc>
        <w:tc>
          <w:tcPr>
            <w:tcW w:w="2820" w:type="dxa"/>
            <w:vAlign w:val="center"/>
          </w:tcPr>
          <w:p w14:paraId="389B89AC">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H160</w:t>
            </w:r>
          </w:p>
        </w:tc>
      </w:tr>
      <w:tr w14:paraId="0A86A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304D7FD2">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3</w:t>
            </w:r>
          </w:p>
        </w:tc>
        <w:tc>
          <w:tcPr>
            <w:tcW w:w="2301" w:type="dxa"/>
            <w:vAlign w:val="center"/>
          </w:tcPr>
          <w:p w14:paraId="578F4445">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也门铁</w:t>
            </w:r>
          </w:p>
        </w:tc>
        <w:tc>
          <w:tcPr>
            <w:tcW w:w="918" w:type="dxa"/>
            <w:vAlign w:val="center"/>
          </w:tcPr>
          <w:p w14:paraId="4422B0B5">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10</w:t>
            </w:r>
          </w:p>
        </w:tc>
        <w:tc>
          <w:tcPr>
            <w:tcW w:w="990" w:type="dxa"/>
            <w:vAlign w:val="center"/>
          </w:tcPr>
          <w:p w14:paraId="3E05E41F">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大盆</w:t>
            </w:r>
          </w:p>
        </w:tc>
        <w:tc>
          <w:tcPr>
            <w:tcW w:w="2820" w:type="dxa"/>
            <w:vAlign w:val="center"/>
          </w:tcPr>
          <w:p w14:paraId="75B36A45">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H130</w:t>
            </w:r>
          </w:p>
        </w:tc>
      </w:tr>
      <w:tr w14:paraId="25A7B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2488AA4B">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4</w:t>
            </w:r>
          </w:p>
        </w:tc>
        <w:tc>
          <w:tcPr>
            <w:tcW w:w="2301" w:type="dxa"/>
            <w:vAlign w:val="center"/>
          </w:tcPr>
          <w:p w14:paraId="2E03A5F1">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鸭脚木</w:t>
            </w:r>
          </w:p>
        </w:tc>
        <w:tc>
          <w:tcPr>
            <w:tcW w:w="918" w:type="dxa"/>
            <w:vAlign w:val="center"/>
          </w:tcPr>
          <w:p w14:paraId="1288BFC4">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15</w:t>
            </w:r>
          </w:p>
        </w:tc>
        <w:tc>
          <w:tcPr>
            <w:tcW w:w="990" w:type="dxa"/>
            <w:vAlign w:val="center"/>
          </w:tcPr>
          <w:p w14:paraId="38E1238B">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大盆</w:t>
            </w:r>
          </w:p>
        </w:tc>
        <w:tc>
          <w:tcPr>
            <w:tcW w:w="2820" w:type="dxa"/>
            <w:vAlign w:val="center"/>
          </w:tcPr>
          <w:p w14:paraId="4A161FE8">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H150</w:t>
            </w:r>
          </w:p>
        </w:tc>
      </w:tr>
      <w:tr w14:paraId="48774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00F08DF3">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5</w:t>
            </w:r>
          </w:p>
        </w:tc>
        <w:tc>
          <w:tcPr>
            <w:tcW w:w="2301" w:type="dxa"/>
            <w:vAlign w:val="center"/>
          </w:tcPr>
          <w:p w14:paraId="6840E25D">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幸福树</w:t>
            </w:r>
          </w:p>
        </w:tc>
        <w:tc>
          <w:tcPr>
            <w:tcW w:w="918" w:type="dxa"/>
            <w:vAlign w:val="center"/>
          </w:tcPr>
          <w:p w14:paraId="17A0E480">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4</w:t>
            </w:r>
          </w:p>
        </w:tc>
        <w:tc>
          <w:tcPr>
            <w:tcW w:w="990" w:type="dxa"/>
            <w:vAlign w:val="center"/>
          </w:tcPr>
          <w:p w14:paraId="472D9ABE">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大盆</w:t>
            </w:r>
          </w:p>
        </w:tc>
        <w:tc>
          <w:tcPr>
            <w:tcW w:w="2820" w:type="dxa"/>
            <w:vAlign w:val="center"/>
          </w:tcPr>
          <w:p w14:paraId="5B3A5484">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H180</w:t>
            </w:r>
          </w:p>
        </w:tc>
      </w:tr>
      <w:tr w14:paraId="32CC0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6B874B24">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6</w:t>
            </w:r>
          </w:p>
        </w:tc>
        <w:tc>
          <w:tcPr>
            <w:tcW w:w="2301" w:type="dxa"/>
            <w:vAlign w:val="center"/>
          </w:tcPr>
          <w:p w14:paraId="6325910A">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龙须树</w:t>
            </w:r>
          </w:p>
        </w:tc>
        <w:tc>
          <w:tcPr>
            <w:tcW w:w="918" w:type="dxa"/>
            <w:vAlign w:val="center"/>
          </w:tcPr>
          <w:p w14:paraId="78A45C4C">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5</w:t>
            </w:r>
          </w:p>
        </w:tc>
        <w:tc>
          <w:tcPr>
            <w:tcW w:w="990" w:type="dxa"/>
            <w:vAlign w:val="center"/>
          </w:tcPr>
          <w:p w14:paraId="657408A8">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大盆</w:t>
            </w:r>
          </w:p>
        </w:tc>
        <w:tc>
          <w:tcPr>
            <w:tcW w:w="2820" w:type="dxa"/>
            <w:vAlign w:val="center"/>
          </w:tcPr>
          <w:p w14:paraId="6ECED654">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H160</w:t>
            </w:r>
          </w:p>
        </w:tc>
      </w:tr>
      <w:tr w14:paraId="767BC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58E3B344">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7</w:t>
            </w:r>
          </w:p>
        </w:tc>
        <w:tc>
          <w:tcPr>
            <w:tcW w:w="2301" w:type="dxa"/>
            <w:vAlign w:val="center"/>
          </w:tcPr>
          <w:p w14:paraId="7425101F">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万年青</w:t>
            </w:r>
          </w:p>
        </w:tc>
        <w:tc>
          <w:tcPr>
            <w:tcW w:w="918" w:type="dxa"/>
            <w:vAlign w:val="center"/>
          </w:tcPr>
          <w:p w14:paraId="6E0003E6">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20</w:t>
            </w:r>
          </w:p>
        </w:tc>
        <w:tc>
          <w:tcPr>
            <w:tcW w:w="990" w:type="dxa"/>
            <w:vAlign w:val="center"/>
          </w:tcPr>
          <w:p w14:paraId="01292BD2">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大盆</w:t>
            </w:r>
          </w:p>
        </w:tc>
        <w:tc>
          <w:tcPr>
            <w:tcW w:w="2820" w:type="dxa"/>
            <w:vAlign w:val="center"/>
          </w:tcPr>
          <w:p w14:paraId="0CE5E900">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H80</w:t>
            </w:r>
          </w:p>
        </w:tc>
      </w:tr>
      <w:tr w14:paraId="5FFFA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0F951B5B">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rPr>
            </w:pPr>
            <w:r>
              <w:rPr>
                <w:rFonts w:hint="eastAsia" w:ascii="宋体" w:hAnsi="宋体" w:eastAsia="宋体" w:cs="宋体"/>
                <w:color w:val="auto"/>
                <w:kern w:val="2"/>
                <w:sz w:val="24"/>
                <w:szCs w:val="24"/>
                <w:shd w:val="clear" w:color="auto" w:fill="FFFFFF"/>
              </w:rPr>
              <w:t>8</w:t>
            </w:r>
          </w:p>
        </w:tc>
        <w:tc>
          <w:tcPr>
            <w:tcW w:w="2301" w:type="dxa"/>
            <w:vAlign w:val="center"/>
          </w:tcPr>
          <w:p w14:paraId="40F453A4">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发财树</w:t>
            </w:r>
          </w:p>
        </w:tc>
        <w:tc>
          <w:tcPr>
            <w:tcW w:w="918" w:type="dxa"/>
            <w:vAlign w:val="center"/>
          </w:tcPr>
          <w:p w14:paraId="46809216">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4</w:t>
            </w:r>
          </w:p>
        </w:tc>
        <w:tc>
          <w:tcPr>
            <w:tcW w:w="990" w:type="dxa"/>
            <w:vAlign w:val="center"/>
          </w:tcPr>
          <w:p w14:paraId="2DB33D9D">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大盆</w:t>
            </w:r>
          </w:p>
        </w:tc>
        <w:tc>
          <w:tcPr>
            <w:tcW w:w="2820" w:type="dxa"/>
            <w:vAlign w:val="center"/>
          </w:tcPr>
          <w:p w14:paraId="61C81ADB">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H170</w:t>
            </w:r>
          </w:p>
        </w:tc>
      </w:tr>
      <w:tr w14:paraId="334C1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3DCAFFB4">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9</w:t>
            </w:r>
          </w:p>
        </w:tc>
        <w:tc>
          <w:tcPr>
            <w:tcW w:w="2301" w:type="dxa"/>
            <w:vAlign w:val="center"/>
          </w:tcPr>
          <w:p w14:paraId="1C52CFAB">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散尾葵</w:t>
            </w:r>
          </w:p>
        </w:tc>
        <w:tc>
          <w:tcPr>
            <w:tcW w:w="918" w:type="dxa"/>
            <w:vAlign w:val="center"/>
          </w:tcPr>
          <w:p w14:paraId="79C97453">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2</w:t>
            </w:r>
          </w:p>
        </w:tc>
        <w:tc>
          <w:tcPr>
            <w:tcW w:w="990" w:type="dxa"/>
            <w:vAlign w:val="center"/>
          </w:tcPr>
          <w:p w14:paraId="50483BC1">
            <w:pPr>
              <w:pageBreakBefore w:val="0"/>
              <w:widowControl w:val="0"/>
              <w:kinsoku/>
              <w:wordWrap/>
              <w:overflowPunct/>
              <w:topLinePunct w:val="0"/>
              <w:bidi w:val="0"/>
              <w:spacing w:after="0" w:line="560" w:lineRule="exact"/>
              <w:ind w:firstLine="240" w:firstLineChars="100"/>
              <w:jc w:val="both"/>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大盆</w:t>
            </w:r>
          </w:p>
        </w:tc>
        <w:tc>
          <w:tcPr>
            <w:tcW w:w="2820" w:type="dxa"/>
            <w:vAlign w:val="center"/>
          </w:tcPr>
          <w:p w14:paraId="0C4AE303">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H180</w:t>
            </w:r>
          </w:p>
        </w:tc>
      </w:tr>
      <w:tr w14:paraId="51DAD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3D4435A3">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小计</w:t>
            </w:r>
          </w:p>
        </w:tc>
        <w:tc>
          <w:tcPr>
            <w:tcW w:w="2301" w:type="dxa"/>
            <w:vAlign w:val="center"/>
          </w:tcPr>
          <w:p w14:paraId="00975AA0">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lang w:val="en-US" w:eastAsia="zh-CN"/>
              </w:rPr>
            </w:pPr>
          </w:p>
        </w:tc>
        <w:tc>
          <w:tcPr>
            <w:tcW w:w="918" w:type="dxa"/>
            <w:vAlign w:val="center"/>
          </w:tcPr>
          <w:p w14:paraId="30C1537A">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95</w:t>
            </w:r>
          </w:p>
        </w:tc>
        <w:tc>
          <w:tcPr>
            <w:tcW w:w="990" w:type="dxa"/>
            <w:vAlign w:val="center"/>
          </w:tcPr>
          <w:p w14:paraId="0286E811">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p>
        </w:tc>
        <w:tc>
          <w:tcPr>
            <w:tcW w:w="2820" w:type="dxa"/>
            <w:vAlign w:val="center"/>
          </w:tcPr>
          <w:p w14:paraId="25791750">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lang w:val="en-US" w:eastAsia="zh-CN"/>
              </w:rPr>
            </w:pPr>
          </w:p>
        </w:tc>
      </w:tr>
      <w:tr w14:paraId="790D5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215C21A2">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10</w:t>
            </w:r>
          </w:p>
        </w:tc>
        <w:tc>
          <w:tcPr>
            <w:tcW w:w="2301" w:type="dxa"/>
            <w:vAlign w:val="center"/>
          </w:tcPr>
          <w:p w14:paraId="2179AF37">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小绿罗</w:t>
            </w:r>
          </w:p>
        </w:tc>
        <w:tc>
          <w:tcPr>
            <w:tcW w:w="918" w:type="dxa"/>
            <w:vAlign w:val="center"/>
          </w:tcPr>
          <w:p w14:paraId="2EE54DF5">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15</w:t>
            </w:r>
          </w:p>
        </w:tc>
        <w:tc>
          <w:tcPr>
            <w:tcW w:w="990" w:type="dxa"/>
            <w:vAlign w:val="center"/>
          </w:tcPr>
          <w:p w14:paraId="7E5F6340">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小盆</w:t>
            </w:r>
          </w:p>
        </w:tc>
        <w:tc>
          <w:tcPr>
            <w:tcW w:w="2820" w:type="dxa"/>
            <w:vAlign w:val="center"/>
          </w:tcPr>
          <w:p w14:paraId="68A17B04">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H40</w:t>
            </w:r>
          </w:p>
        </w:tc>
      </w:tr>
      <w:tr w14:paraId="53934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451F38B0">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11</w:t>
            </w:r>
          </w:p>
        </w:tc>
        <w:tc>
          <w:tcPr>
            <w:tcW w:w="2301" w:type="dxa"/>
            <w:vAlign w:val="center"/>
          </w:tcPr>
          <w:p w14:paraId="43F97FB8">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君子兰</w:t>
            </w:r>
          </w:p>
        </w:tc>
        <w:tc>
          <w:tcPr>
            <w:tcW w:w="918" w:type="dxa"/>
            <w:vAlign w:val="center"/>
          </w:tcPr>
          <w:p w14:paraId="40F915FB">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3</w:t>
            </w:r>
          </w:p>
        </w:tc>
        <w:tc>
          <w:tcPr>
            <w:tcW w:w="990" w:type="dxa"/>
            <w:vAlign w:val="center"/>
          </w:tcPr>
          <w:p w14:paraId="46E47546">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小盆</w:t>
            </w:r>
          </w:p>
        </w:tc>
        <w:tc>
          <w:tcPr>
            <w:tcW w:w="2820" w:type="dxa"/>
            <w:vAlign w:val="center"/>
          </w:tcPr>
          <w:p w14:paraId="6902AA3B">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H40</w:t>
            </w:r>
          </w:p>
        </w:tc>
      </w:tr>
      <w:tr w14:paraId="1A849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32A1A12F">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12</w:t>
            </w:r>
          </w:p>
        </w:tc>
        <w:tc>
          <w:tcPr>
            <w:tcW w:w="2301" w:type="dxa"/>
            <w:vAlign w:val="center"/>
          </w:tcPr>
          <w:p w14:paraId="2BFA100A">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墨兰</w:t>
            </w:r>
          </w:p>
        </w:tc>
        <w:tc>
          <w:tcPr>
            <w:tcW w:w="918" w:type="dxa"/>
            <w:vAlign w:val="center"/>
          </w:tcPr>
          <w:p w14:paraId="430E69FF">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4</w:t>
            </w:r>
          </w:p>
        </w:tc>
        <w:tc>
          <w:tcPr>
            <w:tcW w:w="990" w:type="dxa"/>
            <w:vAlign w:val="center"/>
          </w:tcPr>
          <w:p w14:paraId="543BBC50">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小盆</w:t>
            </w:r>
          </w:p>
        </w:tc>
        <w:tc>
          <w:tcPr>
            <w:tcW w:w="2820" w:type="dxa"/>
            <w:vAlign w:val="center"/>
          </w:tcPr>
          <w:p w14:paraId="25BAE733">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H30</w:t>
            </w:r>
          </w:p>
        </w:tc>
      </w:tr>
      <w:tr w14:paraId="3FFC5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69FD4D6B">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13</w:t>
            </w:r>
          </w:p>
        </w:tc>
        <w:tc>
          <w:tcPr>
            <w:tcW w:w="2301" w:type="dxa"/>
            <w:vAlign w:val="center"/>
          </w:tcPr>
          <w:p w14:paraId="7DA34901">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一帆风顺</w:t>
            </w:r>
          </w:p>
        </w:tc>
        <w:tc>
          <w:tcPr>
            <w:tcW w:w="918" w:type="dxa"/>
            <w:vAlign w:val="center"/>
          </w:tcPr>
          <w:p w14:paraId="3F5CC69D">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5</w:t>
            </w:r>
          </w:p>
        </w:tc>
        <w:tc>
          <w:tcPr>
            <w:tcW w:w="990" w:type="dxa"/>
            <w:vAlign w:val="center"/>
          </w:tcPr>
          <w:p w14:paraId="67BEE32E">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小盆</w:t>
            </w:r>
          </w:p>
        </w:tc>
        <w:tc>
          <w:tcPr>
            <w:tcW w:w="2820" w:type="dxa"/>
            <w:vAlign w:val="center"/>
          </w:tcPr>
          <w:p w14:paraId="3077CBC5">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H50</w:t>
            </w:r>
          </w:p>
        </w:tc>
      </w:tr>
      <w:tr w14:paraId="56DA7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10D03417">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14</w:t>
            </w:r>
          </w:p>
        </w:tc>
        <w:tc>
          <w:tcPr>
            <w:tcW w:w="2301" w:type="dxa"/>
            <w:vAlign w:val="center"/>
          </w:tcPr>
          <w:p w14:paraId="69F84B3D">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红掌</w:t>
            </w:r>
          </w:p>
        </w:tc>
        <w:tc>
          <w:tcPr>
            <w:tcW w:w="918" w:type="dxa"/>
            <w:vAlign w:val="center"/>
          </w:tcPr>
          <w:p w14:paraId="279CAEEF">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3</w:t>
            </w:r>
          </w:p>
        </w:tc>
        <w:tc>
          <w:tcPr>
            <w:tcW w:w="990" w:type="dxa"/>
            <w:vAlign w:val="center"/>
          </w:tcPr>
          <w:p w14:paraId="4B1AF274">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小盆</w:t>
            </w:r>
          </w:p>
        </w:tc>
        <w:tc>
          <w:tcPr>
            <w:tcW w:w="2820" w:type="dxa"/>
            <w:vAlign w:val="center"/>
          </w:tcPr>
          <w:p w14:paraId="6F6F0B40">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H40</w:t>
            </w:r>
          </w:p>
        </w:tc>
      </w:tr>
      <w:tr w14:paraId="52D73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14:paraId="3925B729">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小计</w:t>
            </w:r>
          </w:p>
        </w:tc>
        <w:tc>
          <w:tcPr>
            <w:tcW w:w="2301" w:type="dxa"/>
            <w:vAlign w:val="center"/>
          </w:tcPr>
          <w:p w14:paraId="30726CF6">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lang w:val="en-US" w:eastAsia="zh-CN"/>
              </w:rPr>
            </w:pPr>
          </w:p>
        </w:tc>
        <w:tc>
          <w:tcPr>
            <w:tcW w:w="918" w:type="dxa"/>
            <w:vAlign w:val="center"/>
          </w:tcPr>
          <w:p w14:paraId="5CFB06FF">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30</w:t>
            </w:r>
          </w:p>
        </w:tc>
        <w:tc>
          <w:tcPr>
            <w:tcW w:w="990" w:type="dxa"/>
            <w:vAlign w:val="center"/>
          </w:tcPr>
          <w:p w14:paraId="14D08426">
            <w:pPr>
              <w:pageBreakBefore w:val="0"/>
              <w:widowControl w:val="0"/>
              <w:kinsoku/>
              <w:wordWrap/>
              <w:overflowPunct/>
              <w:topLinePunct w:val="0"/>
              <w:bidi w:val="0"/>
              <w:spacing w:after="0" w:line="560" w:lineRule="exact"/>
              <w:ind w:firstLine="0" w:firstLineChars="0"/>
              <w:jc w:val="center"/>
              <w:rPr>
                <w:rFonts w:hint="default" w:ascii="宋体" w:hAnsi="宋体" w:eastAsia="宋体" w:cs="宋体"/>
                <w:color w:val="auto"/>
                <w:kern w:val="2"/>
                <w:sz w:val="24"/>
                <w:szCs w:val="24"/>
                <w:shd w:val="clear" w:color="auto" w:fill="FFFFFF"/>
                <w:lang w:val="en-US" w:eastAsia="zh-CN"/>
              </w:rPr>
            </w:pPr>
            <w:r>
              <w:rPr>
                <w:rFonts w:hint="eastAsia" w:ascii="宋体" w:hAnsi="宋体" w:eastAsia="宋体" w:cs="宋体"/>
                <w:color w:val="auto"/>
                <w:kern w:val="2"/>
                <w:sz w:val="24"/>
                <w:szCs w:val="24"/>
                <w:shd w:val="clear" w:color="auto" w:fill="FFFFFF"/>
                <w:lang w:val="en-US" w:eastAsia="zh-CN"/>
              </w:rPr>
              <w:t>小盆</w:t>
            </w:r>
          </w:p>
        </w:tc>
        <w:tc>
          <w:tcPr>
            <w:tcW w:w="2820" w:type="dxa"/>
            <w:vAlign w:val="center"/>
          </w:tcPr>
          <w:p w14:paraId="6E57B9E8">
            <w:pPr>
              <w:pageBreakBefore w:val="0"/>
              <w:widowControl w:val="0"/>
              <w:kinsoku/>
              <w:wordWrap/>
              <w:overflowPunct/>
              <w:topLinePunct w:val="0"/>
              <w:bidi w:val="0"/>
              <w:spacing w:after="0" w:line="560" w:lineRule="exact"/>
              <w:ind w:firstLine="0" w:firstLineChars="0"/>
              <w:jc w:val="center"/>
              <w:rPr>
                <w:rFonts w:hint="eastAsia" w:ascii="宋体" w:hAnsi="宋体" w:eastAsia="宋体" w:cs="宋体"/>
                <w:color w:val="auto"/>
                <w:kern w:val="2"/>
                <w:sz w:val="24"/>
                <w:szCs w:val="24"/>
                <w:shd w:val="clear" w:color="auto" w:fill="FFFFFF"/>
                <w:lang w:val="en-US" w:eastAsia="zh-CN"/>
              </w:rPr>
            </w:pPr>
          </w:p>
        </w:tc>
      </w:tr>
    </w:tbl>
    <w:p w14:paraId="17C46B9F">
      <w:pPr>
        <w:pageBreakBefore w:val="0"/>
        <w:widowControl w:val="0"/>
        <w:numPr>
          <w:ilvl w:val="0"/>
          <w:numId w:val="0"/>
        </w:numPr>
        <w:wordWrap/>
        <w:overflowPunct/>
        <w:topLinePunct w:val="0"/>
        <w:bidi w:val="0"/>
        <w:spacing w:line="360" w:lineRule="auto"/>
        <w:ind w:firstLine="482" w:firstLineChars="200"/>
        <w:rPr>
          <w:rFonts w:hint="default"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10、响应报价要求</w:t>
      </w:r>
    </w:p>
    <w:p w14:paraId="5D61306C">
      <w:pPr>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 w:eastAsia="zh-CN"/>
        </w:rPr>
      </w:pPr>
      <w:r>
        <w:rPr>
          <w:rFonts w:hint="eastAsia" w:ascii="宋体" w:hAnsi="宋体" w:eastAsia="宋体" w:cs="宋体"/>
          <w:color w:val="auto"/>
          <w:spacing w:val="0"/>
          <w:position w:val="0"/>
          <w:sz w:val="24"/>
          <w:szCs w:val="24"/>
          <w:lang w:val="en-US" w:eastAsia="zh-CN"/>
        </w:rPr>
        <w:t>10.1 响应报价是响应采购项目要求的全部工作内容的价格体现，应包括人工费（基本</w:t>
      </w:r>
      <w:r>
        <w:rPr>
          <w:rFonts w:hint="eastAsia" w:ascii="宋体" w:hAnsi="宋体" w:eastAsia="宋体" w:cs="宋体"/>
          <w:color w:val="auto"/>
          <w:spacing w:val="0"/>
          <w:position w:val="0"/>
          <w:sz w:val="24"/>
          <w:szCs w:val="24"/>
          <w:lang w:val="en" w:eastAsia="zh-CN"/>
        </w:rPr>
        <w:t>工资、社会保险费、福利费、法定节假日</w:t>
      </w:r>
      <w:r>
        <w:rPr>
          <w:rFonts w:hint="eastAsia" w:ascii="宋体" w:hAnsi="宋体" w:eastAsia="宋体" w:cs="宋体"/>
          <w:color w:val="auto"/>
          <w:spacing w:val="0"/>
          <w:position w:val="0"/>
          <w:sz w:val="24"/>
          <w:szCs w:val="24"/>
          <w:lang w:val="en-US" w:eastAsia="zh-CN"/>
        </w:rPr>
        <w:t>加班费</w:t>
      </w:r>
      <w:r>
        <w:rPr>
          <w:rFonts w:hint="eastAsia" w:ascii="宋体" w:hAnsi="宋体" w:eastAsia="宋体" w:cs="宋体"/>
          <w:color w:val="auto"/>
          <w:spacing w:val="0"/>
          <w:position w:val="0"/>
          <w:sz w:val="24"/>
          <w:szCs w:val="24"/>
          <w:lang w:val="en" w:eastAsia="zh-CN"/>
        </w:rPr>
        <w:t>、伙食补助费、</w:t>
      </w:r>
      <w:r>
        <w:rPr>
          <w:rFonts w:hint="eastAsia" w:ascii="宋体" w:hAnsi="宋体" w:eastAsia="宋体" w:cs="宋体"/>
          <w:color w:val="auto"/>
          <w:spacing w:val="0"/>
          <w:position w:val="0"/>
          <w:sz w:val="24"/>
          <w:szCs w:val="24"/>
          <w:lang w:val="en-US" w:eastAsia="zh-CN"/>
        </w:rPr>
        <w:t>高温补贴费</w:t>
      </w:r>
      <w:r>
        <w:rPr>
          <w:rFonts w:hint="eastAsia" w:ascii="宋体" w:hAnsi="宋体" w:eastAsia="宋体" w:cs="宋体"/>
          <w:color w:val="auto"/>
          <w:spacing w:val="0"/>
          <w:position w:val="0"/>
          <w:sz w:val="24"/>
          <w:szCs w:val="24"/>
          <w:lang w:val="en" w:eastAsia="zh-CN"/>
        </w:rPr>
        <w:t>）、服务耗材费、</w:t>
      </w:r>
      <w:r>
        <w:rPr>
          <w:rFonts w:hint="eastAsia" w:ascii="宋体" w:hAnsi="宋体" w:eastAsia="宋体" w:cs="宋体"/>
          <w:color w:val="auto"/>
          <w:spacing w:val="0"/>
          <w:position w:val="0"/>
          <w:sz w:val="24"/>
          <w:szCs w:val="24"/>
          <w:lang w:val="en-US" w:eastAsia="zh-CN"/>
        </w:rPr>
        <w:t>机械设备费</w:t>
      </w:r>
      <w:r>
        <w:rPr>
          <w:rFonts w:hint="eastAsia" w:ascii="宋体" w:hAnsi="宋体" w:eastAsia="宋体" w:cs="宋体"/>
          <w:color w:val="auto"/>
          <w:spacing w:val="0"/>
          <w:position w:val="0"/>
          <w:sz w:val="24"/>
          <w:szCs w:val="24"/>
          <w:lang w:val="en" w:eastAsia="zh-CN"/>
        </w:rPr>
        <w:t>、绿化养护和管理费、</w:t>
      </w:r>
      <w:r>
        <w:rPr>
          <w:rFonts w:hint="eastAsia" w:ascii="宋体" w:hAnsi="宋体" w:eastAsia="宋体" w:cs="宋体"/>
          <w:color w:val="auto"/>
          <w:spacing w:val="0"/>
          <w:position w:val="0"/>
          <w:sz w:val="24"/>
          <w:szCs w:val="24"/>
          <w:lang w:val="en-US" w:eastAsia="zh-CN"/>
        </w:rPr>
        <w:t>其他费用(</w:t>
      </w:r>
      <w:r>
        <w:rPr>
          <w:rFonts w:hint="eastAsia" w:ascii="宋体" w:hAnsi="宋体" w:eastAsia="宋体" w:cs="宋体"/>
          <w:color w:val="auto"/>
          <w:spacing w:val="0"/>
          <w:position w:val="0"/>
          <w:sz w:val="24"/>
          <w:szCs w:val="24"/>
          <w:lang w:val="en" w:eastAsia="zh-CN"/>
        </w:rPr>
        <w:t>行政办公费、管理费、利润、单次单项</w:t>
      </w:r>
      <w:r>
        <w:rPr>
          <w:rFonts w:hint="eastAsia" w:ascii="宋体" w:hAnsi="宋体" w:eastAsia="宋体" w:cs="宋体"/>
          <w:color w:val="auto"/>
          <w:spacing w:val="0"/>
          <w:position w:val="0"/>
          <w:sz w:val="24"/>
          <w:szCs w:val="24"/>
          <w:lang w:val="en-US" w:eastAsia="zh-CN"/>
        </w:rPr>
        <w:t>300</w:t>
      </w:r>
      <w:r>
        <w:rPr>
          <w:rFonts w:hint="eastAsia" w:ascii="宋体" w:hAnsi="宋体" w:eastAsia="宋体" w:cs="宋体"/>
          <w:color w:val="auto"/>
          <w:spacing w:val="0"/>
          <w:position w:val="0"/>
          <w:sz w:val="24"/>
          <w:szCs w:val="24"/>
          <w:lang w:val="en" w:eastAsia="zh-CN"/>
        </w:rPr>
        <w:t>元以下的日常设备更换费或维修费</w:t>
      </w:r>
      <w:r>
        <w:rPr>
          <w:rFonts w:hint="eastAsia" w:ascii="宋体" w:hAnsi="宋体" w:eastAsia="宋体" w:cs="宋体"/>
          <w:color w:val="auto"/>
          <w:spacing w:val="0"/>
          <w:position w:val="0"/>
          <w:sz w:val="24"/>
          <w:szCs w:val="24"/>
          <w:lang w:val="en-US" w:eastAsia="zh-CN"/>
        </w:rPr>
        <w:t>)、</w:t>
      </w:r>
      <w:r>
        <w:rPr>
          <w:rFonts w:hint="eastAsia" w:ascii="宋体" w:hAnsi="宋体" w:eastAsia="宋体" w:cs="宋体"/>
          <w:color w:val="auto"/>
          <w:spacing w:val="0"/>
          <w:position w:val="0"/>
          <w:sz w:val="24"/>
          <w:szCs w:val="24"/>
          <w:lang w:val="en" w:eastAsia="zh-CN"/>
        </w:rPr>
        <w:t>税费及</w:t>
      </w:r>
      <w:r>
        <w:rPr>
          <w:rFonts w:hint="eastAsia" w:ascii="宋体" w:hAnsi="宋体" w:eastAsia="宋体" w:cs="宋体"/>
          <w:color w:val="auto"/>
          <w:spacing w:val="0"/>
          <w:position w:val="0"/>
          <w:sz w:val="24"/>
          <w:szCs w:val="24"/>
          <w:lang w:val="en-US" w:eastAsia="zh-CN"/>
        </w:rPr>
        <w:t>谈判</w:t>
      </w:r>
      <w:r>
        <w:rPr>
          <w:rFonts w:hint="eastAsia" w:ascii="宋体" w:hAnsi="宋体" w:eastAsia="宋体" w:cs="宋体"/>
          <w:color w:val="auto"/>
          <w:spacing w:val="0"/>
          <w:position w:val="0"/>
          <w:sz w:val="24"/>
          <w:szCs w:val="24"/>
          <w:lang w:val="en" w:eastAsia="zh-CN"/>
        </w:rPr>
        <w:t>文件中约定应由</w:t>
      </w:r>
      <w:r>
        <w:rPr>
          <w:rFonts w:hint="eastAsia" w:ascii="宋体" w:hAnsi="宋体" w:eastAsia="宋体" w:cs="宋体"/>
          <w:color w:val="auto"/>
          <w:spacing w:val="0"/>
          <w:position w:val="0"/>
          <w:sz w:val="24"/>
          <w:szCs w:val="24"/>
          <w:lang w:val="en-US" w:eastAsia="zh-CN"/>
        </w:rPr>
        <w:t>供应商</w:t>
      </w:r>
      <w:r>
        <w:rPr>
          <w:rFonts w:hint="eastAsia" w:ascii="宋体" w:hAnsi="宋体" w:eastAsia="宋体" w:cs="宋体"/>
          <w:color w:val="auto"/>
          <w:spacing w:val="0"/>
          <w:position w:val="0"/>
          <w:sz w:val="24"/>
          <w:szCs w:val="24"/>
          <w:lang w:val="en" w:eastAsia="zh-CN"/>
        </w:rPr>
        <w:t>完成的本项目全部服务内容所需全部费用。</w:t>
      </w:r>
    </w:p>
    <w:p w14:paraId="7E146C1D">
      <w:pPr>
        <w:pageBreakBefore w:val="0"/>
        <w:widowControl w:val="0"/>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10.2 供应商的报价作为每年签订合同金额的依据。服务期内，如国家或地方政府的最低工资标准、保险基数费用、税费等政策调整或是物价上涨，合同金额不做调整，请供应商综合考虑。</w:t>
      </w:r>
    </w:p>
    <w:p w14:paraId="09D68519">
      <w:pPr>
        <w:pageBreakBefore w:val="0"/>
        <w:widowControl w:val="0"/>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10.3 报价要求</w:t>
      </w:r>
    </w:p>
    <w:p w14:paraId="2FC6555C">
      <w:pPr>
        <w:pageBreakBefore w:val="0"/>
        <w:widowControl w:val="0"/>
        <w:wordWrap/>
        <w:overflowPunct/>
        <w:topLinePunct w:val="0"/>
        <w:bidi w:val="0"/>
        <w:spacing w:line="360" w:lineRule="auto"/>
        <w:ind w:firstLine="480" w:firstLineChars="200"/>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供应商须按照谈判文件规定格式提交《报价一览明细表》。明细表各分项报价，不得以企业让利、自有库存、配套赠送等任何形式，对机械设备、服务、配套耗材及附属内容进行免费、无偿、赠送或零报价；</w:t>
      </w:r>
      <w:r>
        <w:rPr>
          <w:rFonts w:hint="eastAsia" w:ascii="宋体" w:hAnsi="宋体" w:eastAsia="宋体" w:cs="宋体"/>
          <w:b/>
          <w:bCs/>
          <w:color w:val="auto"/>
          <w:spacing w:val="0"/>
          <w:position w:val="0"/>
          <w:sz w:val="24"/>
          <w:szCs w:val="24"/>
          <w:lang w:val="en-US" w:eastAsia="zh-CN"/>
        </w:rPr>
        <w:t>所有分项报价、汇总报价及报价计算过程数值均保留小数点后两位，超出位数按四舍五入规则取值。</w:t>
      </w:r>
      <w:r>
        <w:rPr>
          <w:rFonts w:hint="eastAsia" w:ascii="宋体" w:hAnsi="宋体" w:eastAsia="宋体" w:cs="宋体"/>
          <w:b w:val="0"/>
          <w:bCs w:val="0"/>
          <w:color w:val="auto"/>
          <w:spacing w:val="0"/>
          <w:position w:val="0"/>
          <w:sz w:val="24"/>
          <w:szCs w:val="24"/>
          <w:lang w:val="en-US" w:eastAsia="zh-CN"/>
        </w:rPr>
        <w:t>凡存在违规零报价、赠送报价、数值保留位数不符合要求，或分项报价与汇总报价计算逻辑不一致情形的，</w:t>
      </w:r>
      <w:r>
        <w:rPr>
          <w:rFonts w:hint="eastAsia" w:ascii="宋体" w:hAnsi="宋体" w:eastAsia="宋体" w:cs="宋体"/>
          <w:b/>
          <w:bCs/>
          <w:color w:val="auto"/>
          <w:spacing w:val="0"/>
          <w:position w:val="0"/>
          <w:sz w:val="24"/>
          <w:szCs w:val="24"/>
          <w:lang w:val="en-US" w:eastAsia="zh-CN"/>
        </w:rPr>
        <w:t>均视为未实质性响应谈判文件，其响应文件按无效响应处理。</w:t>
      </w:r>
    </w:p>
    <w:p w14:paraId="518A6DE0">
      <w:pPr>
        <w:pageBreakBefore w:val="0"/>
        <w:widowControl w:val="0"/>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10.3.1 基本工资：人员基本工资不得低于本项目所在地行政区当年度最低工资标准。供应商在编制响应报价时，其人员工资低于本项目所在地行政区当年度最低工资标准，</w:t>
      </w:r>
      <w:r>
        <w:rPr>
          <w:rFonts w:hint="eastAsia" w:ascii="宋体" w:hAnsi="宋体" w:eastAsia="宋体" w:cs="宋体"/>
          <w:b/>
          <w:bCs/>
          <w:color w:val="auto"/>
          <w:spacing w:val="0"/>
          <w:position w:val="0"/>
          <w:sz w:val="24"/>
          <w:szCs w:val="24"/>
          <w:lang w:val="en-US" w:eastAsia="zh-CN"/>
        </w:rPr>
        <w:t>视为未实质性响应按无效响应处理。</w:t>
      </w:r>
    </w:p>
    <w:p w14:paraId="26EEEE57">
      <w:pPr>
        <w:pageBreakBefore w:val="0"/>
        <w:widowControl w:val="0"/>
        <w:wordWrap/>
        <w:overflowPunct/>
        <w:topLinePunct w:val="0"/>
        <w:bidi w:val="0"/>
        <w:spacing w:line="360" w:lineRule="auto"/>
        <w:ind w:firstLine="480" w:firstLineChars="200"/>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10.3.2 社会保险费：社保缴纳标准不得低于本项目所在地行政区当年度规定的最低缴纳基数和最低缴纳比例，</w:t>
      </w:r>
      <w:r>
        <w:rPr>
          <w:rFonts w:hint="eastAsia" w:ascii="宋体" w:hAnsi="宋体" w:eastAsia="宋体" w:cs="宋体"/>
          <w:b/>
          <w:bCs/>
          <w:color w:val="auto"/>
          <w:spacing w:val="0"/>
          <w:position w:val="0"/>
          <w:sz w:val="24"/>
          <w:szCs w:val="24"/>
          <w:lang w:val="en-US" w:eastAsia="zh-CN"/>
        </w:rPr>
        <w:t>否则视为未实质性响应按无效响应处理。</w:t>
      </w:r>
      <w:r>
        <w:rPr>
          <w:rFonts w:hint="eastAsia" w:ascii="宋体" w:hAnsi="宋体" w:eastAsia="宋体" w:cs="宋体"/>
          <w:color w:val="auto"/>
          <w:spacing w:val="0"/>
          <w:position w:val="0"/>
          <w:sz w:val="24"/>
          <w:szCs w:val="24"/>
          <w:lang w:val="en-US" w:eastAsia="zh-CN"/>
        </w:rPr>
        <w:t>供应商在编制响应报价时，以被征地农民已参加被征地农民养老保险为由不为本项目服务人员缴纳社会保险费的，</w:t>
      </w:r>
      <w:r>
        <w:rPr>
          <w:rFonts w:hint="eastAsia" w:ascii="宋体" w:hAnsi="宋体" w:eastAsia="宋体" w:cs="宋体"/>
          <w:b/>
          <w:bCs/>
          <w:color w:val="auto"/>
          <w:spacing w:val="0"/>
          <w:position w:val="0"/>
          <w:sz w:val="24"/>
          <w:szCs w:val="24"/>
          <w:lang w:val="en-US" w:eastAsia="zh-CN"/>
        </w:rPr>
        <w:t>视为未实质性响应按无效响应处理。</w:t>
      </w:r>
    </w:p>
    <w:p w14:paraId="698522DE">
      <w:pPr>
        <w:pageBreakBefore w:val="0"/>
        <w:widowControl w:val="0"/>
        <w:wordWrap/>
        <w:overflowPunct/>
        <w:topLinePunct w:val="0"/>
        <w:bidi w:val="0"/>
        <w:spacing w:line="360" w:lineRule="auto"/>
        <w:ind w:firstLine="480" w:firstLineChars="200"/>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xml:space="preserve">10.3.3 </w:t>
      </w:r>
      <w:r>
        <w:rPr>
          <w:rFonts w:hint="eastAsia" w:ascii="宋体" w:hAnsi="宋体" w:cs="宋体"/>
          <w:color w:val="auto"/>
          <w:sz w:val="24"/>
          <w:szCs w:val="24"/>
          <w:lang w:val="en-US" w:eastAsia="zh-CN"/>
        </w:rPr>
        <w:t>法定节假日</w:t>
      </w:r>
      <w:r>
        <w:rPr>
          <w:rFonts w:hint="eastAsia" w:ascii="宋体" w:hAnsi="宋体" w:eastAsia="宋体" w:cs="宋体"/>
          <w:color w:val="auto"/>
          <w:spacing w:val="0"/>
          <w:position w:val="0"/>
          <w:sz w:val="24"/>
          <w:szCs w:val="24"/>
          <w:lang w:val="en-US" w:eastAsia="zh-CN"/>
        </w:rPr>
        <w:t>加班费：</w:t>
      </w:r>
    </w:p>
    <w:p w14:paraId="4CE13641">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（1）法定节假日加班费：本项目法定节假日在岗人员加班费计入总报价，采购人支付物业服务费用后不再单独支付加班费。法定休假日加班工资应符合《中华人民共和国劳动法(2018修正) 》第四十四条“（三）法定休假日安排劳动者工作的，支付不低于工资的百分之三百的工资报酬”之规定。法定节假日按规定元旦、春节、清明节、劳动节、端午节、中秋节、国庆节，共13天计算。本项目法定节假日须在岗人数</w:t>
      </w:r>
      <w:r>
        <w:rPr>
          <w:rFonts w:hint="eastAsia" w:ascii="宋体" w:hAnsi="宋体" w:eastAsia="宋体" w:cs="宋体"/>
          <w:b/>
          <w:bCs/>
          <w:color w:val="auto"/>
          <w:spacing w:val="0"/>
          <w:position w:val="0"/>
          <w:sz w:val="24"/>
          <w:szCs w:val="24"/>
          <w:u w:val="single"/>
          <w:lang w:val="en-US" w:eastAsia="zh-CN"/>
        </w:rPr>
        <w:t xml:space="preserve"> 2 </w:t>
      </w:r>
      <w:r>
        <w:rPr>
          <w:rFonts w:hint="eastAsia" w:ascii="宋体" w:hAnsi="宋体" w:eastAsia="宋体" w:cs="宋体"/>
          <w:b/>
          <w:bCs/>
          <w:color w:val="auto"/>
          <w:spacing w:val="0"/>
          <w:position w:val="0"/>
          <w:sz w:val="24"/>
          <w:szCs w:val="24"/>
          <w:lang w:val="en-US" w:eastAsia="zh-CN"/>
        </w:rPr>
        <w:t>人</w:t>
      </w:r>
      <w:r>
        <w:rPr>
          <w:rFonts w:hint="eastAsia" w:ascii="宋体" w:hAnsi="宋体" w:eastAsia="宋体" w:cs="宋体"/>
          <w:color w:val="auto"/>
          <w:spacing w:val="0"/>
          <w:position w:val="0"/>
          <w:sz w:val="24"/>
          <w:szCs w:val="24"/>
          <w:lang w:val="en-US" w:eastAsia="zh-CN"/>
        </w:rPr>
        <w:t>。供应商在编制响应报价时，法定节假日人员加班费低于上述要求，</w:t>
      </w:r>
      <w:r>
        <w:rPr>
          <w:rFonts w:hint="eastAsia" w:ascii="宋体" w:hAnsi="宋体" w:eastAsia="宋体" w:cs="宋体"/>
          <w:b/>
          <w:bCs/>
          <w:color w:val="auto"/>
          <w:spacing w:val="0"/>
          <w:position w:val="0"/>
          <w:sz w:val="24"/>
          <w:szCs w:val="24"/>
          <w:lang w:val="en-US" w:eastAsia="zh-CN"/>
        </w:rPr>
        <w:t>视为未实质性响应按无效响应处理。</w:t>
      </w:r>
      <w:r>
        <w:rPr>
          <w:rFonts w:hint="eastAsia" w:ascii="宋体" w:hAnsi="宋体" w:eastAsia="宋体" w:cs="宋体"/>
          <w:color w:val="auto"/>
          <w:spacing w:val="0"/>
          <w:position w:val="0"/>
          <w:sz w:val="24"/>
          <w:szCs w:val="24"/>
          <w:lang w:val="en-US" w:eastAsia="zh-CN"/>
        </w:rPr>
        <w:t>计算公式（示例）：工资÷21.75天×3倍×（人数）×13天。</w:t>
      </w:r>
    </w:p>
    <w:p w14:paraId="7881DA9E">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双休日、工作日加班费：供应商可结合自身情况安排补休；供应商确不能安排加班人员补休的，需按照竞争性谈判文件要求，根据【中华人民共和国劳动法(2018修正)】文件规定支付相应的加班费。双休日、工作日在岗加班费计入总报价，采购人支付物业服务费用后不再单独支付加班费。</w:t>
      </w:r>
    </w:p>
    <w:p w14:paraId="1C1C07E2">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xml:space="preserve">10.3.4 </w:t>
      </w:r>
      <w:r>
        <w:rPr>
          <w:rFonts w:hint="eastAsia" w:ascii="宋体" w:hAnsi="宋体" w:eastAsia="宋体" w:cs="宋体"/>
          <w:b w:val="0"/>
          <w:bCs w:val="0"/>
          <w:color w:val="auto"/>
          <w:spacing w:val="0"/>
          <w:position w:val="0"/>
          <w:sz w:val="24"/>
          <w:szCs w:val="24"/>
          <w:lang w:val="en-US" w:eastAsia="zh-CN"/>
        </w:rPr>
        <w:t>福利费、高温补贴费、伙食补助费：</w:t>
      </w:r>
      <w:r>
        <w:rPr>
          <w:rFonts w:hint="eastAsia" w:ascii="宋体" w:hAnsi="宋体" w:eastAsia="宋体" w:cs="宋体"/>
          <w:color w:val="auto"/>
          <w:spacing w:val="0"/>
          <w:position w:val="0"/>
          <w:sz w:val="24"/>
          <w:szCs w:val="24"/>
          <w:lang w:val="en-US" w:eastAsia="zh-CN"/>
        </w:rPr>
        <w:t>供应商</w:t>
      </w:r>
      <w:r>
        <w:rPr>
          <w:rFonts w:hint="eastAsia" w:ascii="宋体" w:hAnsi="宋体" w:eastAsia="宋体" w:cs="宋体"/>
          <w:b w:val="0"/>
          <w:bCs w:val="0"/>
          <w:color w:val="auto"/>
          <w:spacing w:val="0"/>
          <w:position w:val="0"/>
          <w:sz w:val="24"/>
          <w:szCs w:val="24"/>
          <w:lang w:val="en-US" w:eastAsia="zh-CN"/>
        </w:rPr>
        <w:t>按相关政策及结合自身情况进行报价。</w:t>
      </w:r>
    </w:p>
    <w:p w14:paraId="60E4715B">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10.3.5 服务耗材费：</w:t>
      </w:r>
      <w:r>
        <w:rPr>
          <w:rFonts w:hint="eastAsia" w:ascii="宋体" w:hAnsi="宋体" w:eastAsia="宋体" w:cs="宋体"/>
          <w:color w:val="auto"/>
          <w:spacing w:val="0"/>
          <w:position w:val="0"/>
          <w:sz w:val="24"/>
          <w:szCs w:val="24"/>
          <w:lang w:val="en-US" w:eastAsia="zh-CN"/>
        </w:rPr>
        <w:t>供应商</w:t>
      </w:r>
      <w:r>
        <w:rPr>
          <w:rFonts w:hint="eastAsia" w:ascii="宋体" w:hAnsi="宋体" w:eastAsia="宋体" w:cs="宋体"/>
          <w:b w:val="0"/>
          <w:bCs w:val="0"/>
          <w:color w:val="auto"/>
          <w:spacing w:val="0"/>
          <w:position w:val="0"/>
          <w:sz w:val="24"/>
          <w:szCs w:val="24"/>
          <w:lang w:val="en-US" w:eastAsia="zh-CN"/>
        </w:rPr>
        <w:t>按采购需求“7.3 服务耗材配置清单”的数量要求及结合项目实际和项目服务要求进行报价。</w:t>
      </w:r>
    </w:p>
    <w:p w14:paraId="041C7C44">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10.3.6 机械设备费：</w:t>
      </w:r>
      <w:r>
        <w:rPr>
          <w:rFonts w:hint="eastAsia" w:ascii="宋体" w:hAnsi="宋体" w:eastAsia="宋体" w:cs="宋体"/>
          <w:color w:val="auto"/>
          <w:spacing w:val="0"/>
          <w:position w:val="0"/>
          <w:sz w:val="24"/>
          <w:szCs w:val="24"/>
          <w:lang w:val="en-US" w:eastAsia="zh-CN"/>
        </w:rPr>
        <w:t>供应商</w:t>
      </w:r>
      <w:r>
        <w:rPr>
          <w:rFonts w:hint="eastAsia" w:ascii="宋体" w:hAnsi="宋体" w:eastAsia="宋体" w:cs="宋体"/>
          <w:b w:val="0"/>
          <w:bCs w:val="0"/>
          <w:color w:val="auto"/>
          <w:spacing w:val="0"/>
          <w:position w:val="0"/>
          <w:sz w:val="24"/>
          <w:szCs w:val="24"/>
          <w:lang w:val="en-US" w:eastAsia="zh-CN"/>
        </w:rPr>
        <w:t>按采购需求“8.3 机械设备配置清单”的数量要求及结合项目实际和项目服务要求进行报价。</w:t>
      </w:r>
    </w:p>
    <w:p w14:paraId="3325CB38">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 xml:space="preserve">10.3.7 </w:t>
      </w:r>
      <w:r>
        <w:rPr>
          <w:rFonts w:hint="eastAsia" w:ascii="宋体" w:hAnsi="宋体" w:eastAsia="宋体" w:cs="宋体"/>
          <w:b w:val="0"/>
          <w:bCs w:val="0"/>
          <w:color w:val="auto"/>
          <w:spacing w:val="0"/>
          <w:position w:val="0"/>
          <w:sz w:val="24"/>
          <w:szCs w:val="24"/>
          <w:lang w:val="en" w:eastAsia="zh-CN"/>
        </w:rPr>
        <w:t>绿化养护和管理费：</w:t>
      </w:r>
      <w:r>
        <w:rPr>
          <w:rFonts w:hint="eastAsia" w:ascii="宋体" w:hAnsi="宋体" w:eastAsia="宋体" w:cs="宋体"/>
          <w:b w:val="0"/>
          <w:bCs w:val="0"/>
          <w:color w:val="auto"/>
          <w:spacing w:val="0"/>
          <w:position w:val="0"/>
          <w:sz w:val="24"/>
          <w:szCs w:val="24"/>
          <w:lang w:val="en-US" w:eastAsia="zh-CN"/>
        </w:rPr>
        <w:t>供应商按采购需求“9、绿植配置清单”的数量要求及结合项目实际和项目服务要求进行报价。</w:t>
      </w:r>
    </w:p>
    <w:p w14:paraId="2A26CD26">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10.3.9 其他费用：行政办公费（人员服装费、办公用品、劳保用品、培训费）、管理费、利润、单次单项300元以下的日常设备更换费或维修费及谈判文件中约定应由供应商完成的本项目全部服务内容所需全部费用。</w:t>
      </w:r>
    </w:p>
    <w:p w14:paraId="45DACB2D">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10.3.10 税费：供应商应根据其在谈判截止日有效的增值税纳税人身份（一般纳税人或小规模纳税人）进行报价计算。【</w:t>
      </w:r>
      <w:r>
        <w:rPr>
          <w:rFonts w:hint="eastAsia" w:ascii="宋体" w:hAnsi="宋体" w:eastAsia="宋体" w:cs="宋体"/>
          <w:b/>
          <w:bCs/>
          <w:color w:val="auto"/>
          <w:spacing w:val="0"/>
          <w:position w:val="0"/>
          <w:sz w:val="24"/>
          <w:szCs w:val="24"/>
          <w:lang w:val="en-US" w:eastAsia="zh-CN"/>
        </w:rPr>
        <w:t>提供《增值税纳税人身份及开票承诺函》</w:t>
      </w:r>
      <w:r>
        <w:rPr>
          <w:rFonts w:hint="eastAsia" w:ascii="宋体" w:hAnsi="宋体" w:eastAsia="宋体" w:cs="宋体"/>
          <w:b w:val="0"/>
          <w:bCs w:val="0"/>
          <w:color w:val="auto"/>
          <w:spacing w:val="0"/>
          <w:position w:val="0"/>
          <w:sz w:val="24"/>
          <w:szCs w:val="24"/>
          <w:lang w:val="en-US" w:eastAsia="zh-CN"/>
        </w:rPr>
        <w:t>】</w:t>
      </w:r>
    </w:p>
    <w:p w14:paraId="77141899">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10.3.10.1 若供应商依法享受税率优惠或减免政策的，须提供供应商情况说明及由税务部门出具的证明材料或政策文件，未按上述要求提供或不符合要求的，视为未实质性响应按无效响应处理。</w:t>
      </w:r>
      <w:r>
        <w:rPr>
          <w:rFonts w:hint="eastAsia" w:ascii="宋体" w:hAnsi="宋体" w:eastAsia="宋体" w:cs="宋体"/>
          <w:b/>
          <w:bCs/>
          <w:color w:val="auto"/>
          <w:spacing w:val="0"/>
          <w:position w:val="0"/>
          <w:sz w:val="24"/>
          <w:szCs w:val="24"/>
          <w:lang w:val="en-US" w:eastAsia="zh-CN"/>
        </w:rPr>
        <w:t>【提供供应商情况说明（说明内容应包含享受税率优惠或减免政策的情况）和由税务部门出具的证明材料或政策文件】</w:t>
      </w:r>
      <w:r>
        <w:rPr>
          <w:rFonts w:hint="eastAsia" w:ascii="宋体" w:hAnsi="宋体" w:eastAsia="宋体" w:cs="宋体"/>
          <w:b w:val="0"/>
          <w:bCs w:val="0"/>
          <w:color w:val="auto"/>
          <w:spacing w:val="0"/>
          <w:position w:val="0"/>
          <w:sz w:val="24"/>
          <w:szCs w:val="24"/>
          <w:lang w:val="en-US" w:eastAsia="zh-CN"/>
        </w:rPr>
        <w:t>。</w:t>
      </w:r>
    </w:p>
    <w:p w14:paraId="4AECA4C0">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10.3.10.2 本项目为物业管理服务项目，根据《财政部国家税务总局关于全面推开营业税改征增值税试点的通知》财税〔2016〕36号文及其附件《营业税改征增值税试点实施办法》的规定，物业管理行业属于第8项商务辅助服务中企业管理服务类，供应商不得按劳务派遣服务计算税率，</w:t>
      </w:r>
      <w:r>
        <w:rPr>
          <w:rFonts w:hint="eastAsia" w:ascii="宋体" w:hAnsi="宋体" w:eastAsia="宋体" w:cs="宋体"/>
          <w:b/>
          <w:bCs/>
          <w:color w:val="auto"/>
          <w:spacing w:val="0"/>
          <w:position w:val="0"/>
          <w:sz w:val="24"/>
          <w:szCs w:val="24"/>
          <w:lang w:val="en-US" w:eastAsia="zh-CN"/>
        </w:rPr>
        <w:t>否则视为未实质性响应按无效响应处理。</w:t>
      </w:r>
    </w:p>
    <w:p w14:paraId="50E06CD4">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10.3.11 谈判小组认为供应商的报价明显低于其他通过符合性审查供应商的报价，有可能影响服务质量或者不能诚信履约的，应当要求其在评标现场合理的时间内提供书面的成本分析说明（包含人员成本分析、购置服务耗材成本分析、配置机械设备成本分析、购置</w:t>
      </w:r>
      <w:r>
        <w:rPr>
          <w:rFonts w:hint="eastAsia" w:ascii="宋体" w:hAnsi="宋体" w:eastAsia="宋体" w:cs="宋体"/>
          <w:color w:val="auto"/>
          <w:spacing w:val="0"/>
          <w:position w:val="0"/>
          <w:sz w:val="24"/>
          <w:szCs w:val="24"/>
          <w:lang w:val="en" w:eastAsia="zh-CN"/>
        </w:rPr>
        <w:t>绿化养护和管理</w:t>
      </w:r>
      <w:r>
        <w:rPr>
          <w:rFonts w:hint="eastAsia" w:ascii="宋体" w:hAnsi="宋体" w:eastAsia="宋体" w:cs="宋体"/>
          <w:color w:val="auto"/>
          <w:spacing w:val="0"/>
          <w:position w:val="0"/>
          <w:sz w:val="24"/>
          <w:szCs w:val="24"/>
          <w:lang w:val="en-US" w:eastAsia="zh-CN"/>
        </w:rPr>
        <w:t>成本分析</w:t>
      </w:r>
      <w:r>
        <w:rPr>
          <w:rFonts w:hint="eastAsia" w:ascii="宋体" w:hAnsi="宋体" w:eastAsia="宋体" w:cs="宋体"/>
          <w:color w:val="auto"/>
          <w:spacing w:val="0"/>
          <w:position w:val="0"/>
          <w:sz w:val="24"/>
          <w:szCs w:val="24"/>
          <w:lang w:val="en" w:eastAsia="zh-CN"/>
        </w:rPr>
        <w:t>、</w:t>
      </w:r>
      <w:r>
        <w:rPr>
          <w:rFonts w:hint="eastAsia" w:ascii="宋体" w:hAnsi="宋体" w:eastAsia="宋体" w:cs="宋体"/>
          <w:color w:val="auto"/>
          <w:spacing w:val="0"/>
          <w:position w:val="0"/>
          <w:sz w:val="24"/>
          <w:szCs w:val="24"/>
          <w:lang w:val="en-US" w:eastAsia="zh-CN"/>
        </w:rPr>
        <w:t>其他费用成本分析），必要时提交相关证明材料；</w:t>
      </w:r>
      <w:r>
        <w:rPr>
          <w:rFonts w:hint="eastAsia" w:ascii="宋体" w:hAnsi="宋体" w:eastAsia="宋体" w:cs="宋体"/>
          <w:b/>
          <w:bCs/>
          <w:color w:val="auto"/>
          <w:spacing w:val="0"/>
          <w:position w:val="0"/>
          <w:sz w:val="24"/>
          <w:szCs w:val="24"/>
          <w:lang w:val="en-US" w:eastAsia="zh-CN"/>
        </w:rPr>
        <w:t>供应商不能证明其报价合理性的，谈判小组应当按无效响应处理。</w:t>
      </w:r>
    </w:p>
    <w:p w14:paraId="0B2F3A43">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10.3.12 如成交后，成交供应商因物业服务费用问题无法正常履约的，视为虚假响应，采购人有权随时终止合同，并将相关情况上报至财政部门。</w:t>
      </w:r>
    </w:p>
    <w:p w14:paraId="64469B68">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11、保密要求</w:t>
      </w:r>
    </w:p>
    <w:p w14:paraId="0D146264">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xml:space="preserve">11.1 建立保密管理制度。制度内容应当包括但不限于：①档案室及院领导办公室涉及的卷宗保密要求。②庭审信息及人员信息等敏感内容的保密要求。 </w:t>
      </w:r>
    </w:p>
    <w:p w14:paraId="7BE63E06">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xml:space="preserve">11.2 根据采购人要求与涉密工作岗位的服务人员签订保密协议。保密协议应当向采购人报备。          </w:t>
      </w:r>
    </w:p>
    <w:p w14:paraId="3B345DDE">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11.3 每季度至少开展 1 次对服务人员进行保密、思想政治教育的培训，提高服务人员保密意识和思想 政治意识。新入职员工应当接受保密、思想政治教育培训，进行必要的人员经历审查，合格后签订保密协议方可上岗。</w:t>
      </w:r>
    </w:p>
    <w:p w14:paraId="00FC0528">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11.4 发现服务人员违法违规或重大过失，及时报告采购人，并采取必要补救措施。</w:t>
      </w:r>
    </w:p>
    <w:p w14:paraId="3857E994">
      <w:pPr>
        <w:pStyle w:val="7"/>
        <w:rPr>
          <w:rFonts w:hint="eastAsia" w:ascii="宋体" w:hAnsi="宋体" w:eastAsia="宋体" w:cs="宋体"/>
          <w:b/>
          <w:bCs/>
          <w:color w:val="auto"/>
          <w:spacing w:val="0"/>
          <w:position w:val="0"/>
          <w:sz w:val="24"/>
          <w:szCs w:val="24"/>
          <w:lang w:val="en-US" w:eastAsia="zh-CN"/>
        </w:rPr>
      </w:pPr>
    </w:p>
    <w:p w14:paraId="6E7115A7">
      <w:pPr>
        <w:pStyle w:val="7"/>
        <w:rPr>
          <w:rFonts w:hint="eastAsia" w:ascii="宋体" w:hAnsi="宋体" w:eastAsia="宋体" w:cs="宋体"/>
          <w:b/>
          <w:bCs/>
          <w:color w:val="auto"/>
          <w:spacing w:val="0"/>
          <w:position w:val="0"/>
          <w:sz w:val="24"/>
          <w:szCs w:val="24"/>
          <w:lang w:val="en-US" w:eastAsia="zh-CN"/>
        </w:rPr>
      </w:pPr>
    </w:p>
    <w:p w14:paraId="4DC645A9">
      <w:pPr>
        <w:pStyle w:val="8"/>
        <w:rPr>
          <w:rFonts w:hint="eastAsia" w:ascii="宋体" w:hAnsi="宋体" w:eastAsia="宋体" w:cs="宋体"/>
          <w:b/>
          <w:bCs/>
          <w:color w:val="auto"/>
          <w:spacing w:val="0"/>
          <w:position w:val="0"/>
          <w:sz w:val="24"/>
          <w:szCs w:val="24"/>
          <w:lang w:val="en-US" w:eastAsia="zh-CN"/>
        </w:rPr>
      </w:pPr>
    </w:p>
    <w:p w14:paraId="491BD4EF">
      <w:pPr>
        <w:pStyle w:val="9"/>
        <w:rPr>
          <w:rFonts w:hint="eastAsia" w:ascii="宋体" w:hAnsi="宋体" w:eastAsia="宋体" w:cs="宋体"/>
          <w:b/>
          <w:bCs/>
          <w:color w:val="auto"/>
          <w:spacing w:val="0"/>
          <w:position w:val="0"/>
          <w:sz w:val="24"/>
          <w:szCs w:val="24"/>
          <w:lang w:val="en-US" w:eastAsia="zh-CN"/>
        </w:rPr>
      </w:pPr>
    </w:p>
    <w:p w14:paraId="2EC02192">
      <w:pPr>
        <w:pStyle w:val="9"/>
        <w:rPr>
          <w:rFonts w:hint="eastAsia" w:ascii="宋体" w:hAnsi="宋体" w:eastAsia="宋体" w:cs="宋体"/>
          <w:b/>
          <w:bCs/>
          <w:color w:val="auto"/>
          <w:spacing w:val="0"/>
          <w:position w:val="0"/>
          <w:sz w:val="24"/>
          <w:szCs w:val="24"/>
          <w:lang w:val="en-US" w:eastAsia="zh-CN"/>
        </w:rPr>
      </w:pPr>
    </w:p>
    <w:p w14:paraId="5151F668">
      <w:pPr>
        <w:pStyle w:val="7"/>
        <w:rPr>
          <w:rFonts w:hint="eastAsia" w:ascii="宋体" w:hAnsi="宋体" w:eastAsia="宋体" w:cs="宋体"/>
          <w:b/>
          <w:bCs/>
          <w:color w:val="auto"/>
          <w:spacing w:val="0"/>
          <w:position w:val="0"/>
          <w:sz w:val="24"/>
          <w:szCs w:val="24"/>
          <w:lang w:val="en-US" w:eastAsia="zh-CN"/>
        </w:rPr>
      </w:pPr>
    </w:p>
    <w:p w14:paraId="6AD26AE2">
      <w:pPr>
        <w:pStyle w:val="7"/>
        <w:rPr>
          <w:rFonts w:hint="eastAsia" w:ascii="宋体" w:hAnsi="宋体" w:eastAsia="宋体" w:cs="宋体"/>
          <w:b/>
          <w:bCs/>
          <w:color w:val="auto"/>
          <w:spacing w:val="0"/>
          <w:position w:val="0"/>
          <w:sz w:val="24"/>
          <w:szCs w:val="24"/>
          <w:lang w:val="en-US" w:eastAsia="zh-CN"/>
        </w:rPr>
      </w:pPr>
    </w:p>
    <w:p w14:paraId="294B67B2">
      <w:pPr>
        <w:pStyle w:val="7"/>
        <w:rPr>
          <w:rFonts w:hint="eastAsia" w:ascii="宋体" w:hAnsi="宋体" w:eastAsia="宋体" w:cs="宋体"/>
          <w:b/>
          <w:bCs/>
          <w:color w:val="auto"/>
          <w:spacing w:val="0"/>
          <w:position w:val="0"/>
          <w:sz w:val="24"/>
          <w:szCs w:val="24"/>
          <w:lang w:val="en-US" w:eastAsia="zh-CN"/>
        </w:rPr>
      </w:pPr>
    </w:p>
    <w:p w14:paraId="75DF5811">
      <w:pPr>
        <w:pStyle w:val="7"/>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（三）商务要求</w:t>
      </w:r>
    </w:p>
    <w:tbl>
      <w:tblPr>
        <w:tblStyle w:val="17"/>
        <w:tblW w:w="8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5"/>
        <w:gridCol w:w="1305"/>
        <w:gridCol w:w="5408"/>
        <w:gridCol w:w="1500"/>
      </w:tblGrid>
      <w:tr w14:paraId="45886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705" w:type="dxa"/>
            <w:noWrap w:val="0"/>
            <w:vAlign w:val="center"/>
          </w:tcPr>
          <w:p w14:paraId="39B5AFA3">
            <w:pPr>
              <w:pStyle w:val="34"/>
              <w:keepNext w:val="0"/>
              <w:keepLines w:val="0"/>
              <w:pageBreakBefore w:val="0"/>
              <w:numPr>
                <w:ilvl w:val="0"/>
                <w:numId w:val="0"/>
              </w:numPr>
              <w:kinsoku/>
              <w:wordWrap/>
              <w:overflowPunct/>
              <w:topLinePunct w:val="0"/>
              <w:autoSpaceDE w:val="0"/>
              <w:autoSpaceDN w:val="0"/>
              <w:bidi w:val="0"/>
              <w:adjustRightInd w:val="0"/>
              <w:spacing w:line="440" w:lineRule="exact"/>
              <w:jc w:val="center"/>
              <w:rPr>
                <w:rFonts w:hint="eastAsia" w:ascii="宋体" w:hAnsi="宋体" w:eastAsia="宋体" w:cs="宋体"/>
                <w:b/>
                <w:bCs w:val="0"/>
                <w:color w:val="auto"/>
                <w:sz w:val="24"/>
                <w:szCs w:val="24"/>
                <w:highlight w:val="none"/>
                <w:vertAlign w:val="baseline"/>
                <w:lang w:val="en-US" w:eastAsia="zh-CN"/>
              </w:rPr>
            </w:pPr>
            <w:r>
              <w:rPr>
                <w:rFonts w:hint="eastAsia" w:ascii="宋体" w:hAnsi="宋体" w:eastAsia="宋体" w:cs="宋体"/>
                <w:b/>
                <w:bCs w:val="0"/>
                <w:color w:val="auto"/>
                <w:sz w:val="24"/>
                <w:szCs w:val="24"/>
                <w:highlight w:val="none"/>
                <w:vertAlign w:val="baseline"/>
                <w:lang w:val="en-US" w:eastAsia="zh-CN"/>
              </w:rPr>
              <w:t>序号</w:t>
            </w:r>
          </w:p>
        </w:tc>
        <w:tc>
          <w:tcPr>
            <w:tcW w:w="1305" w:type="dxa"/>
            <w:noWrap w:val="0"/>
            <w:vAlign w:val="center"/>
          </w:tcPr>
          <w:p w14:paraId="64F9A0C6">
            <w:pPr>
              <w:pStyle w:val="34"/>
              <w:keepNext w:val="0"/>
              <w:keepLines w:val="0"/>
              <w:pageBreakBefore w:val="0"/>
              <w:numPr>
                <w:ilvl w:val="0"/>
                <w:numId w:val="0"/>
              </w:numPr>
              <w:kinsoku/>
              <w:wordWrap/>
              <w:overflowPunct/>
              <w:topLinePunct w:val="0"/>
              <w:autoSpaceDE w:val="0"/>
              <w:autoSpaceDN w:val="0"/>
              <w:bidi w:val="0"/>
              <w:adjustRightInd w:val="0"/>
              <w:spacing w:line="440" w:lineRule="exact"/>
              <w:jc w:val="center"/>
              <w:rPr>
                <w:rFonts w:hint="eastAsia" w:ascii="宋体" w:hAnsi="宋体" w:eastAsia="宋体" w:cs="宋体"/>
                <w:b/>
                <w:bCs w:val="0"/>
                <w:color w:val="auto"/>
                <w:sz w:val="24"/>
                <w:szCs w:val="24"/>
                <w:highlight w:val="none"/>
                <w:vertAlign w:val="baseline"/>
                <w:lang w:val="en-US" w:eastAsia="zh-CN"/>
              </w:rPr>
            </w:pPr>
            <w:r>
              <w:rPr>
                <w:rFonts w:hint="eastAsia" w:ascii="宋体" w:hAnsi="宋体" w:eastAsia="宋体" w:cs="宋体"/>
                <w:b/>
                <w:bCs w:val="0"/>
                <w:color w:val="auto"/>
                <w:sz w:val="24"/>
                <w:szCs w:val="24"/>
                <w:highlight w:val="none"/>
                <w:vertAlign w:val="baseline"/>
                <w:lang w:val="en-US" w:eastAsia="zh-CN"/>
              </w:rPr>
              <w:t>需求名称</w:t>
            </w:r>
          </w:p>
        </w:tc>
        <w:tc>
          <w:tcPr>
            <w:tcW w:w="5408" w:type="dxa"/>
            <w:noWrap w:val="0"/>
            <w:vAlign w:val="center"/>
          </w:tcPr>
          <w:p w14:paraId="124E907B">
            <w:pPr>
              <w:pStyle w:val="34"/>
              <w:keepNext w:val="0"/>
              <w:keepLines w:val="0"/>
              <w:pageBreakBefore w:val="0"/>
              <w:numPr>
                <w:ilvl w:val="0"/>
                <w:numId w:val="0"/>
              </w:numPr>
              <w:kinsoku/>
              <w:wordWrap/>
              <w:overflowPunct/>
              <w:topLinePunct w:val="0"/>
              <w:autoSpaceDE w:val="0"/>
              <w:autoSpaceDN w:val="0"/>
              <w:bidi w:val="0"/>
              <w:adjustRightInd w:val="0"/>
              <w:spacing w:line="440" w:lineRule="exact"/>
              <w:jc w:val="center"/>
              <w:rPr>
                <w:rFonts w:hint="eastAsia" w:ascii="宋体" w:hAnsi="宋体" w:eastAsia="宋体" w:cs="宋体"/>
                <w:b/>
                <w:bCs w:val="0"/>
                <w:color w:val="auto"/>
                <w:sz w:val="24"/>
                <w:szCs w:val="24"/>
                <w:highlight w:val="none"/>
                <w:vertAlign w:val="baseline"/>
                <w:lang w:val="en-US" w:eastAsia="zh-CN"/>
              </w:rPr>
            </w:pPr>
            <w:r>
              <w:rPr>
                <w:rFonts w:hint="eastAsia" w:ascii="宋体" w:hAnsi="宋体" w:eastAsia="宋体" w:cs="宋体"/>
                <w:b/>
                <w:bCs w:val="0"/>
                <w:color w:val="auto"/>
                <w:sz w:val="24"/>
                <w:szCs w:val="24"/>
                <w:highlight w:val="none"/>
                <w:vertAlign w:val="baseline"/>
                <w:lang w:val="en-US" w:eastAsia="zh-CN"/>
              </w:rPr>
              <w:t>需求说明</w:t>
            </w:r>
          </w:p>
        </w:tc>
        <w:tc>
          <w:tcPr>
            <w:tcW w:w="1500" w:type="dxa"/>
            <w:noWrap w:val="0"/>
            <w:vAlign w:val="center"/>
          </w:tcPr>
          <w:p w14:paraId="74B08C90">
            <w:pPr>
              <w:pStyle w:val="34"/>
              <w:keepNext w:val="0"/>
              <w:keepLines w:val="0"/>
              <w:pageBreakBefore w:val="0"/>
              <w:numPr>
                <w:ilvl w:val="0"/>
                <w:numId w:val="0"/>
              </w:numPr>
              <w:kinsoku/>
              <w:wordWrap/>
              <w:overflowPunct/>
              <w:topLinePunct w:val="0"/>
              <w:autoSpaceDE w:val="0"/>
              <w:autoSpaceDN w:val="0"/>
              <w:bidi w:val="0"/>
              <w:adjustRightInd w:val="0"/>
              <w:spacing w:line="440" w:lineRule="exact"/>
              <w:jc w:val="center"/>
              <w:rPr>
                <w:rFonts w:hint="eastAsia" w:ascii="宋体" w:hAnsi="宋体" w:eastAsia="宋体" w:cs="宋体"/>
                <w:b/>
                <w:bCs w:val="0"/>
                <w:color w:val="auto"/>
                <w:sz w:val="24"/>
                <w:szCs w:val="24"/>
                <w:highlight w:val="none"/>
                <w:vertAlign w:val="baseline"/>
                <w:lang w:val="en-US" w:eastAsia="zh-CN"/>
              </w:rPr>
            </w:pPr>
            <w:r>
              <w:rPr>
                <w:rFonts w:hint="eastAsia" w:ascii="宋体" w:hAnsi="宋体" w:eastAsia="宋体" w:cs="宋体"/>
                <w:b/>
                <w:bCs w:val="0"/>
                <w:color w:val="auto"/>
                <w:sz w:val="24"/>
                <w:szCs w:val="24"/>
                <w:highlight w:val="none"/>
                <w:vertAlign w:val="baseline"/>
                <w:lang w:val="en-US" w:eastAsia="zh-CN"/>
              </w:rPr>
              <w:t>偏离选项</w:t>
            </w:r>
          </w:p>
        </w:tc>
      </w:tr>
      <w:tr w14:paraId="1CDC9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5" w:hRule="atLeast"/>
          <w:jc w:val="center"/>
        </w:trPr>
        <w:tc>
          <w:tcPr>
            <w:tcW w:w="705" w:type="dxa"/>
            <w:noWrap w:val="0"/>
            <w:vAlign w:val="center"/>
          </w:tcPr>
          <w:p w14:paraId="051CD72B">
            <w:pPr>
              <w:pStyle w:val="34"/>
              <w:keepNext w:val="0"/>
              <w:keepLines w:val="0"/>
              <w:pageBreakBefore w:val="0"/>
              <w:numPr>
                <w:ilvl w:val="0"/>
                <w:numId w:val="0"/>
              </w:numPr>
              <w:kinsoku/>
              <w:wordWrap/>
              <w:overflowPunct/>
              <w:topLinePunct w:val="0"/>
              <w:autoSpaceDE w:val="0"/>
              <w:autoSpaceDN w:val="0"/>
              <w:bidi w:val="0"/>
              <w:adjustRightInd w:val="0"/>
              <w:spacing w:line="440" w:lineRule="exact"/>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1</w:t>
            </w:r>
          </w:p>
        </w:tc>
        <w:tc>
          <w:tcPr>
            <w:tcW w:w="1305" w:type="dxa"/>
            <w:noWrap w:val="0"/>
            <w:vAlign w:val="center"/>
          </w:tcPr>
          <w:p w14:paraId="2D65580A">
            <w:pPr>
              <w:keepNext w:val="0"/>
              <w:keepLines w:val="0"/>
              <w:pageBreakBefore w:val="0"/>
              <w:widowControl/>
              <w:suppressLineNumbers w:val="0"/>
              <w:kinsoku/>
              <w:wordWrap/>
              <w:overflowPunct/>
              <w:topLinePunct w:val="0"/>
              <w:autoSpaceDE w:val="0"/>
              <w:autoSpaceDN w:val="0"/>
              <w:bidi w:val="0"/>
              <w:adjustRightInd w:val="0"/>
              <w:jc w:val="both"/>
              <w:rPr>
                <w:rFonts w:hint="eastAsia" w:ascii="宋体" w:hAnsi="宋体" w:eastAsia="宋体" w:cs="宋体"/>
                <w:color w:val="auto"/>
                <w:spacing w:val="4"/>
                <w:kern w:val="0"/>
                <w:sz w:val="24"/>
                <w:szCs w:val="24"/>
                <w:highlight w:val="none"/>
                <w:lang w:val="en-US" w:eastAsia="zh-CN" w:bidi="ar"/>
              </w:rPr>
            </w:pPr>
            <w:r>
              <w:rPr>
                <w:rFonts w:hint="eastAsia" w:ascii="宋体" w:hAnsi="宋体" w:eastAsia="宋体" w:cs="宋体"/>
                <w:color w:val="auto"/>
                <w:spacing w:val="4"/>
                <w:kern w:val="0"/>
                <w:sz w:val="24"/>
                <w:szCs w:val="24"/>
                <w:highlight w:val="none"/>
                <w:lang w:val="en-US" w:eastAsia="zh-CN" w:bidi="ar"/>
              </w:rPr>
              <w:t>付款方式</w:t>
            </w:r>
          </w:p>
        </w:tc>
        <w:tc>
          <w:tcPr>
            <w:tcW w:w="5408" w:type="dxa"/>
            <w:noWrap w:val="0"/>
            <w:vAlign w:val="center"/>
          </w:tcPr>
          <w:p w14:paraId="36BF8989">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按月支付，按照上月度考核结果据实支付（提供增值税专用发票）。</w:t>
            </w:r>
          </w:p>
          <w:p w14:paraId="38589D70">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（1）物业服务费按月支付一次。</w:t>
            </w:r>
          </w:p>
          <w:p w14:paraId="6452E9BC">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（2）采购人对成交</w:t>
            </w:r>
            <w:r>
              <w:rPr>
                <w:rFonts w:hint="default" w:ascii="宋体" w:hAnsi="宋体" w:eastAsia="宋体" w:cs="宋体"/>
                <w:b w:val="0"/>
                <w:bCs/>
                <w:color w:val="auto"/>
                <w:sz w:val="24"/>
                <w:szCs w:val="24"/>
                <w:highlight w:val="none"/>
                <w:lang w:val="en-US" w:eastAsia="zh-CN"/>
              </w:rPr>
              <w:t>供应商</w:t>
            </w:r>
            <w:r>
              <w:rPr>
                <w:rFonts w:hint="eastAsia" w:ascii="宋体" w:hAnsi="宋体" w:eastAsia="宋体" w:cs="宋体"/>
                <w:b w:val="0"/>
                <w:bCs/>
                <w:color w:val="auto"/>
                <w:sz w:val="24"/>
                <w:szCs w:val="24"/>
                <w:highlight w:val="none"/>
                <w:lang w:val="en-US" w:eastAsia="zh-CN"/>
              </w:rPr>
              <w:t>第1个月的物业服务考核合格后，于第2个月中旬前支付上一个月已完成的物业服务费，以后每月上旬支付给成交</w:t>
            </w:r>
            <w:r>
              <w:rPr>
                <w:rFonts w:hint="default" w:ascii="宋体" w:hAnsi="宋体" w:eastAsia="宋体" w:cs="宋体"/>
                <w:b w:val="0"/>
                <w:bCs/>
                <w:color w:val="auto"/>
                <w:sz w:val="24"/>
                <w:szCs w:val="24"/>
                <w:highlight w:val="none"/>
                <w:lang w:val="en-US" w:eastAsia="zh-CN"/>
              </w:rPr>
              <w:t>供应商</w:t>
            </w:r>
            <w:r>
              <w:rPr>
                <w:rFonts w:hint="eastAsia" w:ascii="宋体" w:hAnsi="宋体" w:eastAsia="宋体" w:cs="宋体"/>
                <w:b w:val="0"/>
                <w:bCs/>
                <w:color w:val="auto"/>
                <w:sz w:val="24"/>
                <w:szCs w:val="24"/>
                <w:highlight w:val="none"/>
                <w:lang w:val="en-US" w:eastAsia="zh-CN"/>
              </w:rPr>
              <w:t>上月已完成的物业管理费。如遇节假日则顺延。</w:t>
            </w:r>
          </w:p>
          <w:p w14:paraId="50D11992">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（3）每次支付时，成交</w:t>
            </w:r>
            <w:r>
              <w:rPr>
                <w:rFonts w:hint="default" w:ascii="宋体" w:hAnsi="宋体" w:eastAsia="宋体" w:cs="宋体"/>
                <w:b w:val="0"/>
                <w:bCs/>
                <w:color w:val="auto"/>
                <w:sz w:val="24"/>
                <w:szCs w:val="24"/>
                <w:highlight w:val="none"/>
                <w:lang w:val="en-US" w:eastAsia="zh-CN"/>
              </w:rPr>
              <w:t>供应商</w:t>
            </w:r>
            <w:r>
              <w:rPr>
                <w:rFonts w:hint="eastAsia" w:ascii="宋体" w:hAnsi="宋体" w:eastAsia="宋体" w:cs="宋体"/>
                <w:b w:val="0"/>
                <w:bCs/>
                <w:color w:val="auto"/>
                <w:sz w:val="24"/>
                <w:szCs w:val="24"/>
                <w:highlight w:val="none"/>
                <w:lang w:val="en-US" w:eastAsia="zh-CN"/>
              </w:rPr>
              <w:t>提供采购人的月度考核及认可的各项记录材料，并开具正规发票（增值税专用发票或服务专用发票）。</w:t>
            </w:r>
          </w:p>
        </w:tc>
        <w:tc>
          <w:tcPr>
            <w:tcW w:w="1500" w:type="dxa"/>
            <w:noWrap w:val="0"/>
            <w:vAlign w:val="center"/>
          </w:tcPr>
          <w:p w14:paraId="3B8C331E">
            <w:pPr>
              <w:keepNext w:val="0"/>
              <w:keepLines w:val="0"/>
              <w:pageBreakBefore w:val="0"/>
              <w:widowControl/>
              <w:suppressLineNumbers w:val="0"/>
              <w:kinsoku/>
              <w:wordWrap/>
              <w:overflowPunct/>
              <w:topLinePunct w:val="0"/>
              <w:autoSpaceDE w:val="0"/>
              <w:autoSpaceDN w:val="0"/>
              <w:bidi w:val="0"/>
              <w:adjustRightInd w:val="0"/>
              <w:jc w:val="center"/>
              <w:rPr>
                <w:rFonts w:hint="eastAsia" w:ascii="宋体" w:hAnsi="宋体" w:eastAsia="宋体" w:cs="宋体"/>
                <w:b/>
                <w:color w:val="auto"/>
                <w:sz w:val="24"/>
                <w:szCs w:val="24"/>
                <w:highlight w:val="none"/>
                <w:vertAlign w:val="baseline"/>
                <w:lang w:val="en-US" w:eastAsia="zh-CN"/>
              </w:rPr>
            </w:pPr>
            <w:r>
              <w:rPr>
                <w:rFonts w:hint="eastAsia" w:ascii="宋体" w:hAnsi="宋体" w:eastAsia="宋体" w:cs="宋体"/>
                <w:color w:val="auto"/>
                <w:spacing w:val="4"/>
                <w:kern w:val="0"/>
                <w:sz w:val="24"/>
                <w:szCs w:val="24"/>
                <w:highlight w:val="none"/>
                <w:lang w:val="en-US" w:eastAsia="zh-CN" w:bidi="ar"/>
              </w:rPr>
              <w:t>不可负偏离</w:t>
            </w:r>
          </w:p>
        </w:tc>
      </w:tr>
      <w:tr w14:paraId="37ED7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705" w:type="dxa"/>
            <w:noWrap w:val="0"/>
            <w:vAlign w:val="center"/>
          </w:tcPr>
          <w:p w14:paraId="3C500ED2">
            <w:pPr>
              <w:pStyle w:val="34"/>
              <w:keepNext w:val="0"/>
              <w:keepLines w:val="0"/>
              <w:pageBreakBefore w:val="0"/>
              <w:numPr>
                <w:ilvl w:val="0"/>
                <w:numId w:val="0"/>
              </w:numPr>
              <w:kinsoku/>
              <w:wordWrap/>
              <w:overflowPunct/>
              <w:topLinePunct w:val="0"/>
              <w:autoSpaceDE w:val="0"/>
              <w:autoSpaceDN w:val="0"/>
              <w:bidi w:val="0"/>
              <w:adjustRightInd w:val="0"/>
              <w:spacing w:line="440" w:lineRule="exact"/>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2</w:t>
            </w:r>
          </w:p>
        </w:tc>
        <w:tc>
          <w:tcPr>
            <w:tcW w:w="1305" w:type="dxa"/>
            <w:noWrap w:val="0"/>
            <w:vAlign w:val="center"/>
          </w:tcPr>
          <w:p w14:paraId="556D4CC8">
            <w:pPr>
              <w:keepNext w:val="0"/>
              <w:keepLines w:val="0"/>
              <w:pageBreakBefore w:val="0"/>
              <w:widowControl/>
              <w:suppressLineNumbers w:val="0"/>
              <w:kinsoku/>
              <w:wordWrap/>
              <w:overflowPunct/>
              <w:topLinePunct w:val="0"/>
              <w:autoSpaceDE w:val="0"/>
              <w:autoSpaceDN w:val="0"/>
              <w:bidi w:val="0"/>
              <w:adjustRightInd w:val="0"/>
              <w:jc w:val="both"/>
              <w:rPr>
                <w:rFonts w:hint="eastAsia" w:ascii="宋体" w:hAnsi="宋体" w:eastAsia="宋体" w:cs="宋体"/>
                <w:color w:val="auto"/>
                <w:spacing w:val="4"/>
                <w:kern w:val="0"/>
                <w:sz w:val="24"/>
                <w:szCs w:val="24"/>
                <w:highlight w:val="none"/>
                <w:lang w:val="en-US" w:eastAsia="zh-CN" w:bidi="ar"/>
              </w:rPr>
            </w:pPr>
            <w:r>
              <w:rPr>
                <w:rFonts w:hint="eastAsia" w:ascii="宋体" w:hAnsi="宋体" w:eastAsia="宋体" w:cs="宋体"/>
                <w:color w:val="auto"/>
                <w:spacing w:val="4"/>
                <w:kern w:val="0"/>
                <w:sz w:val="24"/>
                <w:szCs w:val="24"/>
                <w:highlight w:val="none"/>
                <w:lang w:val="en-US" w:eastAsia="zh-CN" w:bidi="ar"/>
              </w:rPr>
              <w:t>履约保证金</w:t>
            </w:r>
          </w:p>
        </w:tc>
        <w:tc>
          <w:tcPr>
            <w:tcW w:w="5408" w:type="dxa"/>
            <w:noWrap w:val="0"/>
            <w:vAlign w:val="center"/>
          </w:tcPr>
          <w:p w14:paraId="73376746">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签订合同后3个工作日内成交</w:t>
            </w:r>
            <w:r>
              <w:rPr>
                <w:rFonts w:hint="default" w:ascii="宋体" w:hAnsi="宋体" w:eastAsia="宋体" w:cs="宋体"/>
                <w:b w:val="0"/>
                <w:bCs/>
                <w:color w:val="auto"/>
                <w:sz w:val="24"/>
                <w:szCs w:val="24"/>
                <w:highlight w:val="none"/>
                <w:lang w:val="en-US" w:eastAsia="zh-CN"/>
              </w:rPr>
              <w:t>供应商</w:t>
            </w:r>
            <w:r>
              <w:rPr>
                <w:rFonts w:hint="eastAsia" w:ascii="宋体" w:hAnsi="宋体" w:eastAsia="宋体" w:cs="宋体"/>
                <w:b w:val="0"/>
                <w:bCs/>
                <w:color w:val="auto"/>
                <w:sz w:val="24"/>
                <w:szCs w:val="24"/>
                <w:highlight w:val="none"/>
                <w:lang w:val="en-US" w:eastAsia="zh-CN"/>
              </w:rPr>
              <w:t>向采购人交纳合同总金额的</w:t>
            </w:r>
            <w:r>
              <w:rPr>
                <w:rFonts w:hint="eastAsia" w:ascii="宋体" w:hAnsi="宋体" w:eastAsia="宋体" w:cs="宋体"/>
                <w:b w:val="0"/>
                <w:bCs/>
                <w:color w:val="auto"/>
                <w:sz w:val="24"/>
                <w:szCs w:val="24"/>
                <w:highlight w:val="none"/>
                <w:u w:val="single"/>
                <w:lang w:val="en-US" w:eastAsia="zh-CN"/>
              </w:rPr>
              <w:t xml:space="preserve"> </w:t>
            </w:r>
            <w:r>
              <w:rPr>
                <w:rFonts w:hint="eastAsia" w:ascii="宋体" w:hAnsi="宋体" w:eastAsia="宋体" w:cs="宋体"/>
                <w:b/>
                <w:bCs w:val="0"/>
                <w:color w:val="auto"/>
                <w:sz w:val="24"/>
                <w:szCs w:val="24"/>
                <w:highlight w:val="none"/>
                <w:u w:val="single"/>
                <w:lang w:val="en-US" w:eastAsia="zh-CN"/>
              </w:rPr>
              <w:t xml:space="preserve">10% </w:t>
            </w:r>
            <w:r>
              <w:rPr>
                <w:rFonts w:hint="eastAsia" w:ascii="宋体" w:hAnsi="宋体" w:eastAsia="宋体" w:cs="宋体"/>
                <w:b w:val="0"/>
                <w:bCs/>
                <w:color w:val="auto"/>
                <w:sz w:val="24"/>
                <w:szCs w:val="24"/>
                <w:highlight w:val="none"/>
                <w:lang w:val="en-US" w:eastAsia="zh-CN"/>
              </w:rPr>
              <w:t>作为履约保证金；</w:t>
            </w:r>
            <w:r>
              <w:rPr>
                <w:rFonts w:hint="eastAsia" w:ascii="宋体" w:hAnsi="宋体" w:eastAsia="宋体" w:cs="宋体"/>
                <w:b/>
                <w:bCs/>
                <w:color w:val="auto"/>
                <w:sz w:val="24"/>
                <w:szCs w:val="24"/>
                <w:highlight w:val="none"/>
                <w:lang w:val="en-US" w:eastAsia="zh-CN"/>
              </w:rPr>
              <w:t>履约保证金应当以支票、汇票、本票或者金融机构、担保机构出具的保函等非现金形式提交。</w:t>
            </w:r>
          </w:p>
          <w:p w14:paraId="7BEC976D">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履约保证金退还：</w:t>
            </w:r>
            <w:r>
              <w:rPr>
                <w:rFonts w:hint="eastAsia" w:ascii="宋体" w:hAnsi="宋体" w:eastAsia="宋体" w:cs="宋体"/>
                <w:b w:val="0"/>
                <w:bCs/>
                <w:color w:val="auto"/>
                <w:sz w:val="24"/>
                <w:szCs w:val="24"/>
                <w:highlight w:val="none"/>
                <w:lang w:val="en-US" w:eastAsia="zh-CN"/>
              </w:rPr>
              <w:t>成交</w:t>
            </w:r>
            <w:r>
              <w:rPr>
                <w:rFonts w:hint="default" w:ascii="宋体" w:hAnsi="宋体" w:eastAsia="宋体" w:cs="宋体"/>
                <w:b w:val="0"/>
                <w:bCs/>
                <w:color w:val="auto"/>
                <w:sz w:val="24"/>
                <w:szCs w:val="24"/>
                <w:highlight w:val="none"/>
                <w:lang w:val="en-US" w:eastAsia="zh-CN"/>
              </w:rPr>
              <w:t>供应商</w:t>
            </w:r>
            <w:r>
              <w:rPr>
                <w:rFonts w:hint="eastAsia" w:ascii="宋体" w:hAnsi="宋体" w:eastAsia="宋体" w:cs="宋体"/>
                <w:b w:val="0"/>
                <w:bCs/>
                <w:color w:val="auto"/>
                <w:sz w:val="24"/>
                <w:szCs w:val="24"/>
                <w:highlight w:val="none"/>
                <w:lang w:val="en-US" w:eastAsia="zh-CN"/>
              </w:rPr>
              <w:t>按合同规定履行了全部义务且无其他违约事实，待合同终止后，采购人将履约保证金一次性无息退还成交</w:t>
            </w:r>
            <w:r>
              <w:rPr>
                <w:rFonts w:hint="default" w:ascii="宋体" w:hAnsi="宋体" w:eastAsia="宋体" w:cs="宋体"/>
                <w:b w:val="0"/>
                <w:bCs/>
                <w:color w:val="auto"/>
                <w:sz w:val="24"/>
                <w:szCs w:val="24"/>
                <w:highlight w:val="none"/>
                <w:lang w:val="en-US" w:eastAsia="zh-CN"/>
              </w:rPr>
              <w:t>供应商</w:t>
            </w:r>
            <w:r>
              <w:rPr>
                <w:rFonts w:hint="eastAsia" w:ascii="宋体" w:hAnsi="宋体" w:eastAsia="宋体" w:cs="宋体"/>
                <w:b w:val="0"/>
                <w:bCs/>
                <w:color w:val="auto"/>
                <w:sz w:val="24"/>
                <w:szCs w:val="24"/>
                <w:highlight w:val="none"/>
                <w:lang w:val="en-US" w:eastAsia="zh-CN"/>
              </w:rPr>
              <w:t>。</w:t>
            </w:r>
            <w:r>
              <w:rPr>
                <w:rFonts w:hint="eastAsia" w:ascii="宋体" w:hAnsi="宋体" w:eastAsia="宋体" w:cs="宋体"/>
                <w:b/>
                <w:bCs w:val="0"/>
                <w:color w:val="auto"/>
                <w:sz w:val="24"/>
                <w:szCs w:val="24"/>
                <w:highlight w:val="none"/>
                <w:lang w:val="en-US" w:eastAsia="zh-CN"/>
              </w:rPr>
              <w:t>逾期退还履约保证金违约责任：</w:t>
            </w:r>
            <w:r>
              <w:rPr>
                <w:rFonts w:hint="eastAsia" w:ascii="宋体" w:hAnsi="宋体" w:eastAsia="宋体" w:cs="宋体"/>
                <w:b w:val="0"/>
                <w:bCs/>
                <w:color w:val="auto"/>
                <w:sz w:val="24"/>
                <w:szCs w:val="24"/>
                <w:highlight w:val="none"/>
                <w:lang w:val="en-US" w:eastAsia="zh-CN"/>
              </w:rPr>
              <w:t>合同到期后，年终考核合格，采购人应在7个工作日内退还履约保证金；逾期退还的，每逾期一日，采购人应向成交供应商支付100元违约金。</w:t>
            </w:r>
          </w:p>
        </w:tc>
        <w:tc>
          <w:tcPr>
            <w:tcW w:w="1500" w:type="dxa"/>
            <w:noWrap w:val="0"/>
            <w:vAlign w:val="center"/>
          </w:tcPr>
          <w:p w14:paraId="12AD8406">
            <w:pPr>
              <w:keepNext w:val="0"/>
              <w:keepLines w:val="0"/>
              <w:pageBreakBefore w:val="0"/>
              <w:widowControl/>
              <w:numPr>
                <w:ilvl w:val="0"/>
                <w:numId w:val="0"/>
              </w:numPr>
              <w:suppressLineNumbers w:val="0"/>
              <w:kinsoku/>
              <w:wordWrap/>
              <w:overflowPunct/>
              <w:topLinePunct w:val="0"/>
              <w:autoSpaceDE w:val="0"/>
              <w:autoSpaceDN w:val="0"/>
              <w:bidi w:val="0"/>
              <w:adjustRightInd w:val="0"/>
              <w:spacing w:line="440" w:lineRule="exact"/>
              <w:jc w:val="center"/>
              <w:rPr>
                <w:rFonts w:hint="eastAsia" w:ascii="宋体" w:hAnsi="宋体" w:eastAsia="宋体" w:cs="宋体"/>
                <w:b/>
                <w:color w:val="auto"/>
                <w:sz w:val="24"/>
                <w:szCs w:val="24"/>
                <w:highlight w:val="none"/>
                <w:vertAlign w:val="baseline"/>
                <w:lang w:val="en-US" w:eastAsia="zh-CN"/>
              </w:rPr>
            </w:pPr>
            <w:r>
              <w:rPr>
                <w:rFonts w:hint="eastAsia" w:ascii="宋体" w:hAnsi="宋体" w:eastAsia="宋体" w:cs="宋体"/>
                <w:color w:val="auto"/>
                <w:spacing w:val="4"/>
                <w:kern w:val="0"/>
                <w:sz w:val="24"/>
                <w:szCs w:val="24"/>
                <w:highlight w:val="none"/>
                <w:lang w:val="en-US" w:eastAsia="zh-CN" w:bidi="ar"/>
              </w:rPr>
              <w:t>不可负偏离</w:t>
            </w:r>
          </w:p>
        </w:tc>
      </w:tr>
      <w:tr w14:paraId="2C6F7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705" w:type="dxa"/>
            <w:noWrap w:val="0"/>
            <w:vAlign w:val="center"/>
          </w:tcPr>
          <w:p w14:paraId="5DEE20C2">
            <w:pPr>
              <w:pStyle w:val="34"/>
              <w:keepNext w:val="0"/>
              <w:keepLines w:val="0"/>
              <w:pageBreakBefore w:val="0"/>
              <w:numPr>
                <w:ilvl w:val="0"/>
                <w:numId w:val="0"/>
              </w:numPr>
              <w:kinsoku/>
              <w:wordWrap/>
              <w:overflowPunct/>
              <w:topLinePunct w:val="0"/>
              <w:autoSpaceDE w:val="0"/>
              <w:autoSpaceDN w:val="0"/>
              <w:bidi w:val="0"/>
              <w:adjustRightInd w:val="0"/>
              <w:spacing w:line="440" w:lineRule="exact"/>
              <w:jc w:val="center"/>
              <w:rPr>
                <w:rFonts w:hint="default" w:ascii="宋体" w:hAnsi="宋体" w:eastAsia="宋体" w:cs="宋体"/>
                <w:b w:val="0"/>
                <w:bCs/>
                <w:color w:val="auto"/>
                <w:sz w:val="24"/>
                <w:szCs w:val="24"/>
                <w:highlight w:val="none"/>
                <w:vertAlign w:val="baseline"/>
                <w:lang w:val="en-US" w:eastAsia="zh-CN"/>
              </w:rPr>
            </w:pPr>
            <w:r>
              <w:rPr>
                <w:rFonts w:hint="eastAsia" w:ascii="宋体" w:hAnsi="宋体" w:cs="宋体"/>
                <w:b w:val="0"/>
                <w:bCs/>
                <w:color w:val="auto"/>
                <w:sz w:val="24"/>
                <w:szCs w:val="24"/>
                <w:highlight w:val="none"/>
                <w:vertAlign w:val="baseline"/>
                <w:lang w:val="en-US" w:eastAsia="zh-CN"/>
              </w:rPr>
              <w:t>3</w:t>
            </w:r>
          </w:p>
        </w:tc>
        <w:tc>
          <w:tcPr>
            <w:tcW w:w="1305" w:type="dxa"/>
            <w:noWrap w:val="0"/>
            <w:vAlign w:val="center"/>
          </w:tcPr>
          <w:p w14:paraId="3EE320E9">
            <w:pPr>
              <w:keepNext w:val="0"/>
              <w:keepLines w:val="0"/>
              <w:pageBreakBefore w:val="0"/>
              <w:widowControl/>
              <w:suppressLineNumbers w:val="0"/>
              <w:kinsoku/>
              <w:wordWrap/>
              <w:overflowPunct/>
              <w:topLinePunct w:val="0"/>
              <w:autoSpaceDE w:val="0"/>
              <w:autoSpaceDN w:val="0"/>
              <w:bidi w:val="0"/>
              <w:adjustRightInd w:val="0"/>
              <w:jc w:val="both"/>
              <w:rPr>
                <w:rFonts w:hint="eastAsia" w:ascii="宋体" w:hAnsi="宋体" w:eastAsia="宋体" w:cs="宋体"/>
                <w:color w:val="auto"/>
                <w:spacing w:val="4"/>
                <w:kern w:val="0"/>
                <w:sz w:val="24"/>
                <w:szCs w:val="24"/>
                <w:highlight w:val="none"/>
                <w:lang w:val="en-US" w:eastAsia="zh-CN" w:bidi="ar"/>
              </w:rPr>
            </w:pPr>
            <w:r>
              <w:rPr>
                <w:rFonts w:hint="eastAsia" w:ascii="宋体" w:hAnsi="宋体" w:eastAsia="宋体" w:cs="宋体"/>
                <w:color w:val="auto"/>
                <w:spacing w:val="4"/>
                <w:kern w:val="0"/>
                <w:sz w:val="24"/>
                <w:szCs w:val="24"/>
                <w:highlight w:val="none"/>
                <w:lang w:val="en-US" w:eastAsia="zh-CN" w:bidi="ar"/>
              </w:rPr>
              <w:t>服务地点</w:t>
            </w:r>
          </w:p>
        </w:tc>
        <w:tc>
          <w:tcPr>
            <w:tcW w:w="5408" w:type="dxa"/>
            <w:noWrap w:val="0"/>
            <w:vAlign w:val="center"/>
          </w:tcPr>
          <w:p w14:paraId="1DFB38F7">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铅山县人民法院（铅山县城东风凰山大道北侧）</w:t>
            </w:r>
          </w:p>
          <w:p w14:paraId="6C4FD3F9">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永平法庭（永平镇城北）、汪二法庭（汪二镇街道站前北路、葛仙山法庭（葛仙山乡杨村村）、紫溪法庭（紫溪乡政府隔壁）。</w:t>
            </w:r>
          </w:p>
        </w:tc>
        <w:tc>
          <w:tcPr>
            <w:tcW w:w="1500" w:type="dxa"/>
            <w:noWrap w:val="0"/>
            <w:vAlign w:val="center"/>
          </w:tcPr>
          <w:p w14:paraId="10374F52">
            <w:pPr>
              <w:keepNext w:val="0"/>
              <w:keepLines w:val="0"/>
              <w:pageBreakBefore w:val="0"/>
              <w:widowControl/>
              <w:numPr>
                <w:ilvl w:val="0"/>
                <w:numId w:val="0"/>
              </w:numPr>
              <w:suppressLineNumbers w:val="0"/>
              <w:kinsoku/>
              <w:wordWrap/>
              <w:overflowPunct/>
              <w:topLinePunct w:val="0"/>
              <w:autoSpaceDE w:val="0"/>
              <w:autoSpaceDN w:val="0"/>
              <w:bidi w:val="0"/>
              <w:adjustRightInd w:val="0"/>
              <w:spacing w:line="440" w:lineRule="exact"/>
              <w:jc w:val="center"/>
              <w:rPr>
                <w:rFonts w:hint="eastAsia" w:ascii="宋体" w:hAnsi="宋体" w:eastAsia="宋体" w:cs="宋体"/>
                <w:b/>
                <w:color w:val="auto"/>
                <w:sz w:val="24"/>
                <w:szCs w:val="24"/>
                <w:highlight w:val="none"/>
                <w:vertAlign w:val="baseline"/>
                <w:lang w:val="en-US" w:eastAsia="zh-CN"/>
              </w:rPr>
            </w:pPr>
            <w:r>
              <w:rPr>
                <w:rFonts w:hint="eastAsia" w:ascii="宋体" w:hAnsi="宋体" w:eastAsia="宋体" w:cs="宋体"/>
                <w:color w:val="auto"/>
                <w:spacing w:val="4"/>
                <w:kern w:val="0"/>
                <w:sz w:val="24"/>
                <w:szCs w:val="24"/>
                <w:highlight w:val="none"/>
                <w:lang w:val="en-US" w:eastAsia="zh-CN" w:bidi="ar"/>
              </w:rPr>
              <w:t>不可负偏离</w:t>
            </w:r>
          </w:p>
        </w:tc>
      </w:tr>
      <w:tr w14:paraId="59A4A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atLeast"/>
          <w:jc w:val="center"/>
        </w:trPr>
        <w:tc>
          <w:tcPr>
            <w:tcW w:w="705" w:type="dxa"/>
            <w:noWrap w:val="0"/>
            <w:vAlign w:val="center"/>
          </w:tcPr>
          <w:p w14:paraId="1045F622">
            <w:pPr>
              <w:pStyle w:val="34"/>
              <w:keepNext w:val="0"/>
              <w:keepLines w:val="0"/>
              <w:pageBreakBefore w:val="0"/>
              <w:numPr>
                <w:ilvl w:val="0"/>
                <w:numId w:val="0"/>
              </w:numPr>
              <w:kinsoku/>
              <w:wordWrap/>
              <w:overflowPunct/>
              <w:topLinePunct w:val="0"/>
              <w:autoSpaceDE w:val="0"/>
              <w:autoSpaceDN w:val="0"/>
              <w:bidi w:val="0"/>
              <w:adjustRightInd w:val="0"/>
              <w:spacing w:line="440" w:lineRule="exact"/>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cs="宋体"/>
                <w:b w:val="0"/>
                <w:bCs/>
                <w:color w:val="auto"/>
                <w:sz w:val="24"/>
                <w:szCs w:val="24"/>
                <w:highlight w:val="none"/>
                <w:vertAlign w:val="baseline"/>
                <w:lang w:val="en-US" w:eastAsia="zh-CN"/>
              </w:rPr>
              <w:t>4</w:t>
            </w:r>
          </w:p>
        </w:tc>
        <w:tc>
          <w:tcPr>
            <w:tcW w:w="1305" w:type="dxa"/>
            <w:noWrap w:val="0"/>
            <w:vAlign w:val="center"/>
          </w:tcPr>
          <w:p w14:paraId="1F8E883F">
            <w:pPr>
              <w:keepNext w:val="0"/>
              <w:keepLines w:val="0"/>
              <w:pageBreakBefore w:val="0"/>
              <w:widowControl/>
              <w:suppressLineNumbers w:val="0"/>
              <w:kinsoku/>
              <w:wordWrap/>
              <w:overflowPunct/>
              <w:topLinePunct w:val="0"/>
              <w:autoSpaceDE w:val="0"/>
              <w:autoSpaceDN w:val="0"/>
              <w:bidi w:val="0"/>
              <w:adjustRightInd w:val="0"/>
              <w:jc w:val="both"/>
              <w:rPr>
                <w:rFonts w:hint="eastAsia" w:ascii="宋体" w:hAnsi="宋体" w:eastAsia="宋体" w:cs="宋体"/>
                <w:color w:val="auto"/>
                <w:spacing w:val="4"/>
                <w:kern w:val="0"/>
                <w:sz w:val="24"/>
                <w:szCs w:val="24"/>
                <w:highlight w:val="none"/>
                <w:lang w:val="en-US" w:eastAsia="zh-CN" w:bidi="ar"/>
              </w:rPr>
            </w:pPr>
            <w:r>
              <w:rPr>
                <w:rFonts w:hint="eastAsia" w:ascii="宋体" w:hAnsi="宋体" w:eastAsia="宋体" w:cs="宋体"/>
                <w:color w:val="auto"/>
                <w:spacing w:val="4"/>
                <w:kern w:val="0"/>
                <w:sz w:val="24"/>
                <w:szCs w:val="24"/>
                <w:highlight w:val="none"/>
                <w:lang w:val="en-US" w:eastAsia="zh-CN" w:bidi="ar"/>
              </w:rPr>
              <w:t>服务进场时间</w:t>
            </w:r>
          </w:p>
        </w:tc>
        <w:tc>
          <w:tcPr>
            <w:tcW w:w="5408" w:type="dxa"/>
            <w:noWrap w:val="0"/>
            <w:vAlign w:val="center"/>
          </w:tcPr>
          <w:p w14:paraId="4D11F49C">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与原物业服务商到期前3日办理交接手续，办理完毕之日前</w:t>
            </w:r>
            <w:r>
              <w:rPr>
                <w:rFonts w:hint="eastAsia" w:ascii="宋体" w:hAnsi="宋体" w:eastAsia="宋体" w:cs="宋体"/>
                <w:b/>
                <w:bCs w:val="0"/>
                <w:color w:val="auto"/>
                <w:sz w:val="24"/>
                <w:szCs w:val="24"/>
                <w:highlight w:val="none"/>
                <w:u w:val="single"/>
                <w:lang w:val="en-US" w:eastAsia="zh-CN"/>
              </w:rPr>
              <w:t xml:space="preserve"> 12 </w:t>
            </w:r>
            <w:r>
              <w:rPr>
                <w:rFonts w:hint="eastAsia" w:ascii="宋体" w:hAnsi="宋体" w:eastAsia="宋体" w:cs="宋体"/>
                <w:b w:val="0"/>
                <w:bCs/>
                <w:color w:val="auto"/>
                <w:sz w:val="24"/>
                <w:szCs w:val="24"/>
                <w:highlight w:val="none"/>
                <w:lang w:val="en-US" w:eastAsia="zh-CN"/>
              </w:rPr>
              <w:t>小时内必须全部进场（人员和设备）</w:t>
            </w:r>
          </w:p>
        </w:tc>
        <w:tc>
          <w:tcPr>
            <w:tcW w:w="1500" w:type="dxa"/>
            <w:noWrap w:val="0"/>
            <w:vAlign w:val="center"/>
          </w:tcPr>
          <w:p w14:paraId="472B2A84">
            <w:pPr>
              <w:keepNext w:val="0"/>
              <w:keepLines w:val="0"/>
              <w:pageBreakBefore w:val="0"/>
              <w:widowControl/>
              <w:numPr>
                <w:ilvl w:val="0"/>
                <w:numId w:val="0"/>
              </w:numPr>
              <w:suppressLineNumbers w:val="0"/>
              <w:kinsoku/>
              <w:wordWrap/>
              <w:overflowPunct/>
              <w:topLinePunct w:val="0"/>
              <w:autoSpaceDE w:val="0"/>
              <w:autoSpaceDN w:val="0"/>
              <w:bidi w:val="0"/>
              <w:adjustRightInd w:val="0"/>
              <w:spacing w:line="440" w:lineRule="exact"/>
              <w:jc w:val="center"/>
              <w:rPr>
                <w:rFonts w:hint="eastAsia" w:ascii="宋体" w:hAnsi="宋体" w:eastAsia="宋体" w:cs="宋体"/>
                <w:b/>
                <w:color w:val="auto"/>
                <w:sz w:val="24"/>
                <w:szCs w:val="24"/>
                <w:highlight w:val="none"/>
                <w:vertAlign w:val="baseline"/>
                <w:lang w:val="en-US" w:eastAsia="zh-CN"/>
              </w:rPr>
            </w:pPr>
            <w:r>
              <w:rPr>
                <w:rFonts w:hint="eastAsia" w:ascii="宋体" w:hAnsi="宋体" w:eastAsia="宋体" w:cs="宋体"/>
                <w:color w:val="auto"/>
                <w:spacing w:val="4"/>
                <w:kern w:val="0"/>
                <w:sz w:val="24"/>
                <w:szCs w:val="24"/>
                <w:highlight w:val="none"/>
                <w:lang w:val="en-US" w:eastAsia="zh-CN" w:bidi="ar"/>
              </w:rPr>
              <w:t>不可负偏离</w:t>
            </w:r>
          </w:p>
        </w:tc>
      </w:tr>
      <w:tr w14:paraId="02D6B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atLeast"/>
          <w:jc w:val="center"/>
        </w:trPr>
        <w:tc>
          <w:tcPr>
            <w:tcW w:w="705" w:type="dxa"/>
            <w:noWrap w:val="0"/>
            <w:vAlign w:val="center"/>
          </w:tcPr>
          <w:p w14:paraId="30B68CAD">
            <w:pPr>
              <w:pStyle w:val="34"/>
              <w:keepNext w:val="0"/>
              <w:keepLines w:val="0"/>
              <w:pageBreakBefore w:val="0"/>
              <w:numPr>
                <w:ilvl w:val="0"/>
                <w:numId w:val="0"/>
              </w:numPr>
              <w:kinsoku/>
              <w:wordWrap/>
              <w:overflowPunct/>
              <w:topLinePunct w:val="0"/>
              <w:autoSpaceDE w:val="0"/>
              <w:autoSpaceDN w:val="0"/>
              <w:bidi w:val="0"/>
              <w:adjustRightInd w:val="0"/>
              <w:spacing w:line="440" w:lineRule="exact"/>
              <w:ind w:left="0" w:leftChars="0" w:firstLine="0" w:firstLineChars="0"/>
              <w:jc w:val="center"/>
              <w:rPr>
                <w:rFonts w:hint="eastAsia" w:ascii="宋体" w:hAnsi="宋体" w:cs="宋体"/>
                <w:b w:val="0"/>
                <w:bCs/>
                <w:color w:val="auto"/>
                <w:sz w:val="24"/>
                <w:szCs w:val="24"/>
                <w:highlight w:val="none"/>
                <w:vertAlign w:val="baseline"/>
                <w:lang w:val="en-US" w:eastAsia="zh-CN"/>
              </w:rPr>
            </w:pPr>
            <w:r>
              <w:rPr>
                <w:rFonts w:hint="eastAsia" w:ascii="宋体" w:hAnsi="宋体" w:cs="宋体"/>
                <w:b w:val="0"/>
                <w:bCs/>
                <w:color w:val="auto"/>
                <w:sz w:val="24"/>
                <w:szCs w:val="24"/>
                <w:highlight w:val="none"/>
                <w:vertAlign w:val="baseline"/>
                <w:lang w:val="en-US" w:eastAsia="zh-CN"/>
              </w:rPr>
              <w:t>5</w:t>
            </w:r>
          </w:p>
        </w:tc>
        <w:tc>
          <w:tcPr>
            <w:tcW w:w="1305" w:type="dxa"/>
            <w:noWrap w:val="0"/>
            <w:vAlign w:val="center"/>
          </w:tcPr>
          <w:p w14:paraId="68303CCE">
            <w:pPr>
              <w:keepNext w:val="0"/>
              <w:keepLines w:val="0"/>
              <w:pageBreakBefore w:val="0"/>
              <w:widowControl/>
              <w:suppressLineNumbers w:val="0"/>
              <w:kinsoku/>
              <w:wordWrap/>
              <w:overflowPunct/>
              <w:topLinePunct w:val="0"/>
              <w:autoSpaceDE w:val="0"/>
              <w:autoSpaceDN w:val="0"/>
              <w:bidi w:val="0"/>
              <w:adjustRightInd w:val="0"/>
              <w:jc w:val="both"/>
              <w:rPr>
                <w:rFonts w:hint="eastAsia" w:ascii="宋体" w:hAnsi="宋体" w:eastAsia="宋体" w:cs="宋体"/>
                <w:color w:val="auto"/>
                <w:spacing w:val="4"/>
                <w:kern w:val="0"/>
                <w:sz w:val="24"/>
                <w:szCs w:val="24"/>
                <w:highlight w:val="none"/>
                <w:lang w:val="en-US" w:eastAsia="zh-CN" w:bidi="ar"/>
              </w:rPr>
            </w:pPr>
            <w:r>
              <w:rPr>
                <w:rFonts w:hint="eastAsia" w:ascii="宋体" w:hAnsi="宋体" w:eastAsia="宋体" w:cs="宋体"/>
                <w:color w:val="auto"/>
                <w:spacing w:val="4"/>
                <w:kern w:val="0"/>
                <w:sz w:val="24"/>
                <w:szCs w:val="24"/>
                <w:highlight w:val="none"/>
                <w:lang w:val="en-US" w:eastAsia="zh-CN" w:bidi="ar"/>
              </w:rPr>
              <w:t>服务期限</w:t>
            </w:r>
          </w:p>
        </w:tc>
        <w:tc>
          <w:tcPr>
            <w:tcW w:w="5408" w:type="dxa"/>
            <w:noWrap w:val="0"/>
            <w:vAlign w:val="center"/>
          </w:tcPr>
          <w:p w14:paraId="513130F6">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default" w:ascii="宋体" w:hAnsi="宋体" w:eastAsia="宋体" w:cs="宋体"/>
                <w:b w:val="0"/>
                <w:bCs/>
                <w:color w:val="auto"/>
                <w:sz w:val="24"/>
                <w:szCs w:val="24"/>
                <w:highlight w:val="none"/>
                <w:lang w:val="en-US" w:eastAsia="zh-CN"/>
              </w:rPr>
            </w:pPr>
            <w:r>
              <w:rPr>
                <w:rFonts w:hint="default" w:ascii="宋体" w:hAnsi="宋体" w:eastAsia="宋体" w:cs="宋体"/>
                <w:b w:val="0"/>
                <w:bCs/>
                <w:color w:val="auto"/>
                <w:sz w:val="24"/>
                <w:szCs w:val="24"/>
                <w:highlight w:val="none"/>
                <w:lang w:val="en-US" w:eastAsia="zh-CN"/>
              </w:rPr>
              <w:t>（1）服务期：</w:t>
            </w:r>
            <w:r>
              <w:rPr>
                <w:rFonts w:hint="eastAsia" w:ascii="宋体" w:hAnsi="宋体" w:eastAsia="宋体" w:cs="宋体"/>
                <w:b w:val="0"/>
                <w:bCs/>
                <w:color w:val="auto"/>
                <w:sz w:val="24"/>
                <w:szCs w:val="24"/>
                <w:highlight w:val="none"/>
                <w:lang w:val="en-US" w:eastAsia="zh-CN"/>
              </w:rPr>
              <w:t>二</w:t>
            </w:r>
            <w:r>
              <w:rPr>
                <w:rFonts w:hint="default" w:ascii="宋体" w:hAnsi="宋体" w:eastAsia="宋体" w:cs="宋体"/>
                <w:b w:val="0"/>
                <w:bCs/>
                <w:color w:val="auto"/>
                <w:sz w:val="24"/>
                <w:szCs w:val="24"/>
                <w:highlight w:val="none"/>
                <w:lang w:val="en-US" w:eastAsia="zh-CN"/>
              </w:rPr>
              <w:t>年，以实际入场时间为准，具体时间根据采购人的通知（其中包含试运行管理期三个月），采购人有专人对此项服务工作进行每天检查、监督。</w:t>
            </w:r>
          </w:p>
          <w:p w14:paraId="1720040B">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default" w:ascii="宋体" w:hAnsi="宋体" w:eastAsia="宋体" w:cs="宋体"/>
                <w:b w:val="0"/>
                <w:bCs/>
                <w:color w:val="auto"/>
                <w:sz w:val="24"/>
                <w:szCs w:val="24"/>
                <w:highlight w:val="none"/>
                <w:lang w:val="en-US" w:eastAsia="zh-CN"/>
              </w:rPr>
            </w:pPr>
            <w:r>
              <w:rPr>
                <w:rFonts w:hint="default" w:ascii="宋体" w:hAnsi="宋体" w:eastAsia="宋体" w:cs="宋体"/>
                <w:b w:val="0"/>
                <w:bCs/>
                <w:color w:val="auto"/>
                <w:sz w:val="24"/>
                <w:szCs w:val="24"/>
                <w:highlight w:val="none"/>
                <w:lang w:val="en-US" w:eastAsia="zh-CN"/>
              </w:rPr>
              <w:t>（2）在试用期内，第一次查出管理服务突出性问题，采购人将要求</w:t>
            </w:r>
            <w:r>
              <w:rPr>
                <w:rFonts w:hint="eastAsia" w:ascii="宋体" w:hAnsi="宋体" w:eastAsia="宋体" w:cs="宋体"/>
                <w:b w:val="0"/>
                <w:bCs/>
                <w:color w:val="auto"/>
                <w:sz w:val="24"/>
                <w:szCs w:val="24"/>
                <w:highlight w:val="none"/>
                <w:lang w:val="en-US" w:eastAsia="zh-CN"/>
              </w:rPr>
              <w:t>成交</w:t>
            </w:r>
            <w:r>
              <w:rPr>
                <w:rFonts w:hint="default" w:ascii="宋体" w:hAnsi="宋体" w:eastAsia="宋体" w:cs="宋体"/>
                <w:b w:val="0"/>
                <w:bCs/>
                <w:color w:val="auto"/>
                <w:sz w:val="24"/>
                <w:szCs w:val="24"/>
                <w:highlight w:val="none"/>
                <w:lang w:val="en-US" w:eastAsia="zh-CN"/>
              </w:rPr>
              <w:t>供应商整改并予以检查；第二次查出管理服务突出性问题，采购人将要求</w:t>
            </w:r>
            <w:r>
              <w:rPr>
                <w:rFonts w:hint="eastAsia" w:ascii="宋体" w:hAnsi="宋体" w:eastAsia="宋体" w:cs="宋体"/>
                <w:b w:val="0"/>
                <w:bCs/>
                <w:color w:val="auto"/>
                <w:sz w:val="24"/>
                <w:szCs w:val="24"/>
                <w:highlight w:val="none"/>
                <w:lang w:val="en-US" w:eastAsia="zh-CN"/>
              </w:rPr>
              <w:t>成交</w:t>
            </w:r>
            <w:r>
              <w:rPr>
                <w:rFonts w:hint="default" w:ascii="宋体" w:hAnsi="宋体" w:eastAsia="宋体" w:cs="宋体"/>
                <w:b w:val="0"/>
                <w:bCs/>
                <w:color w:val="auto"/>
                <w:sz w:val="24"/>
                <w:szCs w:val="24"/>
                <w:highlight w:val="none"/>
                <w:lang w:val="en-US" w:eastAsia="zh-CN"/>
              </w:rPr>
              <w:t>供应商进行整改并予以警告；第三次查出管理服务突出性问题，采购人将要求</w:t>
            </w:r>
            <w:r>
              <w:rPr>
                <w:rFonts w:hint="eastAsia" w:ascii="宋体" w:hAnsi="宋体" w:eastAsia="宋体" w:cs="宋体"/>
                <w:b w:val="0"/>
                <w:bCs/>
                <w:color w:val="auto"/>
                <w:sz w:val="24"/>
                <w:szCs w:val="24"/>
                <w:highlight w:val="none"/>
                <w:lang w:val="en-US" w:eastAsia="zh-CN"/>
              </w:rPr>
              <w:t>成交</w:t>
            </w:r>
            <w:r>
              <w:rPr>
                <w:rFonts w:hint="default" w:ascii="宋体" w:hAnsi="宋体" w:eastAsia="宋体" w:cs="宋体"/>
                <w:b w:val="0"/>
                <w:bCs/>
                <w:color w:val="auto"/>
                <w:sz w:val="24"/>
                <w:szCs w:val="24"/>
                <w:highlight w:val="none"/>
                <w:lang w:val="en-US" w:eastAsia="zh-CN"/>
              </w:rPr>
              <w:t>供应商进行整改并扣除履约保证金</w:t>
            </w:r>
            <w:r>
              <w:rPr>
                <w:rFonts w:hint="eastAsia" w:ascii="宋体" w:hAnsi="宋体" w:eastAsia="宋体" w:cs="宋体"/>
                <w:b w:val="0"/>
                <w:bCs/>
                <w:color w:val="auto"/>
                <w:sz w:val="24"/>
                <w:szCs w:val="24"/>
                <w:highlight w:val="none"/>
                <w:u w:val="single"/>
                <w:lang w:val="en-US" w:eastAsia="zh-CN"/>
              </w:rPr>
              <w:t xml:space="preserve"> </w:t>
            </w:r>
            <w:r>
              <w:rPr>
                <w:rFonts w:hint="default" w:ascii="宋体" w:hAnsi="宋体" w:eastAsia="宋体" w:cs="宋体"/>
                <w:b/>
                <w:bCs w:val="0"/>
                <w:color w:val="auto"/>
                <w:sz w:val="24"/>
                <w:szCs w:val="24"/>
                <w:highlight w:val="none"/>
                <w:u w:val="single"/>
                <w:lang w:val="en-US" w:eastAsia="zh-CN"/>
              </w:rPr>
              <w:t>1万元</w:t>
            </w:r>
            <w:r>
              <w:rPr>
                <w:rFonts w:hint="eastAsia" w:ascii="宋体" w:hAnsi="宋体" w:eastAsia="宋体" w:cs="宋体"/>
                <w:b/>
                <w:bCs w:val="0"/>
                <w:color w:val="auto"/>
                <w:sz w:val="24"/>
                <w:szCs w:val="24"/>
                <w:highlight w:val="none"/>
                <w:u w:val="single"/>
                <w:lang w:val="en-US" w:eastAsia="zh-CN"/>
              </w:rPr>
              <w:t xml:space="preserve"> </w:t>
            </w:r>
            <w:r>
              <w:rPr>
                <w:rFonts w:hint="default" w:ascii="宋体" w:hAnsi="宋体" w:eastAsia="宋体" w:cs="宋体"/>
                <w:b w:val="0"/>
                <w:bCs/>
                <w:color w:val="auto"/>
                <w:sz w:val="24"/>
                <w:szCs w:val="24"/>
                <w:highlight w:val="none"/>
                <w:lang w:val="en-US" w:eastAsia="zh-CN"/>
              </w:rPr>
              <w:t>；第四次查出管理服务突出性问题，扣除履约保证金</w:t>
            </w:r>
            <w:r>
              <w:rPr>
                <w:rFonts w:hint="eastAsia" w:ascii="宋体" w:hAnsi="宋体" w:eastAsia="宋体" w:cs="宋体"/>
                <w:b w:val="0"/>
                <w:bCs/>
                <w:color w:val="auto"/>
                <w:sz w:val="24"/>
                <w:szCs w:val="24"/>
                <w:highlight w:val="none"/>
                <w:u w:val="single"/>
                <w:lang w:val="en-US" w:eastAsia="zh-CN"/>
              </w:rPr>
              <w:t xml:space="preserve"> </w:t>
            </w:r>
            <w:r>
              <w:rPr>
                <w:rFonts w:hint="eastAsia" w:ascii="宋体" w:hAnsi="宋体" w:eastAsia="宋体" w:cs="宋体"/>
                <w:b/>
                <w:bCs w:val="0"/>
                <w:color w:val="auto"/>
                <w:sz w:val="24"/>
                <w:szCs w:val="24"/>
                <w:highlight w:val="none"/>
                <w:u w:val="single"/>
                <w:lang w:val="en-US" w:eastAsia="zh-CN"/>
              </w:rPr>
              <w:t>5</w:t>
            </w:r>
            <w:r>
              <w:rPr>
                <w:rFonts w:hint="default" w:ascii="宋体" w:hAnsi="宋体" w:eastAsia="宋体" w:cs="宋体"/>
                <w:b/>
                <w:bCs w:val="0"/>
                <w:color w:val="auto"/>
                <w:sz w:val="24"/>
                <w:szCs w:val="24"/>
                <w:highlight w:val="none"/>
                <w:u w:val="single"/>
                <w:lang w:val="en-US" w:eastAsia="zh-CN"/>
              </w:rPr>
              <w:t>万元</w:t>
            </w:r>
            <w:r>
              <w:rPr>
                <w:rFonts w:hint="eastAsia" w:ascii="宋体" w:hAnsi="宋体" w:eastAsia="宋体" w:cs="宋体"/>
                <w:b/>
                <w:bCs w:val="0"/>
                <w:color w:val="auto"/>
                <w:sz w:val="24"/>
                <w:szCs w:val="24"/>
                <w:highlight w:val="none"/>
                <w:u w:val="single"/>
                <w:lang w:val="en-US" w:eastAsia="zh-CN"/>
              </w:rPr>
              <w:t xml:space="preserve"> </w:t>
            </w:r>
            <w:r>
              <w:rPr>
                <w:rFonts w:hint="default" w:ascii="宋体" w:hAnsi="宋体" w:eastAsia="宋体" w:cs="宋体"/>
                <w:b w:val="0"/>
                <w:bCs/>
                <w:color w:val="auto"/>
                <w:sz w:val="24"/>
                <w:szCs w:val="24"/>
                <w:highlight w:val="none"/>
                <w:lang w:val="en-US" w:eastAsia="zh-CN"/>
              </w:rPr>
              <w:t>且采购人有权提前终止合同。</w:t>
            </w:r>
          </w:p>
          <w:p w14:paraId="5745AF2B">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default" w:ascii="宋体" w:hAnsi="宋体" w:eastAsia="宋体" w:cs="宋体"/>
                <w:b w:val="0"/>
                <w:bCs/>
                <w:color w:val="auto"/>
                <w:sz w:val="24"/>
                <w:szCs w:val="24"/>
                <w:highlight w:val="none"/>
                <w:lang w:val="en-US" w:eastAsia="zh-CN"/>
              </w:rPr>
              <w:t>（3）试用期后，每查出一次工作不到位（含人员配置不到位、未完整完成工作任务等情况），责令</w:t>
            </w:r>
            <w:r>
              <w:rPr>
                <w:rFonts w:hint="eastAsia" w:ascii="宋体" w:hAnsi="宋体" w:eastAsia="宋体" w:cs="宋体"/>
                <w:b w:val="0"/>
                <w:bCs/>
                <w:color w:val="auto"/>
                <w:sz w:val="24"/>
                <w:szCs w:val="24"/>
                <w:highlight w:val="none"/>
                <w:lang w:val="en-US" w:eastAsia="zh-CN"/>
              </w:rPr>
              <w:t>成交</w:t>
            </w:r>
            <w:r>
              <w:rPr>
                <w:rFonts w:hint="default" w:ascii="宋体" w:hAnsi="宋体" w:eastAsia="宋体" w:cs="宋体"/>
                <w:b w:val="0"/>
                <w:bCs/>
                <w:color w:val="auto"/>
                <w:sz w:val="24"/>
                <w:szCs w:val="24"/>
                <w:highlight w:val="none"/>
                <w:lang w:val="en-US" w:eastAsia="zh-CN"/>
              </w:rPr>
              <w:t>供应商限期进行整改连续两次整改不到位情况，采购人有权扣</w:t>
            </w:r>
            <w:r>
              <w:rPr>
                <w:rFonts w:hint="eastAsia" w:ascii="宋体" w:hAnsi="宋体" w:eastAsia="宋体" w:cs="宋体"/>
                <w:b w:val="0"/>
                <w:bCs/>
                <w:color w:val="auto"/>
                <w:sz w:val="24"/>
                <w:szCs w:val="24"/>
                <w:highlight w:val="none"/>
                <w:u w:val="single"/>
                <w:lang w:val="en-US" w:eastAsia="zh-CN"/>
              </w:rPr>
              <w:t xml:space="preserve"> </w:t>
            </w:r>
            <w:r>
              <w:rPr>
                <w:rFonts w:hint="default" w:ascii="宋体" w:hAnsi="宋体" w:eastAsia="宋体" w:cs="宋体"/>
                <w:b/>
                <w:bCs w:val="0"/>
                <w:color w:val="auto"/>
                <w:sz w:val="24"/>
                <w:szCs w:val="24"/>
                <w:highlight w:val="none"/>
                <w:u w:val="single"/>
                <w:lang w:val="en-US" w:eastAsia="zh-CN"/>
              </w:rPr>
              <w:t>10%</w:t>
            </w:r>
            <w:r>
              <w:rPr>
                <w:rFonts w:hint="eastAsia" w:ascii="宋体" w:hAnsi="宋体" w:eastAsia="宋体" w:cs="宋体"/>
                <w:b/>
                <w:bCs w:val="0"/>
                <w:color w:val="auto"/>
                <w:sz w:val="24"/>
                <w:szCs w:val="24"/>
                <w:highlight w:val="none"/>
                <w:u w:val="single"/>
                <w:lang w:val="en-US" w:eastAsia="zh-CN"/>
              </w:rPr>
              <w:t xml:space="preserve"> </w:t>
            </w:r>
            <w:r>
              <w:rPr>
                <w:rFonts w:hint="default" w:ascii="宋体" w:hAnsi="宋体" w:eastAsia="宋体" w:cs="宋体"/>
                <w:b w:val="0"/>
                <w:bCs/>
                <w:color w:val="auto"/>
                <w:sz w:val="24"/>
                <w:szCs w:val="24"/>
                <w:highlight w:val="none"/>
                <w:lang w:val="en-US" w:eastAsia="zh-CN"/>
              </w:rPr>
              <w:t>的服务费。</w:t>
            </w:r>
          </w:p>
        </w:tc>
        <w:tc>
          <w:tcPr>
            <w:tcW w:w="1500" w:type="dxa"/>
            <w:noWrap w:val="0"/>
            <w:vAlign w:val="center"/>
          </w:tcPr>
          <w:p w14:paraId="1772C1C1">
            <w:pPr>
              <w:keepNext w:val="0"/>
              <w:keepLines w:val="0"/>
              <w:pageBreakBefore w:val="0"/>
              <w:widowControl/>
              <w:numPr>
                <w:ilvl w:val="0"/>
                <w:numId w:val="0"/>
              </w:numPr>
              <w:suppressLineNumbers w:val="0"/>
              <w:kinsoku/>
              <w:wordWrap/>
              <w:overflowPunct/>
              <w:topLinePunct w:val="0"/>
              <w:autoSpaceDE w:val="0"/>
              <w:autoSpaceDN w:val="0"/>
              <w:bidi w:val="0"/>
              <w:adjustRightInd w:val="0"/>
              <w:spacing w:line="440" w:lineRule="exact"/>
              <w:ind w:left="0" w:leftChars="0" w:firstLine="0" w:firstLineChars="0"/>
              <w:jc w:val="center"/>
              <w:rPr>
                <w:rFonts w:hint="eastAsia" w:ascii="宋体" w:hAnsi="宋体" w:eastAsia="宋体" w:cs="宋体"/>
                <w:color w:val="auto"/>
                <w:spacing w:val="4"/>
                <w:kern w:val="0"/>
                <w:sz w:val="24"/>
                <w:szCs w:val="24"/>
                <w:highlight w:val="none"/>
                <w:lang w:val="en-US" w:eastAsia="zh-CN" w:bidi="ar"/>
              </w:rPr>
            </w:pPr>
            <w:r>
              <w:rPr>
                <w:rFonts w:hint="eastAsia" w:ascii="宋体" w:hAnsi="宋体" w:eastAsia="宋体" w:cs="宋体"/>
                <w:color w:val="auto"/>
                <w:spacing w:val="4"/>
                <w:kern w:val="0"/>
                <w:sz w:val="24"/>
                <w:szCs w:val="24"/>
                <w:highlight w:val="none"/>
                <w:lang w:val="en-US" w:eastAsia="zh-CN" w:bidi="ar"/>
              </w:rPr>
              <w:t>不可负偏离</w:t>
            </w:r>
          </w:p>
        </w:tc>
      </w:tr>
      <w:tr w14:paraId="2DADE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7" w:hRule="atLeast"/>
          <w:jc w:val="center"/>
        </w:trPr>
        <w:tc>
          <w:tcPr>
            <w:tcW w:w="705" w:type="dxa"/>
            <w:noWrap w:val="0"/>
            <w:vAlign w:val="center"/>
          </w:tcPr>
          <w:p w14:paraId="62FCF4E0">
            <w:pPr>
              <w:pStyle w:val="34"/>
              <w:keepNext w:val="0"/>
              <w:keepLines w:val="0"/>
              <w:pageBreakBefore w:val="0"/>
              <w:numPr>
                <w:ilvl w:val="0"/>
                <w:numId w:val="0"/>
              </w:numPr>
              <w:kinsoku/>
              <w:wordWrap/>
              <w:overflowPunct/>
              <w:topLinePunct w:val="0"/>
              <w:autoSpaceDE w:val="0"/>
              <w:autoSpaceDN w:val="0"/>
              <w:bidi w:val="0"/>
              <w:adjustRightInd w:val="0"/>
              <w:spacing w:line="440" w:lineRule="exact"/>
              <w:ind w:left="0" w:leftChars="0" w:firstLine="0" w:firstLineChars="0"/>
              <w:jc w:val="center"/>
              <w:rPr>
                <w:rFonts w:hint="eastAsia" w:ascii="宋体" w:hAnsi="宋体" w:cs="宋体"/>
                <w:b w:val="0"/>
                <w:bCs/>
                <w:color w:val="auto"/>
                <w:sz w:val="24"/>
                <w:szCs w:val="24"/>
                <w:highlight w:val="none"/>
                <w:vertAlign w:val="baseline"/>
                <w:lang w:val="en-US" w:eastAsia="zh-CN"/>
              </w:rPr>
            </w:pPr>
            <w:r>
              <w:rPr>
                <w:rFonts w:hint="eastAsia" w:ascii="宋体" w:hAnsi="宋体" w:cs="宋体"/>
                <w:b w:val="0"/>
                <w:bCs/>
                <w:color w:val="auto"/>
                <w:sz w:val="24"/>
                <w:szCs w:val="24"/>
                <w:highlight w:val="none"/>
                <w:vertAlign w:val="baseline"/>
                <w:lang w:val="en-US" w:eastAsia="zh-CN"/>
              </w:rPr>
              <w:t>6</w:t>
            </w:r>
          </w:p>
        </w:tc>
        <w:tc>
          <w:tcPr>
            <w:tcW w:w="1305" w:type="dxa"/>
            <w:noWrap w:val="0"/>
            <w:vAlign w:val="center"/>
          </w:tcPr>
          <w:p w14:paraId="10801282">
            <w:pPr>
              <w:keepNext w:val="0"/>
              <w:keepLines w:val="0"/>
              <w:pageBreakBefore w:val="0"/>
              <w:widowControl/>
              <w:suppressLineNumbers w:val="0"/>
              <w:kinsoku/>
              <w:wordWrap/>
              <w:overflowPunct/>
              <w:topLinePunct w:val="0"/>
              <w:autoSpaceDE w:val="0"/>
              <w:autoSpaceDN w:val="0"/>
              <w:bidi w:val="0"/>
              <w:adjustRightInd w:val="0"/>
              <w:jc w:val="both"/>
              <w:rPr>
                <w:rFonts w:hint="eastAsia" w:ascii="宋体" w:hAnsi="宋体" w:eastAsia="宋体" w:cs="宋体"/>
                <w:color w:val="auto"/>
                <w:spacing w:val="4"/>
                <w:kern w:val="0"/>
                <w:sz w:val="24"/>
                <w:szCs w:val="24"/>
                <w:highlight w:val="none"/>
                <w:lang w:val="en-US" w:eastAsia="zh-CN" w:bidi="ar"/>
              </w:rPr>
            </w:pPr>
            <w:r>
              <w:rPr>
                <w:rFonts w:hint="eastAsia" w:ascii="宋体" w:hAnsi="宋体" w:eastAsia="宋体" w:cs="宋体"/>
                <w:color w:val="auto"/>
                <w:spacing w:val="4"/>
                <w:kern w:val="0"/>
                <w:sz w:val="24"/>
                <w:szCs w:val="24"/>
                <w:highlight w:val="none"/>
                <w:lang w:val="en-US" w:eastAsia="zh-CN" w:bidi="ar"/>
              </w:rPr>
              <w:t>其他服务要求</w:t>
            </w:r>
          </w:p>
        </w:tc>
        <w:tc>
          <w:tcPr>
            <w:tcW w:w="5408" w:type="dxa"/>
            <w:noWrap w:val="0"/>
            <w:vAlign w:val="center"/>
          </w:tcPr>
          <w:p w14:paraId="24A5CD2F">
            <w:pPr>
              <w:keepNext w:val="0"/>
              <w:keepLines w:val="0"/>
              <w:pageBreakBefore w:val="0"/>
              <w:widowControl/>
              <w:numPr>
                <w:ilvl w:val="0"/>
                <w:numId w:val="5"/>
              </w:numPr>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响应报价应包含实施本项目的一切费用，采购人不再承担任何额外费用，供应商谈判时自行考虑并承担一切安全风险。合同期内，无论任何政策性调整和变化，合同价格均不作调整。</w:t>
            </w:r>
          </w:p>
          <w:p w14:paraId="2FB3829B">
            <w:pPr>
              <w:keepNext w:val="0"/>
              <w:keepLines w:val="0"/>
              <w:pageBreakBefore w:val="0"/>
              <w:widowControl/>
              <w:numPr>
                <w:ilvl w:val="0"/>
                <w:numId w:val="5"/>
              </w:numPr>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对本文件未列明，而供应商认为必需的费用也需列入响应总报价。在合同实施时，采购人将不予支付成交供应商没有列入的项目费用，并认为此项目的费用已包含在响应总报价中。</w:t>
            </w:r>
          </w:p>
          <w:p w14:paraId="1804D8A7">
            <w:pPr>
              <w:keepNext w:val="0"/>
              <w:keepLines w:val="0"/>
              <w:pageBreakBefore w:val="0"/>
              <w:widowControl/>
              <w:numPr>
                <w:ilvl w:val="0"/>
                <w:numId w:val="5"/>
              </w:numPr>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供应商应根据本企业的运行成本自行决定报价，但不得以低于其运行成本的报价投标。</w:t>
            </w:r>
          </w:p>
          <w:p w14:paraId="17FC0844">
            <w:pPr>
              <w:keepNext w:val="0"/>
              <w:keepLines w:val="0"/>
              <w:pageBreakBefore w:val="0"/>
              <w:widowControl/>
              <w:numPr>
                <w:ilvl w:val="0"/>
                <w:numId w:val="0"/>
              </w:numPr>
              <w:kinsoku/>
              <w:wordWrap/>
              <w:overflowPunct/>
              <w:topLinePunct w:val="0"/>
              <w:autoSpaceDE w:val="0"/>
              <w:autoSpaceDN w:val="0"/>
              <w:bidi w:val="0"/>
              <w:adjustRightInd w:val="0"/>
              <w:snapToGrid w:val="0"/>
              <w:spacing w:line="460" w:lineRule="exact"/>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（4）服务期间成交供应商必须无条件服从采购人统一管理，对于采购人后期制定的关于物业管理的相关规章制度及奖惩条例需无条件执行。</w:t>
            </w:r>
          </w:p>
          <w:p w14:paraId="713743A2">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5）成交供应商在提供管理服务时必须做好各项安全防范措施，物业公司所有工作人员在合约期间如发生任何人身意外（生病、伤亡事故）、事故或触犯法律法规（包括但不仅限于劳动用工制度、发生劳资纠纷等）、或损坏采购人的设施和物品，由成交供应商负完全责任。</w:t>
            </w:r>
          </w:p>
          <w:p w14:paraId="3786AB6D">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（6）物业管理范围内发生的人身伤害、物品被盗或丢失、人为损坏设备设施，属物业公司及其工作人员管理不善原因造成的，由成交供应商负责全部赔偿。</w:t>
            </w:r>
          </w:p>
          <w:p w14:paraId="7661F5BF">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（7）成交供应商必须按《劳动法》、《劳动合同法》等相关规定，实行规范用工，如有违规行为，由成交供应商负责。成交供应商所有员工与采购人之间不存在任何劳动关系、劳务关系、雇佣关系。</w:t>
            </w:r>
          </w:p>
          <w:p w14:paraId="7E38D146">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8）成交供应商及其工作人员在采购人交由物业公司管理和服务的工作区域内经公安司法机关认定违法犯罪属实，成交供应商及其工作人员承担相应的法律责任，并不得再使用有关员工进入本项目；因成交供应商造成采购人物品损坏，成交供应商照价赔偿。</w:t>
            </w:r>
          </w:p>
          <w:p w14:paraId="0B07B859">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(9)采购人对本项目的重要岗位设置、人员录用与管理以及重要的管理决策有直接建议权、参与权与审批权。在处理特殊事件和紧急、突发事故等采购人认为必要时，采购人对成交供应商工作人员有直接指挥权。采购人如认为有必要，可查阅成交供应商本项目的财务运作状况。</w:t>
            </w:r>
          </w:p>
          <w:p w14:paraId="76882D86">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(10)合同期限满后，成交供应商必须向采购人移交与项目相关的全部用房以及属采购人的一切装备设施、工具，员工、财物、资产等档案资料。</w:t>
            </w:r>
          </w:p>
          <w:p w14:paraId="6A8F6BD1">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(11)成交供应商应妥善处理合同期内服务期间及其期限届满结束后的劳资纠纷问题，做好员工队伍的思想稳定工作，避免员工内部出现起哄、闹事、内盗等违法犯罪现象，否则，由成交供应商承担一切责任。</w:t>
            </w:r>
          </w:p>
          <w:p w14:paraId="0BB847C7">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(12)服务范围限于谈判文件和合同范围，遇超出合同范围的情况，经采购人批准审核后，采用有偿服务方式并另行签订补充协议。</w:t>
            </w:r>
          </w:p>
          <w:p w14:paraId="2389CF63">
            <w:pPr>
              <w:keepNext w:val="0"/>
              <w:keepLines w:val="0"/>
              <w:pageBreakBefore w:val="0"/>
              <w:widowControl/>
              <w:kinsoku/>
              <w:wordWrap/>
              <w:overflowPunct/>
              <w:topLinePunct w:val="0"/>
              <w:autoSpaceDE w:val="0"/>
              <w:autoSpaceDN w:val="0"/>
              <w:bidi w:val="0"/>
              <w:adjustRightInd w:val="0"/>
              <w:snapToGrid w:val="0"/>
              <w:spacing w:line="460" w:lineRule="exact"/>
              <w:ind w:left="0" w:leftChars="0" w:firstLine="0" w:firstLineChars="0"/>
              <w:jc w:val="both"/>
              <w:textAlignment w:val="baseline"/>
              <w:rPr>
                <w:rFonts w:hint="default"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(13)供应商承诺：参与本项目响应文件中提供的资料真实有效，采购人如有需要，可要求我司提供相应证书材料原件进行核查；如后续发现我司的材料被认定材料不实或无效，我司将承担全部法律责任。</w:t>
            </w:r>
            <w:r>
              <w:rPr>
                <w:rFonts w:hint="eastAsia" w:ascii="宋体" w:hAnsi="宋体" w:eastAsia="宋体" w:cs="宋体"/>
                <w:b/>
                <w:bCs w:val="0"/>
                <w:color w:val="auto"/>
                <w:sz w:val="24"/>
                <w:szCs w:val="24"/>
                <w:highlight w:val="none"/>
                <w:lang w:val="en-US" w:eastAsia="zh-CN"/>
              </w:rPr>
              <w:t>（响应文件中提供上述内容的承诺函（格式自拟）并加盖供应商公章，</w:t>
            </w:r>
            <w:r>
              <w:rPr>
                <w:rFonts w:hint="eastAsia" w:ascii="宋体" w:hAnsi="宋体" w:eastAsia="宋体" w:cs="宋体"/>
                <w:b/>
                <w:bCs/>
                <w:color w:val="auto"/>
                <w:spacing w:val="0"/>
                <w:position w:val="0"/>
                <w:sz w:val="24"/>
                <w:szCs w:val="24"/>
                <w:lang w:val="en-US" w:eastAsia="zh-CN"/>
              </w:rPr>
              <w:t>视为未实质性响应按无效响应处理。</w:t>
            </w:r>
            <w:r>
              <w:rPr>
                <w:rFonts w:hint="eastAsia" w:ascii="宋体" w:hAnsi="宋体" w:eastAsia="宋体" w:cs="宋体"/>
                <w:b/>
                <w:bCs w:val="0"/>
                <w:color w:val="auto"/>
                <w:sz w:val="24"/>
                <w:szCs w:val="24"/>
                <w:highlight w:val="none"/>
                <w:lang w:val="en-US" w:eastAsia="zh-CN"/>
              </w:rPr>
              <w:t>）</w:t>
            </w:r>
          </w:p>
        </w:tc>
        <w:tc>
          <w:tcPr>
            <w:tcW w:w="1500" w:type="dxa"/>
            <w:noWrap w:val="0"/>
            <w:vAlign w:val="center"/>
          </w:tcPr>
          <w:p w14:paraId="16F84C1F">
            <w:pPr>
              <w:keepNext w:val="0"/>
              <w:keepLines w:val="0"/>
              <w:pageBreakBefore w:val="0"/>
              <w:widowControl/>
              <w:numPr>
                <w:ilvl w:val="0"/>
                <w:numId w:val="0"/>
              </w:numPr>
              <w:suppressLineNumbers w:val="0"/>
              <w:kinsoku/>
              <w:wordWrap/>
              <w:overflowPunct/>
              <w:topLinePunct w:val="0"/>
              <w:autoSpaceDE w:val="0"/>
              <w:autoSpaceDN w:val="0"/>
              <w:bidi w:val="0"/>
              <w:adjustRightInd w:val="0"/>
              <w:spacing w:line="440" w:lineRule="exact"/>
              <w:ind w:left="0" w:leftChars="0" w:firstLine="0" w:firstLineChars="0"/>
              <w:jc w:val="center"/>
              <w:rPr>
                <w:rFonts w:hint="eastAsia" w:ascii="宋体" w:hAnsi="宋体" w:eastAsia="宋体" w:cs="宋体"/>
                <w:color w:val="auto"/>
                <w:spacing w:val="4"/>
                <w:kern w:val="0"/>
                <w:sz w:val="24"/>
                <w:szCs w:val="24"/>
                <w:highlight w:val="none"/>
                <w:lang w:val="en-US" w:eastAsia="zh-CN" w:bidi="ar"/>
              </w:rPr>
            </w:pPr>
            <w:r>
              <w:rPr>
                <w:rFonts w:hint="eastAsia" w:ascii="宋体" w:hAnsi="宋体" w:eastAsia="宋体" w:cs="宋体"/>
                <w:color w:val="auto"/>
                <w:spacing w:val="4"/>
                <w:kern w:val="0"/>
                <w:sz w:val="24"/>
                <w:szCs w:val="24"/>
                <w:highlight w:val="none"/>
                <w:lang w:val="en-US" w:eastAsia="zh-CN" w:bidi="ar"/>
              </w:rPr>
              <w:t>不可负偏离</w:t>
            </w:r>
          </w:p>
        </w:tc>
      </w:tr>
      <w:tr w14:paraId="20EA8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05" w:type="dxa"/>
            <w:noWrap w:val="0"/>
            <w:vAlign w:val="center"/>
          </w:tcPr>
          <w:p w14:paraId="4FFBAC67">
            <w:pPr>
              <w:pStyle w:val="34"/>
              <w:keepNext w:val="0"/>
              <w:keepLines w:val="0"/>
              <w:pageBreakBefore w:val="0"/>
              <w:numPr>
                <w:ilvl w:val="0"/>
                <w:numId w:val="0"/>
              </w:numPr>
              <w:kinsoku/>
              <w:wordWrap/>
              <w:overflowPunct/>
              <w:topLinePunct w:val="0"/>
              <w:autoSpaceDE w:val="0"/>
              <w:autoSpaceDN w:val="0"/>
              <w:bidi w:val="0"/>
              <w:adjustRightInd w:val="0"/>
              <w:spacing w:line="440" w:lineRule="exact"/>
              <w:ind w:left="0" w:leftChars="0" w:firstLine="0" w:firstLineChars="0"/>
              <w:jc w:val="center"/>
              <w:rPr>
                <w:rFonts w:hint="default" w:ascii="宋体" w:hAnsi="宋体" w:cs="宋体"/>
                <w:b w:val="0"/>
                <w:bCs/>
                <w:color w:val="auto"/>
                <w:sz w:val="24"/>
                <w:szCs w:val="24"/>
                <w:highlight w:val="none"/>
                <w:vertAlign w:val="baseline"/>
                <w:lang w:val="en-US" w:eastAsia="zh-CN"/>
              </w:rPr>
            </w:pPr>
            <w:r>
              <w:rPr>
                <w:rFonts w:hint="eastAsia" w:ascii="宋体" w:hAnsi="宋体" w:cs="宋体"/>
                <w:b w:val="0"/>
                <w:bCs/>
                <w:color w:val="auto"/>
                <w:sz w:val="24"/>
                <w:szCs w:val="24"/>
                <w:highlight w:val="none"/>
                <w:vertAlign w:val="baseline"/>
                <w:lang w:val="en-US" w:eastAsia="zh-CN"/>
              </w:rPr>
              <w:t>7</w:t>
            </w:r>
          </w:p>
        </w:tc>
        <w:tc>
          <w:tcPr>
            <w:tcW w:w="1305" w:type="dxa"/>
            <w:noWrap w:val="0"/>
            <w:vAlign w:val="center"/>
          </w:tcPr>
          <w:p w14:paraId="7CB5A668">
            <w:pPr>
              <w:keepNext w:val="0"/>
              <w:keepLines w:val="0"/>
              <w:pageBreakBefore w:val="0"/>
              <w:widowControl/>
              <w:suppressLineNumbers w:val="0"/>
              <w:kinsoku/>
              <w:wordWrap/>
              <w:overflowPunct/>
              <w:topLinePunct w:val="0"/>
              <w:autoSpaceDE w:val="0"/>
              <w:autoSpaceDN w:val="0"/>
              <w:bidi w:val="0"/>
              <w:adjustRightInd w:val="0"/>
              <w:jc w:val="center"/>
              <w:rPr>
                <w:rFonts w:hint="eastAsia" w:ascii="宋体" w:hAnsi="宋体" w:eastAsia="宋体" w:cs="宋体"/>
                <w:color w:val="auto"/>
                <w:spacing w:val="4"/>
                <w:kern w:val="0"/>
                <w:sz w:val="24"/>
                <w:szCs w:val="24"/>
                <w:highlight w:val="none"/>
                <w:lang w:val="en-US" w:eastAsia="zh-CN" w:bidi="ar"/>
              </w:rPr>
            </w:pPr>
            <w:r>
              <w:rPr>
                <w:rFonts w:hint="eastAsia" w:ascii="宋体" w:hAnsi="宋体" w:eastAsia="宋体" w:cs="宋体"/>
                <w:color w:val="auto"/>
                <w:spacing w:val="4"/>
                <w:kern w:val="0"/>
                <w:sz w:val="24"/>
                <w:szCs w:val="24"/>
                <w:highlight w:val="none"/>
                <w:lang w:val="en-US" w:eastAsia="zh-CN" w:bidi="ar"/>
              </w:rPr>
              <w:t>业绩</w:t>
            </w:r>
          </w:p>
        </w:tc>
        <w:tc>
          <w:tcPr>
            <w:tcW w:w="5408" w:type="dxa"/>
            <w:noWrap w:val="0"/>
            <w:vAlign w:val="center"/>
          </w:tcPr>
          <w:p w14:paraId="10CA0F8A">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eastAsia" w:ascii="宋体" w:hAnsi="宋体" w:eastAsia="宋体" w:cs="宋体"/>
                <w:b/>
                <w:bCs w:val="0"/>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供应商须提供自2023年1月1日至本项目谈判之日止（以合同签订日期），2个符合财政部办公厅印发《物业管理服务政府采购需求标准（办公场所类）（试行）的规定》）的业绩。</w:t>
            </w:r>
            <w:r>
              <w:rPr>
                <w:rFonts w:hint="eastAsia" w:ascii="宋体" w:hAnsi="宋体" w:eastAsia="宋体" w:cs="宋体"/>
                <w:b/>
                <w:bCs w:val="0"/>
                <w:color w:val="auto"/>
                <w:sz w:val="24"/>
                <w:szCs w:val="24"/>
                <w:highlight w:val="none"/>
                <w:lang w:val="en-US" w:eastAsia="zh-CN"/>
              </w:rPr>
              <w:t xml:space="preserve">响应文件中须提供以下材料复印件或扫描件，并加盖供应商公章：①中标（成交）通知书②合同关键页(合同关键页包括：服务内容页、双方签章页)。  </w:t>
            </w:r>
          </w:p>
          <w:p w14:paraId="2B698398">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注：1）以分公司名义参与谈判的，可提供总公司的业绩；</w:t>
            </w:r>
          </w:p>
          <w:p w14:paraId="2C1D84B5">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2）同一项目不同年份的合同按1份业绩计算，同一业主在同一招标/采购项目中续签的合同不重复计算；</w:t>
            </w:r>
          </w:p>
          <w:p w14:paraId="17A6DD91">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eastAsia" w:ascii="宋体" w:hAnsi="宋体" w:eastAsia="宋体" w:cs="宋体"/>
                <w:b w:val="0"/>
                <w:bCs/>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3）服务内容页须包含：秩序维护服务、卫生保洁服务、绿化养护服务、设施设备维护；</w:t>
            </w:r>
          </w:p>
        </w:tc>
        <w:tc>
          <w:tcPr>
            <w:tcW w:w="1500" w:type="dxa"/>
            <w:shd w:val="clear" w:color="auto" w:fill="auto"/>
            <w:noWrap w:val="0"/>
            <w:vAlign w:val="center"/>
          </w:tcPr>
          <w:p w14:paraId="19A5DA8D">
            <w:pPr>
              <w:keepNext w:val="0"/>
              <w:keepLines w:val="0"/>
              <w:pageBreakBefore w:val="0"/>
              <w:widowControl/>
              <w:numPr>
                <w:ilvl w:val="0"/>
                <w:numId w:val="0"/>
              </w:numPr>
              <w:suppressLineNumbers w:val="0"/>
              <w:kinsoku/>
              <w:wordWrap/>
              <w:overflowPunct/>
              <w:topLinePunct w:val="0"/>
              <w:autoSpaceDE w:val="0"/>
              <w:autoSpaceDN w:val="0"/>
              <w:bidi w:val="0"/>
              <w:adjustRightInd w:val="0"/>
              <w:spacing w:line="440" w:lineRule="exact"/>
              <w:ind w:left="0" w:leftChars="0" w:firstLine="0" w:firstLineChars="0"/>
              <w:jc w:val="center"/>
              <w:rPr>
                <w:rFonts w:hint="eastAsia" w:ascii="宋体" w:hAnsi="宋体" w:eastAsia="宋体" w:cs="宋体"/>
                <w:snapToGrid w:val="0"/>
                <w:color w:val="auto"/>
                <w:spacing w:val="4"/>
                <w:kern w:val="0"/>
                <w:sz w:val="24"/>
                <w:szCs w:val="24"/>
                <w:highlight w:val="none"/>
                <w:lang w:val="en-US" w:eastAsia="zh-CN" w:bidi="ar"/>
              </w:rPr>
            </w:pPr>
            <w:r>
              <w:rPr>
                <w:rFonts w:hint="eastAsia" w:ascii="宋体" w:hAnsi="宋体" w:eastAsia="宋体" w:cs="宋体"/>
                <w:color w:val="auto"/>
                <w:spacing w:val="4"/>
                <w:kern w:val="0"/>
                <w:sz w:val="24"/>
                <w:szCs w:val="24"/>
                <w:highlight w:val="none"/>
                <w:lang w:val="en-US" w:eastAsia="zh-CN" w:bidi="ar"/>
              </w:rPr>
              <w:t>不可负偏离</w:t>
            </w:r>
          </w:p>
        </w:tc>
      </w:tr>
    </w:tbl>
    <w:p w14:paraId="21AF4724">
      <w:pPr>
        <w:pageBreakBefore w:val="0"/>
        <w:widowControl w:val="0"/>
        <w:wordWrap/>
        <w:overflowPunct/>
        <w:topLinePunct w:val="0"/>
        <w:bidi w:val="0"/>
        <w:spacing w:line="360" w:lineRule="auto"/>
        <w:ind w:firstLine="480" w:firstLineChars="200"/>
        <w:rPr>
          <w:rFonts w:hint="default" w:ascii="宋体" w:hAnsi="宋体" w:eastAsia="宋体" w:cs="宋体"/>
          <w:b w:val="0"/>
          <w:bCs w:val="0"/>
          <w:color w:val="auto"/>
          <w:spacing w:val="0"/>
          <w:position w:val="0"/>
          <w:sz w:val="24"/>
          <w:szCs w:val="24"/>
          <w:lang w:val="en-US" w:eastAsia="zh-CN"/>
        </w:rPr>
      </w:pPr>
    </w:p>
    <w:p w14:paraId="56D5D367">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default" w:ascii="宋体" w:hAnsi="宋体" w:eastAsia="宋体" w:cs="宋体"/>
          <w:b/>
          <w:bCs/>
          <w:color w:val="auto"/>
          <w:spacing w:val="0"/>
          <w:position w:val="0"/>
          <w:sz w:val="24"/>
          <w:szCs w:val="24"/>
          <w:lang w:val="en-US" w:eastAsia="zh-CN"/>
        </w:rPr>
      </w:pPr>
      <w:r>
        <w:rPr>
          <w:rFonts w:hint="eastAsia" w:ascii="黑体" w:hAnsi="黑体" w:eastAsia="黑体" w:cs="黑体"/>
          <w:b/>
          <w:color w:val="auto"/>
          <w:sz w:val="30"/>
          <w:szCs w:val="30"/>
          <w:lang w:val="en-US" w:eastAsia="zh-CN"/>
        </w:rPr>
        <w:t>附件一</w:t>
      </w:r>
    </w:p>
    <w:p w14:paraId="1194BEDC">
      <w:pPr>
        <w:pageBreakBefore w:val="0"/>
        <w:widowControl w:val="0"/>
        <w:kinsoku/>
        <w:wordWrap/>
        <w:overflowPunct/>
        <w:topLinePunct w:val="0"/>
        <w:autoSpaceDE w:val="0"/>
        <w:autoSpaceDN w:val="0"/>
        <w:bidi w:val="0"/>
        <w:spacing w:after="0" w:line="560" w:lineRule="exact"/>
        <w:ind w:firstLine="0" w:firstLineChars="0"/>
        <w:jc w:val="center"/>
        <w:rPr>
          <w:rFonts w:ascii="黑体" w:hAnsi="黑体" w:eastAsia="黑体" w:cs="黑体"/>
          <w:b/>
          <w:color w:val="auto"/>
          <w:sz w:val="30"/>
          <w:szCs w:val="30"/>
        </w:rPr>
      </w:pPr>
      <w:r>
        <w:rPr>
          <w:rFonts w:hint="eastAsia" w:ascii="黑体" w:hAnsi="黑体" w:eastAsia="黑体" w:cs="黑体"/>
          <w:b/>
          <w:color w:val="auto"/>
          <w:sz w:val="30"/>
          <w:szCs w:val="30"/>
        </w:rPr>
        <w:t>物业管理服务标准</w:t>
      </w:r>
    </w:p>
    <w:p w14:paraId="25BD52D2">
      <w:pPr>
        <w:pageBreakBefore w:val="0"/>
        <w:widowControl w:val="0"/>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US" w:eastAsia="zh-CN"/>
        </w:rPr>
      </w:pPr>
    </w:p>
    <w:p w14:paraId="53B94C34">
      <w:pPr>
        <w:pageBreakBefore w:val="0"/>
        <w:widowControl w:val="0"/>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一、建筑物日常维修养护</w:t>
      </w:r>
    </w:p>
    <w:p w14:paraId="508C5AA7">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1.建筑物外观、各种指示标识完好、清洁，工作记录完整。确保房屋、门窗的完好和正常使用。</w:t>
      </w:r>
    </w:p>
    <w:p w14:paraId="6E495295">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2.建筑物及附属设施按计划维修、维护，建立维修回访制度且记录完整。</w:t>
      </w:r>
    </w:p>
    <w:p w14:paraId="4CA896AD">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3.做好建筑物及附属设施维修、维护，负责公共区域300元以下单项单次维修维护，建立维修制度且记录台账完整。</w:t>
      </w:r>
    </w:p>
    <w:p w14:paraId="1BC55A31">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4.定期向采购人提交建筑物维修养护计划，配合采购人维护维修的实施。</w:t>
      </w:r>
    </w:p>
    <w:p w14:paraId="75D5D7FB">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5.建筑外墙（含铝格栅、玻璃）整洁，对窗户玻璃格栅定期清洗（每年不少于1次），并保障建筑亮化正常运行，如因清洗造成亮化灯等故障，必须免费维修更换到位。</w:t>
      </w:r>
    </w:p>
    <w:p w14:paraId="29BD0564">
      <w:pPr>
        <w:pageBreakBefore w:val="0"/>
        <w:widowControl w:val="0"/>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二、秩序维护服务</w:t>
      </w:r>
    </w:p>
    <w:p w14:paraId="45AEE399">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1.业务上接受采购人和公安机关的指导。</w:t>
      </w:r>
    </w:p>
    <w:p w14:paraId="5902712E">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2.实行24小时秩序管理，人防、技防相结合，监控、巡视巡更、值班相配合，确保无漏岗、脱岗、睡岗等失职现象。</w:t>
      </w:r>
    </w:p>
    <w:p w14:paraId="733A12F4">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3.在危险区、安全隐患区或事故易发区设置警示标志，并采取切实可行的安全防范措施。</w:t>
      </w:r>
    </w:p>
    <w:p w14:paraId="06A3FB3E">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4.有针对性地提供突发事件的安全保卫服务，措施得力，制度健全、人员到位，编制切实可行的如“被盗”、“妨碍公务”等突发事件的应急预案及措施。特别是要建立处理上访事件的应急方案。</w:t>
      </w:r>
    </w:p>
    <w:p w14:paraId="08498F90">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5.根据采购人要求对出入人员、车辆进行登记。</w:t>
      </w:r>
    </w:p>
    <w:p w14:paraId="34293A3D">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6.各出入道口及外围无聚众、阻塞、叫卖等现象；区域内不得出现推销及广告品散发现象。</w:t>
      </w:r>
    </w:p>
    <w:p w14:paraId="5F5AEBD6">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7.确保有序的工作环境；环境秩序良好；做好安全防范、日常巡视和夜间巡更工作，及时发现和处理各种安全和事故隐患，迅速有效处置突发事件。</w:t>
      </w:r>
    </w:p>
    <w:p w14:paraId="3B3F7315">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8.有重大活动、接待或会议时，须按采购人要求增加适当的安全保卫人员。</w:t>
      </w:r>
    </w:p>
    <w:p w14:paraId="5D4C77F8">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9.按照采购人要求和实际需要设置好管制物品、标识标牌，以及配置通讯、执勤等工具用品。</w:t>
      </w:r>
    </w:p>
    <w:p w14:paraId="7E694F8A">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10.道路通畅，路面相关设施完整，交通标识规范完好；</w:t>
      </w:r>
    </w:p>
    <w:p w14:paraId="42AF9827">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11.停车场管理制度完善，人员配备合理，无乱停乱放和阻塞现象，车辆停放有序。</w:t>
      </w:r>
    </w:p>
    <w:p w14:paraId="7687304D">
      <w:pPr>
        <w:pageBreakBefore w:val="0"/>
        <w:widowControl w:val="0"/>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三、卫生保洁服务</w:t>
      </w:r>
    </w:p>
    <w:p w14:paraId="476A2516">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1.建立环境卫生管理制度并认真落实，环卫设施设置合理、完备，垃圾日产日清；跟踪保洁。</w:t>
      </w:r>
    </w:p>
    <w:p w14:paraId="29EC7A07">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2.建筑外墙、屋面、室外场地、道路、地下室等保持清洁无积尘，无纸屑、树叶、烟头等杂物。</w:t>
      </w:r>
    </w:p>
    <w:p w14:paraId="54E39A11">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3.室内保洁责任区域的办公室、会议室、接待室、功能室、楼梯、走道、大堂、室内公共区域及开水间、卫生间，做到顶面、墙面、地面等清洁无尘印，无蜘蛛网、无积水；室内设施表面、门窗等无灰尘；定期灭鼠、消杀除虫。</w:t>
      </w:r>
    </w:p>
    <w:p w14:paraId="28DAC511">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4.大理石、花岗岩定期打蜡养护；地毯定期会吸尘、清洗、擦拭，随时保洁，确保随时可以使用。</w:t>
      </w:r>
    </w:p>
    <w:p w14:paraId="43B6A447">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5.室内外金属护栏、把手和电梯轿厢定期擦拭保养，确保无锈迹、污渍、汗渍。</w:t>
      </w:r>
    </w:p>
    <w:p w14:paraId="42309CAF">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6.电梯轿厢中的地毯要求每天更换一次。</w:t>
      </w:r>
    </w:p>
    <w:p w14:paraId="3770F16F">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7.照明灯、牌匾、宣传栏牢固、安全、美观、整洁，无乱贴乱画现象。</w:t>
      </w:r>
    </w:p>
    <w:p w14:paraId="152A0FE7">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8.公共玻璃门、窗、玻璃隔断保持无污迹、灰尘；玻璃幕墙根据需要清洗。</w:t>
      </w:r>
    </w:p>
    <w:p w14:paraId="20305775">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9.单位专用停车场地面和管道、设施表面清洁无积水、积尘，顶面、墙面无灰尘和蜘蛛网。</w:t>
      </w:r>
    </w:p>
    <w:p w14:paraId="3826FD55">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10.保证范围内卫生间的厕纸、洗手液、擦手纸供应摆放；卫生间无明显异味，随时保持便池的清洁卫生；便池、水池、下水道畅通。</w:t>
      </w:r>
    </w:p>
    <w:p w14:paraId="5817F53C">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11.定期灭鼠、消杀除虫，定期进行病媒防制工作。落实疫情防控环境卫生相关要求。</w:t>
      </w:r>
    </w:p>
    <w:p w14:paraId="5FD9E6E3">
      <w:pPr>
        <w:pageBreakBefore w:val="0"/>
        <w:widowControl w:val="0"/>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四、绿化养护服务</w:t>
      </w:r>
    </w:p>
    <w:p w14:paraId="780BCF4E">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1.根据植物生长习性、种植环境等因素进行科学养护。包括光照管理、温度管理、水分管理、土壤管理、施肥管理、修剪整形、病虫害防治等。</w:t>
      </w:r>
    </w:p>
    <w:p w14:paraId="25F2894C">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2.落实公共绿地、花坛、树木养护措施，修剪、更换及时，无破坏、践踏、无虫害、枯死及随意占用现象。</w:t>
      </w:r>
    </w:p>
    <w:p w14:paraId="6CAA0FCA">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3.绿地、花坛、树丛无杂草、纸屑、枯死树叶、烟头等杂物；室内盆栽阔叶植物叶面无灰尘、盆内无纸屑、烟头。</w:t>
      </w:r>
    </w:p>
    <w:p w14:paraId="7F014C85">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4.室内绿植养护的相关工作。</w:t>
      </w:r>
    </w:p>
    <w:p w14:paraId="38060B06">
      <w:pPr>
        <w:pageBreakBefore w:val="0"/>
        <w:widowControl w:val="0"/>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五、设备设施管理服务</w:t>
      </w:r>
    </w:p>
    <w:p w14:paraId="0CF6A703">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供配电系统：按国家规范对供电系统进行严格管理，建立严格的运行、管理制度；定期巡视和重点检测，建立各项设备档案，确保供配电设备运行良好，做到安全、合理、节约用电；供电运行和维修人员必须持证上岗；建立24小时处理制度，及时记录故障和维修建议；管理好避雷接地的设备设施；制定切实可行的供配电应急预案，设备状态标识明显；对配电房进行规范化管理、标准化改造。密切关注各电器仪表显示，定期抄集水电表等数据并进行分析比对。</w:t>
      </w:r>
    </w:p>
    <w:p w14:paraId="59966DCB">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2.智能化系统：对专业维保单位相关工作予以跟踪、管理、协助配合；对门禁系统、监控系统、信息显示等系统等各种系统性能状态进行巡查，发现故障及时报告并配合处理，确保楼宇智能设备运转自动化状态良好，设备整洁、标识明显。</w:t>
      </w:r>
    </w:p>
    <w:p w14:paraId="1573A549">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3.给排水设备：保证给排水系统正常运行使用。建立供水管理制度，保证二次供水符合国家标准，防止跑、冒、滴、漏，对供水系统管路、水泵、水箱、阀门等进行日常巡检，水箱保持清洁卫生并定期清洗消毒，定期对水泵房及机电设备进行检查、保养、维修、清洁；定期对排水管进行清通、养护及清除污垢，保证室内外排水排污管网窨井等通畅；对水泵房进行规范化管理、标准化改造。及时发现并解决配合故障。确保水表数据准确。定期对水箱、开水器清洗消杀和保养。</w:t>
      </w:r>
    </w:p>
    <w:p w14:paraId="1D999428">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4.空调及通风系统：有专业机构或人员做技术支撑；建立运行管理制度和安全操作规程，制定科学合理的经济运行和节能降耗方案；定期检查设备，定期清洗室内过滤网；出现运行故障后，及时上报并配合维修；系统设备标志明晰。</w:t>
      </w:r>
    </w:p>
    <w:p w14:paraId="3166CD1A">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5.照明系统（含室内外灯光）：外观整洁无缺损、松落和安全隐患，灯具和光源完好率、损坏及时维修更换，无昆虫、蜘蛛网、积尘等。</w:t>
      </w:r>
    </w:p>
    <w:p w14:paraId="44FBDB70">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6.电梯管理：相关管理人员须具有与电梯相关的上岗证。建立电梯运行管理、安全管理制度。电梯安全措施齐全、有效。轿厢、井道保持清洁。电梯运行记录完备。编制电梯应急预案，规定应急处理人员抵达现场时限，及时、正确、有效处理电梯困人等故障。严格执行《特种设备安全法》等其它有关规定。</w:t>
      </w:r>
    </w:p>
    <w:p w14:paraId="1810D78E">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7.单项单次300元以上设备故障无法维修使用，及时向采购人提出报告，并有技工现场协助配合维修维护工作。</w:t>
      </w:r>
    </w:p>
    <w:p w14:paraId="3A3754E4">
      <w:pPr>
        <w:pageBreakBefore w:val="0"/>
        <w:widowControl w:val="0"/>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六、会议服务管理</w:t>
      </w:r>
    </w:p>
    <w:p w14:paraId="5CA18E6F">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1.接受采购人工作任务的分配，严格遵守会务工作要求和服务程序，工作中保持良好的仪容仪表和精神面貌。</w:t>
      </w:r>
    </w:p>
    <w:p w14:paraId="0C67BE90">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2.接到会议通知后，详细了解会议名称、性质、开会时间、与会人数、会场布置要求以及其它特殊要求，有疑问时及时与采购人沟通。</w:t>
      </w:r>
    </w:p>
    <w:p w14:paraId="389CF38C">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3.严格按照会议确认单中列明的各项会议要求做好会场布置工作，保证会议所需各项设备设施的正常运转，并在会前半小时完成所有的会前准备工作。</w:t>
      </w:r>
    </w:p>
    <w:p w14:paraId="72D9EABD">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4.会议入场时，要做好对参会人员的欢迎和引领服务。</w:t>
      </w:r>
    </w:p>
    <w:p w14:paraId="2BDBB180">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5.会议进行中，根据客户的需求做好添加茶水服务和其它协助，遇到参会人员有需要帮助时须尽量满足，不能解决的要马上报告物业经理。</w:t>
      </w:r>
    </w:p>
    <w:p w14:paraId="13256CCA">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6.会议服务过程中，不能随意离开工作岗位，需要离开时要请示物业经理，找人替岗。</w:t>
      </w:r>
    </w:p>
    <w:p w14:paraId="29333DDF">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7.参会人员离开会议时，要做好欢送工作，提醒参会人员带齐行李物品，发现遗留物品及时联系参会人员解决。</w:t>
      </w:r>
    </w:p>
    <w:p w14:paraId="11147D8B">
      <w:pPr>
        <w:pageBreakBefore w:val="0"/>
        <w:widowControl w:val="0"/>
        <w:wordWrap/>
        <w:overflowPunct/>
        <w:topLinePunct w:val="0"/>
        <w:bidi w:val="0"/>
        <w:spacing w:line="360" w:lineRule="auto"/>
        <w:ind w:firstLine="480" w:firstLineChars="200"/>
        <w:rPr>
          <w:rFonts w:hint="default"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8.会议结束后及时清理会场，擦桌、椅子归位、关闭空调、灯、门窗等。</w:t>
      </w:r>
    </w:p>
    <w:p w14:paraId="0CF59E8B">
      <w:pPr>
        <w:pageBreakBefore w:val="0"/>
        <w:widowControl w:val="0"/>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七、档案资料管理</w:t>
      </w:r>
    </w:p>
    <w:p w14:paraId="347F91DF">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1.保证物业档案资料（包括设施设备的报修、维修和保养记录，以及更新和改造、日常服务管理等档案资料）的完整性、完好性。</w:t>
      </w:r>
    </w:p>
    <w:p w14:paraId="28F0A8AD">
      <w:pPr>
        <w:pageBreakBefore w:val="0"/>
        <w:widowControl w:val="0"/>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八、消防安全管理</w:t>
      </w:r>
    </w:p>
    <w:p w14:paraId="001EB1D2">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有专业机构或人员做技术支撑；加强日常检查巡视，确保消防系统的设施、线路齐全，完好无损，随时可启用；及时发现并排除故障；制定突发性火灾等应急方案，设立消防疏散示意图，紧急疏散通道通畅，照明设备，引路标志完好。定期对消防系统进行操作和使用。对损坏过期的消防器材进行更换和充粉等。定期进行消防演练。制定消防控制室管理规定，记录并及时上报、处理消防故障。明确消防责任人、管理人；消防控制室值班人员必须持证上岗。</w:t>
      </w:r>
    </w:p>
    <w:p w14:paraId="113DB320">
      <w:pPr>
        <w:pageBreakBefore w:val="0"/>
        <w:widowControl w:val="0"/>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九、其他管理服务</w:t>
      </w:r>
    </w:p>
    <w:p w14:paraId="3106EC39">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1.包含应急处置要求，包括处理各类突发事件（含火灾、发现可疑物或爆炸物、突发卫生事件、公共疫情）、自然灾害、消防安全事故、设施设备故障（电梯系统故障、水电气系统故障、雨污管网系统故障等。</w:t>
      </w:r>
    </w:p>
    <w:p w14:paraId="492B9404">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2.节能减排工作要求，配合采购人做好节能宣传，开展节电、节水等日常节能工作。</w:t>
      </w:r>
    </w:p>
    <w:p w14:paraId="22A95906">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3.其他可能出现的临时服务项目。</w:t>
      </w:r>
    </w:p>
    <w:p w14:paraId="77AE5BD5">
      <w:pPr>
        <w:keepLines w:val="0"/>
        <w:pageBreakBefore w:val="0"/>
        <w:widowControl w:val="0"/>
        <w:kinsoku/>
        <w:wordWrap/>
        <w:overflowPunct/>
        <w:topLinePunct w:val="0"/>
        <w:autoSpaceDE w:val="0"/>
        <w:autoSpaceDN w:val="0"/>
        <w:bidi w:val="0"/>
        <w:spacing w:after="0" w:line="480" w:lineRule="exact"/>
        <w:ind w:firstLine="482" w:firstLineChars="200"/>
        <w:jc w:val="both"/>
        <w:textAlignment w:val="auto"/>
        <w:outlineLvl w:val="1"/>
        <w:rPr>
          <w:rFonts w:hint="eastAsia" w:ascii="宋体" w:hAnsi="宋体" w:eastAsia="宋体" w:cs="宋体"/>
          <w:b/>
          <w:bCs/>
          <w:color w:val="auto"/>
          <w:spacing w:val="0"/>
          <w:position w:val="0"/>
          <w:sz w:val="24"/>
          <w:szCs w:val="24"/>
          <w:lang w:val="en-US" w:eastAsia="zh-CN"/>
        </w:rPr>
      </w:pPr>
    </w:p>
    <w:p w14:paraId="2D57BC82">
      <w:pPr>
        <w:pageBreakBefore w:val="0"/>
        <w:widowControl w:val="0"/>
        <w:wordWrap/>
        <w:overflowPunct/>
        <w:topLinePunct w:val="0"/>
        <w:bidi w:val="0"/>
        <w:spacing w:line="360" w:lineRule="auto"/>
        <w:ind w:firstLine="480" w:firstLineChars="200"/>
        <w:rPr>
          <w:rFonts w:hint="default" w:ascii="宋体" w:hAnsi="宋体" w:eastAsia="宋体" w:cs="宋体"/>
          <w:b w:val="0"/>
          <w:bCs w:val="0"/>
          <w:color w:val="auto"/>
          <w:spacing w:val="0"/>
          <w:position w:val="0"/>
          <w:sz w:val="24"/>
          <w:szCs w:val="24"/>
          <w:lang w:val="en-US" w:eastAsia="zh-CN"/>
        </w:rPr>
      </w:pPr>
    </w:p>
    <w:p w14:paraId="54AD522F">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p>
    <w:p w14:paraId="0ED57B40">
      <w:pPr>
        <w:pageBreakBefore w:val="0"/>
        <w:widowControl w:val="0"/>
        <w:wordWrap/>
        <w:overflowPunct/>
        <w:topLinePunct w:val="0"/>
        <w:bidi w:val="0"/>
        <w:spacing w:line="360" w:lineRule="auto"/>
        <w:ind w:firstLine="480" w:firstLineChars="200"/>
        <w:rPr>
          <w:rFonts w:hint="default" w:ascii="宋体" w:hAnsi="宋体" w:eastAsia="宋体" w:cs="宋体"/>
          <w:b w:val="0"/>
          <w:bCs w:val="0"/>
          <w:color w:val="auto"/>
          <w:spacing w:val="0"/>
          <w:position w:val="0"/>
          <w:sz w:val="24"/>
          <w:szCs w:val="24"/>
          <w:lang w:val="en-US" w:eastAsia="zh-CN"/>
        </w:rPr>
      </w:pPr>
    </w:p>
    <w:p w14:paraId="7D3C1BB4">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05E23D81">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73F4C9E5">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2D2147E9">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14F207E6">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25E51DBB">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37CA3F69">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12DAA30C">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44271D93">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3CE92810">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31EC2294">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11C36EF4">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5E079191">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4538AA20">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748EB363">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01AC473E">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176F0D0F">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5E4BA3ED">
      <w:pPr>
        <w:pageBreakBefore w:val="0"/>
        <w:widowControl w:val="0"/>
        <w:kinsoku/>
        <w:wordWrap/>
        <w:overflowPunct/>
        <w:topLinePunct w:val="0"/>
        <w:autoSpaceDE w:val="0"/>
        <w:autoSpaceDN w:val="0"/>
        <w:bidi w:val="0"/>
        <w:spacing w:after="0" w:line="560" w:lineRule="exact"/>
        <w:ind w:firstLine="0" w:firstLineChars="0"/>
        <w:jc w:val="both"/>
        <w:rPr>
          <w:rFonts w:hint="eastAsia" w:ascii="黑体" w:hAnsi="黑体" w:eastAsia="黑体" w:cs="黑体"/>
          <w:b/>
          <w:color w:val="auto"/>
          <w:sz w:val="30"/>
          <w:szCs w:val="30"/>
          <w:lang w:val="en-US" w:eastAsia="zh-CN"/>
        </w:rPr>
      </w:pPr>
      <w:r>
        <w:rPr>
          <w:rFonts w:hint="eastAsia" w:ascii="黑体" w:hAnsi="黑体" w:eastAsia="黑体" w:cs="黑体"/>
          <w:b/>
          <w:color w:val="auto"/>
          <w:sz w:val="30"/>
          <w:szCs w:val="30"/>
          <w:lang w:val="en-US" w:eastAsia="zh-CN"/>
        </w:rPr>
        <w:t>附件二</w:t>
      </w:r>
    </w:p>
    <w:p w14:paraId="25A80F0D">
      <w:pPr>
        <w:pageBreakBefore w:val="0"/>
        <w:widowControl w:val="0"/>
        <w:kinsoku/>
        <w:wordWrap/>
        <w:overflowPunct/>
        <w:topLinePunct w:val="0"/>
        <w:autoSpaceDE w:val="0"/>
        <w:autoSpaceDN w:val="0"/>
        <w:bidi w:val="0"/>
        <w:spacing w:after="0" w:line="560" w:lineRule="exact"/>
        <w:ind w:firstLine="0" w:firstLineChars="0"/>
        <w:jc w:val="center"/>
        <w:rPr>
          <w:rFonts w:ascii="黑体" w:hAnsi="黑体" w:eastAsia="黑体" w:cs="黑体"/>
          <w:b/>
          <w:color w:val="auto"/>
          <w:sz w:val="30"/>
          <w:szCs w:val="30"/>
        </w:rPr>
      </w:pPr>
      <w:r>
        <w:rPr>
          <w:rFonts w:hint="eastAsia" w:ascii="黑体" w:hAnsi="黑体" w:eastAsia="黑体" w:cs="黑体"/>
          <w:b/>
          <w:color w:val="auto"/>
          <w:sz w:val="30"/>
          <w:szCs w:val="30"/>
        </w:rPr>
        <w:t>物业服务监督管理考核工作</w:t>
      </w:r>
    </w:p>
    <w:p w14:paraId="76D14E2F">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p>
    <w:p w14:paraId="1E85AE53">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本轮物业管理服务期限为24个月，采购人在成交供应商进场服务12个月时，将对物业服务企业服务质量进行一次综合考评，若考评不合格，采购人有权终止服务合同。</w:t>
      </w:r>
    </w:p>
    <w:p w14:paraId="2F9DD73B">
      <w:pPr>
        <w:pageBreakBefore w:val="0"/>
        <w:widowControl w:val="0"/>
        <w:wordWrap/>
        <w:overflowPunct/>
        <w:topLinePunct w:val="0"/>
        <w:bidi w:val="0"/>
        <w:spacing w:line="360" w:lineRule="auto"/>
        <w:ind w:firstLine="482" w:firstLineChars="200"/>
        <w:jc w:val="center"/>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《物业服务考核细则</w:t>
      </w:r>
      <w:r>
        <w:rPr>
          <w:rFonts w:hint="eastAsia" w:ascii="宋体" w:hAnsi="宋体" w:eastAsia="宋体" w:cs="宋体"/>
          <w:b/>
          <w:bCs/>
          <w:color w:val="auto"/>
          <w:spacing w:val="0"/>
          <w:position w:val="0"/>
          <w:sz w:val="24"/>
          <w:szCs w:val="24"/>
          <w:highlight w:val="none"/>
          <w:lang w:val="en-US" w:eastAsia="zh-CN"/>
        </w:rPr>
        <w:t>（月度）</w:t>
      </w:r>
      <w:r>
        <w:rPr>
          <w:rFonts w:hint="eastAsia" w:ascii="宋体" w:hAnsi="宋体" w:eastAsia="宋体" w:cs="宋体"/>
          <w:b/>
          <w:bCs/>
          <w:color w:val="auto"/>
          <w:spacing w:val="0"/>
          <w:position w:val="0"/>
          <w:sz w:val="24"/>
          <w:szCs w:val="24"/>
          <w:lang w:val="en-US" w:eastAsia="zh-CN"/>
        </w:rPr>
        <w:t>》</w:t>
      </w:r>
    </w:p>
    <w:tbl>
      <w:tblPr>
        <w:tblStyle w:val="16"/>
        <w:tblW w:w="95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5"/>
        <w:gridCol w:w="4230"/>
        <w:gridCol w:w="3780"/>
        <w:gridCol w:w="630"/>
      </w:tblGrid>
      <w:tr w14:paraId="23B40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atLeast"/>
          <w:jc w:val="center"/>
        </w:trPr>
        <w:tc>
          <w:tcPr>
            <w:tcW w:w="945" w:type="dxa"/>
            <w:vAlign w:val="center"/>
          </w:tcPr>
          <w:p w14:paraId="49005C47">
            <w:pPr>
              <w:keepNext w:val="0"/>
              <w:keepLines w:val="0"/>
              <w:pageBreakBefore w:val="0"/>
              <w:kinsoku/>
              <w:wordWrap w:val="0"/>
              <w:overflowPunct/>
              <w:topLinePunct w:val="0"/>
              <w:autoSpaceDE w:val="0"/>
              <w:autoSpaceDN w:val="0"/>
              <w:bidi w:val="0"/>
              <w:adjustRightInd w:val="0"/>
              <w:snapToGrid w:val="0"/>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项目</w:t>
            </w:r>
          </w:p>
        </w:tc>
        <w:tc>
          <w:tcPr>
            <w:tcW w:w="4230" w:type="dxa"/>
            <w:vAlign w:val="center"/>
          </w:tcPr>
          <w:p w14:paraId="69BC80A8">
            <w:pPr>
              <w:keepNext w:val="0"/>
              <w:keepLines w:val="0"/>
              <w:pageBreakBefore w:val="0"/>
              <w:kinsoku/>
              <w:wordWrap w:val="0"/>
              <w:overflowPunct/>
              <w:topLinePunct w:val="0"/>
              <w:autoSpaceDE w:val="0"/>
              <w:autoSpaceDN w:val="0"/>
              <w:bidi w:val="0"/>
              <w:adjustRightInd w:val="0"/>
              <w:snapToGrid w:val="0"/>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考  核  内  容</w:t>
            </w:r>
          </w:p>
        </w:tc>
        <w:tc>
          <w:tcPr>
            <w:tcW w:w="3780" w:type="dxa"/>
            <w:vAlign w:val="center"/>
          </w:tcPr>
          <w:p w14:paraId="5DD614D2">
            <w:pPr>
              <w:keepNext w:val="0"/>
              <w:keepLines w:val="0"/>
              <w:pageBreakBefore w:val="0"/>
              <w:kinsoku/>
              <w:wordWrap w:val="0"/>
              <w:overflowPunct/>
              <w:topLinePunct w:val="0"/>
              <w:autoSpaceDE w:val="0"/>
              <w:autoSpaceDN w:val="0"/>
              <w:bidi w:val="0"/>
              <w:adjustRightInd w:val="0"/>
              <w:snapToGrid w:val="0"/>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评分标准</w:t>
            </w:r>
          </w:p>
        </w:tc>
        <w:tc>
          <w:tcPr>
            <w:tcW w:w="630" w:type="dxa"/>
            <w:vAlign w:val="center"/>
          </w:tcPr>
          <w:p w14:paraId="1D705CBC">
            <w:pPr>
              <w:keepNext w:val="0"/>
              <w:keepLines w:val="0"/>
              <w:pageBreakBefore w:val="0"/>
              <w:kinsoku/>
              <w:wordWrap w:val="0"/>
              <w:overflowPunct/>
              <w:topLinePunct w:val="0"/>
              <w:autoSpaceDE w:val="0"/>
              <w:autoSpaceDN w:val="0"/>
              <w:bidi w:val="0"/>
              <w:adjustRightInd w:val="0"/>
              <w:snapToGrid w:val="0"/>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得分</w:t>
            </w:r>
          </w:p>
        </w:tc>
      </w:tr>
      <w:tr w14:paraId="7C425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8" w:hRule="atLeast"/>
          <w:jc w:val="center"/>
        </w:trPr>
        <w:tc>
          <w:tcPr>
            <w:tcW w:w="945" w:type="dxa"/>
            <w:vMerge w:val="restart"/>
            <w:vAlign w:val="center"/>
          </w:tcPr>
          <w:p w14:paraId="33D0AA32">
            <w:pPr>
              <w:keepNext w:val="0"/>
              <w:keepLines w:val="0"/>
              <w:pageBreakBefore w:val="0"/>
              <w:kinsoku/>
              <w:wordWrap w:val="0"/>
              <w:overflowPunct/>
              <w:topLinePunct w:val="0"/>
              <w:autoSpaceDE w:val="0"/>
              <w:autoSpaceDN w:val="0"/>
              <w:bidi w:val="0"/>
              <w:adjustRightInd w:val="0"/>
              <w:snapToGrid w:val="0"/>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工程管理（20分）</w:t>
            </w:r>
          </w:p>
        </w:tc>
        <w:tc>
          <w:tcPr>
            <w:tcW w:w="4230" w:type="dxa"/>
            <w:vAlign w:val="center"/>
          </w:tcPr>
          <w:p w14:paraId="7B41618A">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1.定期做好大楼（公用设备、设施）的检查维修，做到及时维修处理率达100%。（3分）</w:t>
            </w:r>
          </w:p>
        </w:tc>
        <w:tc>
          <w:tcPr>
            <w:tcW w:w="3780" w:type="dxa"/>
            <w:vAlign w:val="center"/>
          </w:tcPr>
          <w:p w14:paraId="10B9E318">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未及时发现的，每次扣0.1分；</w:t>
            </w:r>
          </w:p>
          <w:p w14:paraId="2C735F35">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未及时处理、维修的每次扣0.1分。</w:t>
            </w:r>
          </w:p>
        </w:tc>
        <w:tc>
          <w:tcPr>
            <w:tcW w:w="630" w:type="dxa"/>
            <w:vAlign w:val="center"/>
          </w:tcPr>
          <w:p w14:paraId="29F3DF4E">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4E6DC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4" w:hRule="atLeast"/>
          <w:jc w:val="center"/>
        </w:trPr>
        <w:tc>
          <w:tcPr>
            <w:tcW w:w="945" w:type="dxa"/>
            <w:vMerge w:val="continue"/>
            <w:vAlign w:val="center"/>
          </w:tcPr>
          <w:p w14:paraId="323C74C1">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253DFE01">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2.建立规范完善的配电运行制度和设备维护保养计划并严格执行，实行24小时运行和维护值班。（3分）</w:t>
            </w:r>
          </w:p>
        </w:tc>
        <w:tc>
          <w:tcPr>
            <w:tcW w:w="3780" w:type="dxa"/>
            <w:vAlign w:val="center"/>
          </w:tcPr>
          <w:p w14:paraId="7D7FE9DE">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制度不完善的，每次扣0.2分；值班脱岗的，每人次扣0.2分；未按规定完成保养计划的，每项扣0.2分。</w:t>
            </w:r>
          </w:p>
        </w:tc>
        <w:tc>
          <w:tcPr>
            <w:tcW w:w="630" w:type="dxa"/>
            <w:vAlign w:val="center"/>
          </w:tcPr>
          <w:p w14:paraId="7DAA946E">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26E73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945" w:type="dxa"/>
            <w:vMerge w:val="continue"/>
            <w:vAlign w:val="center"/>
          </w:tcPr>
          <w:p w14:paraId="6768B358">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54B4BDB7">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3.有准确完整的配电系统及中央空调系统设备台帐、运行记录和维护保养记录，并归档保存。（3分）</w:t>
            </w:r>
          </w:p>
        </w:tc>
        <w:tc>
          <w:tcPr>
            <w:tcW w:w="3780" w:type="dxa"/>
            <w:vAlign w:val="center"/>
          </w:tcPr>
          <w:p w14:paraId="02FAA66D">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设备台帐或保养记录不完善的，每项扣0.2分。</w:t>
            </w:r>
          </w:p>
        </w:tc>
        <w:tc>
          <w:tcPr>
            <w:tcW w:w="630" w:type="dxa"/>
            <w:vAlign w:val="center"/>
          </w:tcPr>
          <w:p w14:paraId="2840D780">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49B16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945" w:type="dxa"/>
            <w:vMerge w:val="continue"/>
            <w:vAlign w:val="center"/>
          </w:tcPr>
          <w:p w14:paraId="37218C32">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0FC6F8FE">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4.机房和各配电室整洁、干净，各类物品及工具摆放整齐。（3分）</w:t>
            </w:r>
          </w:p>
        </w:tc>
        <w:tc>
          <w:tcPr>
            <w:tcW w:w="3780" w:type="dxa"/>
            <w:vAlign w:val="center"/>
          </w:tcPr>
          <w:p w14:paraId="661FD1ED">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不符合的，每处扣0.2分。</w:t>
            </w:r>
          </w:p>
        </w:tc>
        <w:tc>
          <w:tcPr>
            <w:tcW w:w="630" w:type="dxa"/>
            <w:vAlign w:val="center"/>
          </w:tcPr>
          <w:p w14:paraId="2673236D">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21A79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945" w:type="dxa"/>
            <w:vMerge w:val="continue"/>
            <w:vAlign w:val="center"/>
          </w:tcPr>
          <w:p w14:paraId="6E066930">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6607D051">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5.制定供配电和中央空调系统事故应急方案，并能随时启动应急方案。（5分）</w:t>
            </w:r>
          </w:p>
        </w:tc>
        <w:tc>
          <w:tcPr>
            <w:tcW w:w="3780" w:type="dxa"/>
            <w:vAlign w:val="center"/>
          </w:tcPr>
          <w:p w14:paraId="5077AA19">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未制定方案的，每项扣0.2分；未及时启动应急方案的，每次扣0.2分。</w:t>
            </w:r>
          </w:p>
        </w:tc>
        <w:tc>
          <w:tcPr>
            <w:tcW w:w="630" w:type="dxa"/>
            <w:vAlign w:val="center"/>
          </w:tcPr>
          <w:p w14:paraId="06D78C08">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57C8E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945" w:type="dxa"/>
            <w:vMerge w:val="continue"/>
            <w:vAlign w:val="center"/>
          </w:tcPr>
          <w:p w14:paraId="376A24E1">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70470E2E">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6.排水系统畅通，道路无积水，地下室车场和设备房无积水、浸泡发生。（3分）</w:t>
            </w:r>
          </w:p>
        </w:tc>
        <w:tc>
          <w:tcPr>
            <w:tcW w:w="3780" w:type="dxa"/>
            <w:vAlign w:val="center"/>
          </w:tcPr>
          <w:p w14:paraId="48D9A219">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不符合的，每处扣0.1分。</w:t>
            </w:r>
          </w:p>
        </w:tc>
        <w:tc>
          <w:tcPr>
            <w:tcW w:w="630" w:type="dxa"/>
            <w:vAlign w:val="center"/>
          </w:tcPr>
          <w:p w14:paraId="5AAF8864">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7B92F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945" w:type="dxa"/>
            <w:vMerge w:val="restart"/>
            <w:vAlign w:val="center"/>
          </w:tcPr>
          <w:p w14:paraId="072BF870">
            <w:pPr>
              <w:keepNext w:val="0"/>
              <w:keepLines w:val="0"/>
              <w:pageBreakBefore w:val="0"/>
              <w:kinsoku/>
              <w:wordWrap w:val="0"/>
              <w:overflowPunct/>
              <w:topLinePunct w:val="0"/>
              <w:autoSpaceDE w:val="0"/>
              <w:autoSpaceDN w:val="0"/>
              <w:bidi w:val="0"/>
              <w:adjustRightInd w:val="0"/>
              <w:snapToGrid w:val="0"/>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电梯管理</w:t>
            </w:r>
          </w:p>
          <w:p w14:paraId="49010F86">
            <w:pPr>
              <w:keepNext w:val="0"/>
              <w:keepLines w:val="0"/>
              <w:pageBreakBefore w:val="0"/>
              <w:kinsoku/>
              <w:wordWrap w:val="0"/>
              <w:overflowPunct/>
              <w:topLinePunct w:val="0"/>
              <w:autoSpaceDE w:val="0"/>
              <w:autoSpaceDN w:val="0"/>
              <w:bidi w:val="0"/>
              <w:adjustRightInd w:val="0"/>
              <w:snapToGrid w:val="0"/>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（5分）</w:t>
            </w:r>
          </w:p>
        </w:tc>
        <w:tc>
          <w:tcPr>
            <w:tcW w:w="4230" w:type="dxa"/>
            <w:vAlign w:val="center"/>
          </w:tcPr>
          <w:p w14:paraId="79B58434">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制定</w:t>
            </w:r>
            <w:r>
              <w:rPr>
                <w:rFonts w:hint="eastAsia" w:ascii="宋体" w:hAnsi="宋体" w:eastAsia="宋体" w:cs="宋体"/>
                <w:color w:val="auto"/>
                <w:sz w:val="24"/>
                <w:szCs w:val="24"/>
                <w:highlight w:val="none"/>
              </w:rPr>
              <w:t>电梯安全运行制度。（1分）</w:t>
            </w:r>
          </w:p>
        </w:tc>
        <w:tc>
          <w:tcPr>
            <w:tcW w:w="3780" w:type="dxa"/>
            <w:vAlign w:val="center"/>
          </w:tcPr>
          <w:p w14:paraId="2B2AE333">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未制定计划的，每项扣0.1分</w:t>
            </w:r>
          </w:p>
        </w:tc>
        <w:tc>
          <w:tcPr>
            <w:tcW w:w="630" w:type="dxa"/>
            <w:vAlign w:val="center"/>
          </w:tcPr>
          <w:p w14:paraId="0F7BC07F">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2F6AC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6" w:hRule="atLeast"/>
          <w:jc w:val="center"/>
        </w:trPr>
        <w:tc>
          <w:tcPr>
            <w:tcW w:w="945" w:type="dxa"/>
            <w:vMerge w:val="continue"/>
            <w:vAlign w:val="center"/>
          </w:tcPr>
          <w:p w14:paraId="07BE7653">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11C5C2B5">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2.每天对运行情况进行巡检并有记录，发现小型故障及时排除，发现较大故障，保修期内联系督促安装或维保单位及时维修，并搜集相关维修记录。（2分）</w:t>
            </w:r>
          </w:p>
        </w:tc>
        <w:tc>
          <w:tcPr>
            <w:tcW w:w="3780" w:type="dxa"/>
            <w:vAlign w:val="center"/>
          </w:tcPr>
          <w:p w14:paraId="44B8673B">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未及时发现故障或发现后未及时联系有关单位维修的，每次扣0.1分；其余不符合的，每项扣0.1分。</w:t>
            </w:r>
          </w:p>
        </w:tc>
        <w:tc>
          <w:tcPr>
            <w:tcW w:w="630" w:type="dxa"/>
            <w:vAlign w:val="center"/>
          </w:tcPr>
          <w:p w14:paraId="10CB19C1">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68C06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945" w:type="dxa"/>
            <w:vMerge w:val="continue"/>
            <w:vAlign w:val="center"/>
          </w:tcPr>
          <w:p w14:paraId="5357C450">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3AA943CD">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3.督促维保单位按计划完成日常维护保养，联系技术监督部门按规定进行年检。（1分）</w:t>
            </w:r>
          </w:p>
        </w:tc>
        <w:tc>
          <w:tcPr>
            <w:tcW w:w="3780" w:type="dxa"/>
            <w:vAlign w:val="center"/>
          </w:tcPr>
          <w:p w14:paraId="78E736A8">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未完成或不符合的，每项扣0.1分。</w:t>
            </w:r>
          </w:p>
        </w:tc>
        <w:tc>
          <w:tcPr>
            <w:tcW w:w="630" w:type="dxa"/>
            <w:vAlign w:val="center"/>
          </w:tcPr>
          <w:p w14:paraId="761F29F8">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2FBD9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945" w:type="dxa"/>
            <w:vMerge w:val="continue"/>
            <w:vAlign w:val="center"/>
          </w:tcPr>
          <w:p w14:paraId="74D0538F">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3205D1AF">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4.井道、机房整洁干净，轿厢地面清洁、壁面光亮、照明完好。（1分）</w:t>
            </w:r>
          </w:p>
        </w:tc>
        <w:tc>
          <w:tcPr>
            <w:tcW w:w="3780" w:type="dxa"/>
            <w:vAlign w:val="center"/>
          </w:tcPr>
          <w:p w14:paraId="62894002">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未完成或不符合的，每项扣0.1分。</w:t>
            </w:r>
          </w:p>
        </w:tc>
        <w:tc>
          <w:tcPr>
            <w:tcW w:w="630" w:type="dxa"/>
            <w:vAlign w:val="center"/>
          </w:tcPr>
          <w:p w14:paraId="7B8BBC52">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260C6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4" w:hRule="atLeast"/>
          <w:jc w:val="center"/>
        </w:trPr>
        <w:tc>
          <w:tcPr>
            <w:tcW w:w="945" w:type="dxa"/>
            <w:vMerge w:val="restart"/>
            <w:vAlign w:val="center"/>
          </w:tcPr>
          <w:p w14:paraId="66F3651F">
            <w:pPr>
              <w:keepNext w:val="0"/>
              <w:keepLines w:val="0"/>
              <w:pageBreakBefore w:val="0"/>
              <w:kinsoku/>
              <w:wordWrap w:val="0"/>
              <w:overflowPunct/>
              <w:topLinePunct w:val="0"/>
              <w:autoSpaceDE w:val="0"/>
              <w:autoSpaceDN w:val="0"/>
              <w:bidi w:val="0"/>
              <w:adjustRightInd w:val="0"/>
              <w:snapToGrid w:val="0"/>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会务服务（15分）</w:t>
            </w:r>
          </w:p>
        </w:tc>
        <w:tc>
          <w:tcPr>
            <w:tcW w:w="4230" w:type="dxa"/>
            <w:vAlign w:val="center"/>
          </w:tcPr>
          <w:p w14:paraId="7537E9D7">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1.会务、庭审服务受理正确、无差错；承办责任明确；会前工作准备充分、所需物品及时到位。（5分）</w:t>
            </w:r>
          </w:p>
        </w:tc>
        <w:tc>
          <w:tcPr>
            <w:tcW w:w="3780" w:type="dxa"/>
            <w:vAlign w:val="center"/>
          </w:tcPr>
          <w:p w14:paraId="62D8A11C">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不符合的，每项扣0.2分。</w:t>
            </w:r>
          </w:p>
        </w:tc>
        <w:tc>
          <w:tcPr>
            <w:tcW w:w="630" w:type="dxa"/>
            <w:vAlign w:val="center"/>
          </w:tcPr>
          <w:p w14:paraId="1B38801B">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4B7DC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6" w:hRule="atLeast"/>
          <w:jc w:val="center"/>
        </w:trPr>
        <w:tc>
          <w:tcPr>
            <w:tcW w:w="945" w:type="dxa"/>
            <w:vMerge w:val="continue"/>
            <w:vAlign w:val="center"/>
          </w:tcPr>
          <w:p w14:paraId="31A943DA">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2AB1E228">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2.会场、庭审布置整体效果符合要求；主席台、撑牌、席签、话筒、茶杯布置摆放正确到位；音响、照明（灯光）到位；空调、投影到位；茶水落实到位；会场卫生符合要求。（5分）</w:t>
            </w:r>
          </w:p>
        </w:tc>
        <w:tc>
          <w:tcPr>
            <w:tcW w:w="3780" w:type="dxa"/>
            <w:vAlign w:val="center"/>
          </w:tcPr>
          <w:p w14:paraId="139D0D1C">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不符合的，每项扣0.2分。</w:t>
            </w:r>
          </w:p>
        </w:tc>
        <w:tc>
          <w:tcPr>
            <w:tcW w:w="630" w:type="dxa"/>
            <w:vAlign w:val="center"/>
          </w:tcPr>
          <w:p w14:paraId="4974E534">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008ED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6" w:hRule="atLeast"/>
          <w:jc w:val="center"/>
        </w:trPr>
        <w:tc>
          <w:tcPr>
            <w:tcW w:w="945" w:type="dxa"/>
            <w:vMerge w:val="continue"/>
            <w:vAlign w:val="center"/>
          </w:tcPr>
          <w:p w14:paraId="0E3B3DC5">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78010CD9">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3.会中及庭审中服务规范、细腻，礼貌周到；茶水供给及时，服务到位；音响、空调、灯光、投影等运行正常；会后场地整理及时，保持常备状态。（5分）</w:t>
            </w:r>
          </w:p>
        </w:tc>
        <w:tc>
          <w:tcPr>
            <w:tcW w:w="3780" w:type="dxa"/>
            <w:vAlign w:val="center"/>
          </w:tcPr>
          <w:p w14:paraId="34C1F16E">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不符合的，每项扣0.2分。</w:t>
            </w:r>
          </w:p>
        </w:tc>
        <w:tc>
          <w:tcPr>
            <w:tcW w:w="630" w:type="dxa"/>
            <w:vAlign w:val="center"/>
          </w:tcPr>
          <w:p w14:paraId="035189C6">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39951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945" w:type="dxa"/>
            <w:vMerge w:val="restart"/>
            <w:vAlign w:val="center"/>
          </w:tcPr>
          <w:p w14:paraId="76EF3172">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保安和车辆管理（15分）</w:t>
            </w:r>
          </w:p>
        </w:tc>
        <w:tc>
          <w:tcPr>
            <w:tcW w:w="4230" w:type="dxa"/>
            <w:vAlign w:val="center"/>
          </w:tcPr>
          <w:p w14:paraId="3DB25575">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1.制定大楼治安、消防和车辆管理安全防范措施，并严格执行。（3分）</w:t>
            </w:r>
          </w:p>
        </w:tc>
        <w:tc>
          <w:tcPr>
            <w:tcW w:w="3780" w:type="dxa"/>
            <w:vAlign w:val="center"/>
          </w:tcPr>
          <w:p w14:paraId="40AE28E6">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制度不完善或执行不力的，每次扣0.2分。</w:t>
            </w:r>
          </w:p>
        </w:tc>
        <w:tc>
          <w:tcPr>
            <w:tcW w:w="630" w:type="dxa"/>
            <w:vAlign w:val="center"/>
          </w:tcPr>
          <w:p w14:paraId="3CBD38C7">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24AFB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8" w:hRule="atLeast"/>
          <w:jc w:val="center"/>
        </w:trPr>
        <w:tc>
          <w:tcPr>
            <w:tcW w:w="945" w:type="dxa"/>
            <w:vMerge w:val="continue"/>
            <w:vAlign w:val="center"/>
          </w:tcPr>
          <w:p w14:paraId="31F63B34">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78228397">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2.大门岗、24小时值勤，门卫和窗口值班人员，着装整齐、站姿规范、说话和气、登记细致、安检严格，楼内设流动巡逻，严控外来人员进入，维护公共秩序和处置突发事件。（3分）</w:t>
            </w:r>
          </w:p>
        </w:tc>
        <w:tc>
          <w:tcPr>
            <w:tcW w:w="3780" w:type="dxa"/>
            <w:vAlign w:val="center"/>
          </w:tcPr>
          <w:p w14:paraId="77ED419A">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人员脱岗的，每人次扣0.3分；值勤人员形象不端、着装不整，每人次扣0.1分；未按规定对进出人员登记的，每次扣0.1分；未及时维护公共秩序和处理突发事件的，每次扣0.2分；安检不严，让危险物品带入的，每次扣0.5分</w:t>
            </w:r>
          </w:p>
        </w:tc>
        <w:tc>
          <w:tcPr>
            <w:tcW w:w="630" w:type="dxa"/>
            <w:vAlign w:val="center"/>
          </w:tcPr>
          <w:p w14:paraId="7E5BC328">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6D27E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945" w:type="dxa"/>
            <w:vMerge w:val="continue"/>
            <w:vAlign w:val="center"/>
          </w:tcPr>
          <w:p w14:paraId="00D3B485">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28CD5A92">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3.上班时间，大楼外场地面停车场有专人疏导车辆停放，无交通堵塞。（3分）</w:t>
            </w:r>
          </w:p>
        </w:tc>
        <w:tc>
          <w:tcPr>
            <w:tcW w:w="3780" w:type="dxa"/>
            <w:vAlign w:val="center"/>
          </w:tcPr>
          <w:p w14:paraId="3B96D46A">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人员脱岗的，每人次扣0.2分；车辆停放不整齐的，每1辆扣0.1分。</w:t>
            </w:r>
          </w:p>
        </w:tc>
        <w:tc>
          <w:tcPr>
            <w:tcW w:w="630" w:type="dxa"/>
            <w:vAlign w:val="center"/>
          </w:tcPr>
          <w:p w14:paraId="0ACA7379">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0AF9F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945" w:type="dxa"/>
            <w:vMerge w:val="continue"/>
            <w:vAlign w:val="center"/>
          </w:tcPr>
          <w:p w14:paraId="5E70996F">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530E859B">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4.维护停车秩序（2分）</w:t>
            </w:r>
          </w:p>
        </w:tc>
        <w:tc>
          <w:tcPr>
            <w:tcW w:w="3780" w:type="dxa"/>
            <w:vAlign w:val="center"/>
          </w:tcPr>
          <w:p w14:paraId="1929362D">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车辆停放不整齐的，每1辆扣0.</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分。</w:t>
            </w:r>
          </w:p>
        </w:tc>
        <w:tc>
          <w:tcPr>
            <w:tcW w:w="630" w:type="dxa"/>
            <w:vAlign w:val="center"/>
          </w:tcPr>
          <w:p w14:paraId="50029395">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16CBC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945" w:type="dxa"/>
            <w:vMerge w:val="continue"/>
            <w:vAlign w:val="center"/>
          </w:tcPr>
          <w:p w14:paraId="3B9941A9">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7159C738">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5.各类值勤巡逻记录和人员车辆进出登记记录，清晰齐全。（2分）</w:t>
            </w:r>
          </w:p>
        </w:tc>
        <w:tc>
          <w:tcPr>
            <w:tcW w:w="3780" w:type="dxa"/>
            <w:vAlign w:val="center"/>
          </w:tcPr>
          <w:p w14:paraId="3F79C2CF">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抽检各项记录，不符合的，每项扣0.2分。</w:t>
            </w:r>
          </w:p>
        </w:tc>
        <w:tc>
          <w:tcPr>
            <w:tcW w:w="630" w:type="dxa"/>
            <w:vAlign w:val="center"/>
          </w:tcPr>
          <w:p w14:paraId="64195482">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32017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945" w:type="dxa"/>
            <w:vMerge w:val="continue"/>
            <w:vAlign w:val="center"/>
          </w:tcPr>
          <w:p w14:paraId="133ABE80">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5D0D5D9E">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6.失窃事故、重大安全事故率为0。（2分）</w:t>
            </w:r>
          </w:p>
        </w:tc>
        <w:tc>
          <w:tcPr>
            <w:tcW w:w="3780" w:type="dxa"/>
            <w:vAlign w:val="center"/>
          </w:tcPr>
          <w:p w14:paraId="7675EAE4">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发生失窃事件或重大安全事故的，每次扣0.5分。</w:t>
            </w:r>
          </w:p>
        </w:tc>
        <w:tc>
          <w:tcPr>
            <w:tcW w:w="630" w:type="dxa"/>
            <w:vAlign w:val="center"/>
          </w:tcPr>
          <w:p w14:paraId="469378F4">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5AE3B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945" w:type="dxa"/>
            <w:vMerge w:val="restart"/>
            <w:vAlign w:val="center"/>
          </w:tcPr>
          <w:p w14:paraId="43860BE0">
            <w:pPr>
              <w:keepNext w:val="0"/>
              <w:keepLines w:val="0"/>
              <w:pageBreakBefore w:val="0"/>
              <w:kinsoku/>
              <w:wordWrap w:val="0"/>
              <w:overflowPunct/>
              <w:topLinePunct w:val="0"/>
              <w:autoSpaceDE w:val="0"/>
              <w:autoSpaceDN w:val="0"/>
              <w:bidi w:val="0"/>
              <w:adjustRightInd w:val="0"/>
              <w:snapToGrid w:val="0"/>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消防管理（10分）</w:t>
            </w:r>
          </w:p>
        </w:tc>
        <w:tc>
          <w:tcPr>
            <w:tcW w:w="4230" w:type="dxa"/>
            <w:vAlign w:val="center"/>
          </w:tcPr>
          <w:p w14:paraId="427DE868">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eastAsia="zh-CN"/>
              </w:rPr>
              <w:t>消</w:t>
            </w:r>
            <w:r>
              <w:rPr>
                <w:rFonts w:hint="eastAsia" w:ascii="宋体" w:hAnsi="宋体" w:eastAsia="宋体" w:cs="宋体"/>
                <w:color w:val="auto"/>
                <w:sz w:val="24"/>
                <w:szCs w:val="24"/>
              </w:rPr>
              <w:t>控室24小时值班，发现问题及时启动灭火方案。（4分）</w:t>
            </w:r>
          </w:p>
        </w:tc>
        <w:tc>
          <w:tcPr>
            <w:tcW w:w="3780" w:type="dxa"/>
            <w:vAlign w:val="center"/>
          </w:tcPr>
          <w:p w14:paraId="62D83BF5">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值班人员脱岗的，每人次扣0.2分；其它不符合的，每次扣0.2分。</w:t>
            </w:r>
          </w:p>
        </w:tc>
        <w:tc>
          <w:tcPr>
            <w:tcW w:w="630" w:type="dxa"/>
            <w:vAlign w:val="center"/>
          </w:tcPr>
          <w:p w14:paraId="09FD142E">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1B056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945" w:type="dxa"/>
            <w:vMerge w:val="continue"/>
            <w:vAlign w:val="center"/>
          </w:tcPr>
          <w:p w14:paraId="625552F4">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3ACCD059">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2.各类消防设施完好，确保正常使用，消防通道畅通。（4分）</w:t>
            </w:r>
          </w:p>
        </w:tc>
        <w:tc>
          <w:tcPr>
            <w:tcW w:w="3780" w:type="dxa"/>
            <w:vAlign w:val="center"/>
          </w:tcPr>
          <w:p w14:paraId="52D06BFB">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不符合的，每项或每处扣0.2分。</w:t>
            </w:r>
          </w:p>
        </w:tc>
        <w:tc>
          <w:tcPr>
            <w:tcW w:w="630" w:type="dxa"/>
            <w:vAlign w:val="center"/>
          </w:tcPr>
          <w:p w14:paraId="05F53353">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7A201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945" w:type="dxa"/>
            <w:vMerge w:val="continue"/>
            <w:vAlign w:val="center"/>
          </w:tcPr>
          <w:p w14:paraId="6F9C4209">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449A3115">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3.无火灾隐患，火灾事故率为0。（2分）</w:t>
            </w:r>
          </w:p>
        </w:tc>
        <w:tc>
          <w:tcPr>
            <w:tcW w:w="3780" w:type="dxa"/>
            <w:vAlign w:val="center"/>
          </w:tcPr>
          <w:p w14:paraId="71038726">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未能及时发现火灾隐患的，每处扣0.5分，发生火灾事故扣0.5分。</w:t>
            </w:r>
          </w:p>
        </w:tc>
        <w:tc>
          <w:tcPr>
            <w:tcW w:w="630" w:type="dxa"/>
            <w:vAlign w:val="center"/>
          </w:tcPr>
          <w:p w14:paraId="5DB1347E">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11E9F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945" w:type="dxa"/>
            <w:vMerge w:val="restart"/>
            <w:vAlign w:val="center"/>
          </w:tcPr>
          <w:p w14:paraId="050F9351">
            <w:pPr>
              <w:keepNext w:val="0"/>
              <w:keepLines w:val="0"/>
              <w:pageBreakBefore w:val="0"/>
              <w:kinsoku/>
              <w:wordWrap w:val="0"/>
              <w:overflowPunct/>
              <w:topLinePunct w:val="0"/>
              <w:autoSpaceDE w:val="0"/>
              <w:autoSpaceDN w:val="0"/>
              <w:bidi w:val="0"/>
              <w:adjustRightInd w:val="0"/>
              <w:snapToGrid w:val="0"/>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环境卫生管理（20分）</w:t>
            </w:r>
          </w:p>
        </w:tc>
        <w:tc>
          <w:tcPr>
            <w:tcW w:w="4230" w:type="dxa"/>
            <w:vAlign w:val="center"/>
          </w:tcPr>
          <w:p w14:paraId="07773226">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1.清洁卫生，实行区域包干责任制，并执行统一的保洁标准。（1分）</w:t>
            </w:r>
          </w:p>
        </w:tc>
        <w:tc>
          <w:tcPr>
            <w:tcW w:w="3780" w:type="dxa"/>
            <w:vAlign w:val="center"/>
          </w:tcPr>
          <w:p w14:paraId="35CFF7F1">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未实行责任区域包干的，每次扣0.2分；未执行统一保洁标准的，每次扣0.2分。</w:t>
            </w:r>
          </w:p>
        </w:tc>
        <w:tc>
          <w:tcPr>
            <w:tcW w:w="630" w:type="dxa"/>
            <w:vAlign w:val="center"/>
          </w:tcPr>
          <w:p w14:paraId="4B67BFFF">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28F4E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4" w:hRule="atLeast"/>
          <w:jc w:val="center"/>
        </w:trPr>
        <w:tc>
          <w:tcPr>
            <w:tcW w:w="945" w:type="dxa"/>
            <w:vMerge w:val="continue"/>
            <w:vAlign w:val="center"/>
          </w:tcPr>
          <w:p w14:paraId="6A2ABBF1">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2AB238F2">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2.地面、楼梯、台阶干净无垃圾，无污迹，无积水。（3分）</w:t>
            </w:r>
          </w:p>
        </w:tc>
        <w:tc>
          <w:tcPr>
            <w:tcW w:w="3780" w:type="dxa"/>
            <w:vAlign w:val="center"/>
          </w:tcPr>
          <w:p w14:paraId="6B370DC3">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地面发现大宗垃圾的，每次扣0.2分；小宗垃圾1小时内未清扫的，每次扣0.1分；其余一处不符合的，每次扣0.1分。</w:t>
            </w:r>
          </w:p>
        </w:tc>
        <w:tc>
          <w:tcPr>
            <w:tcW w:w="630" w:type="dxa"/>
            <w:vAlign w:val="center"/>
          </w:tcPr>
          <w:p w14:paraId="32866F66">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00CFA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945" w:type="dxa"/>
            <w:vMerge w:val="continue"/>
            <w:vAlign w:val="center"/>
          </w:tcPr>
          <w:p w14:paraId="0BF6DBC4">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542F41E5">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3.墙面（含玻璃外墙）、柱面、玻璃门干净，无明显灰尘，无污迹，天花板无蜘蛛网。（2分）</w:t>
            </w:r>
          </w:p>
        </w:tc>
        <w:tc>
          <w:tcPr>
            <w:tcW w:w="3780" w:type="dxa"/>
            <w:vAlign w:val="center"/>
          </w:tcPr>
          <w:p w14:paraId="662E4D90">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发现明显积尘或蜘蛛网的，每处扣0.2分；其余不符合的，每次扣0.1分。</w:t>
            </w:r>
          </w:p>
        </w:tc>
        <w:tc>
          <w:tcPr>
            <w:tcW w:w="630" w:type="dxa"/>
            <w:vAlign w:val="center"/>
          </w:tcPr>
          <w:p w14:paraId="2AFC4086">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69EC1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945" w:type="dxa"/>
            <w:vMerge w:val="continue"/>
            <w:vAlign w:val="center"/>
          </w:tcPr>
          <w:p w14:paraId="3F3B576E">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0AC6945D">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4.楼梯扶手、消防设施等无明显灰尘无污迹。（2分）</w:t>
            </w:r>
          </w:p>
        </w:tc>
        <w:tc>
          <w:tcPr>
            <w:tcW w:w="3780" w:type="dxa"/>
            <w:vAlign w:val="center"/>
          </w:tcPr>
          <w:p w14:paraId="089425ED">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有明显积尘、污迹的，每处扣0.1分；其余一般灰尘每处扣0.1分。</w:t>
            </w:r>
          </w:p>
        </w:tc>
        <w:tc>
          <w:tcPr>
            <w:tcW w:w="630" w:type="dxa"/>
            <w:vAlign w:val="center"/>
          </w:tcPr>
          <w:p w14:paraId="1B3472A2">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3ED5F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945" w:type="dxa"/>
            <w:vMerge w:val="continue"/>
            <w:vAlign w:val="center"/>
          </w:tcPr>
          <w:p w14:paraId="2E395466">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1672C7DC">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5.垃圾桶摆放整齐，桶身干净，无积尘，无污迹。（2分）</w:t>
            </w:r>
          </w:p>
        </w:tc>
        <w:tc>
          <w:tcPr>
            <w:tcW w:w="3780" w:type="dxa"/>
            <w:vAlign w:val="center"/>
          </w:tcPr>
          <w:p w14:paraId="191C79C8">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不符合的，每处扣除0.1分。</w:t>
            </w:r>
          </w:p>
        </w:tc>
        <w:tc>
          <w:tcPr>
            <w:tcW w:w="630" w:type="dxa"/>
            <w:vAlign w:val="center"/>
          </w:tcPr>
          <w:p w14:paraId="2C586CDE">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5CA01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4" w:hRule="atLeast"/>
          <w:jc w:val="center"/>
        </w:trPr>
        <w:tc>
          <w:tcPr>
            <w:tcW w:w="945" w:type="dxa"/>
            <w:vMerge w:val="continue"/>
            <w:vAlign w:val="center"/>
          </w:tcPr>
          <w:p w14:paraId="17857060">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262046D7">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6.公共门窗无明污迹和明显灰尘。（2分）</w:t>
            </w:r>
          </w:p>
        </w:tc>
        <w:tc>
          <w:tcPr>
            <w:tcW w:w="3780" w:type="dxa"/>
            <w:vAlign w:val="center"/>
          </w:tcPr>
          <w:p w14:paraId="6CEC3430">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有明显污迹和灰尘的，每处扣0.1分；一般灰尘，每处扣0.1分。</w:t>
            </w:r>
          </w:p>
        </w:tc>
        <w:tc>
          <w:tcPr>
            <w:tcW w:w="630" w:type="dxa"/>
            <w:vAlign w:val="center"/>
          </w:tcPr>
          <w:p w14:paraId="61310A04">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07805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6" w:hRule="atLeast"/>
          <w:jc w:val="center"/>
        </w:trPr>
        <w:tc>
          <w:tcPr>
            <w:tcW w:w="945" w:type="dxa"/>
            <w:vMerge w:val="continue"/>
            <w:vAlign w:val="center"/>
          </w:tcPr>
          <w:p w14:paraId="4B12297B">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3FF80360">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7.卫生间地面无垃圾杂物，水池、台板干净无杂物，墙面天花板无明显灰尘、无蜘蛛网，镜面光亮无明显水印，便池无污垢无异味。（3分）</w:t>
            </w:r>
          </w:p>
        </w:tc>
        <w:tc>
          <w:tcPr>
            <w:tcW w:w="3780" w:type="dxa"/>
            <w:vAlign w:val="center"/>
          </w:tcPr>
          <w:p w14:paraId="5447066C">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一般不符合的，每项扣0.1分，严重不符合的，每次扣0.2分。</w:t>
            </w:r>
          </w:p>
        </w:tc>
        <w:tc>
          <w:tcPr>
            <w:tcW w:w="630" w:type="dxa"/>
            <w:vAlign w:val="center"/>
          </w:tcPr>
          <w:p w14:paraId="6F1C7F13">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370CD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945" w:type="dxa"/>
            <w:vMerge w:val="continue"/>
            <w:vAlign w:val="center"/>
          </w:tcPr>
          <w:p w14:paraId="73F90983">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67B1579F">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8.卫生间保洁耗品（厕纸、插手纸等）及时添加和补充。（2分）</w:t>
            </w:r>
          </w:p>
        </w:tc>
        <w:tc>
          <w:tcPr>
            <w:tcW w:w="3780" w:type="dxa"/>
            <w:vAlign w:val="center"/>
          </w:tcPr>
          <w:p w14:paraId="199B436B">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发现未及时补充每处扣0.1分</w:t>
            </w:r>
          </w:p>
        </w:tc>
        <w:tc>
          <w:tcPr>
            <w:tcW w:w="630" w:type="dxa"/>
            <w:vAlign w:val="center"/>
          </w:tcPr>
          <w:p w14:paraId="58F3AB95">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2C7F7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945" w:type="dxa"/>
            <w:vMerge w:val="continue"/>
            <w:vAlign w:val="center"/>
          </w:tcPr>
          <w:p w14:paraId="255E16C2">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128D2BA7">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9.外场地面干净，无明显垃圾、落叶，无积水，绿地无纸屑杂物，水沟无杂物无堵塞无异味。（3分）</w:t>
            </w:r>
          </w:p>
        </w:tc>
        <w:tc>
          <w:tcPr>
            <w:tcW w:w="3780" w:type="dxa"/>
            <w:vAlign w:val="center"/>
          </w:tcPr>
          <w:p w14:paraId="5487DCCE">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发现大宗垃圾，每处扣0.2分，小宗垃圾，1小时内未清扫和其余不符合的，每处扣0.1分。</w:t>
            </w:r>
          </w:p>
        </w:tc>
        <w:tc>
          <w:tcPr>
            <w:tcW w:w="630" w:type="dxa"/>
            <w:vAlign w:val="center"/>
          </w:tcPr>
          <w:p w14:paraId="2456C43A">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35225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945" w:type="dxa"/>
            <w:vMerge w:val="restart"/>
            <w:vAlign w:val="center"/>
          </w:tcPr>
          <w:p w14:paraId="62101C0E">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综合管理（15分）</w:t>
            </w:r>
          </w:p>
        </w:tc>
        <w:tc>
          <w:tcPr>
            <w:tcW w:w="4230" w:type="dxa"/>
            <w:vAlign w:val="center"/>
          </w:tcPr>
          <w:p w14:paraId="24A38E1E">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员工统一着装，持证挂牌上岗，服从采购人监督部门安排，不得顶撞领导（5分）</w:t>
            </w:r>
          </w:p>
        </w:tc>
        <w:tc>
          <w:tcPr>
            <w:tcW w:w="3780" w:type="dxa"/>
            <w:vAlign w:val="center"/>
          </w:tcPr>
          <w:p w14:paraId="5DF2D8AE">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不符合的，每项扣0.5分</w:t>
            </w:r>
          </w:p>
        </w:tc>
        <w:tc>
          <w:tcPr>
            <w:tcW w:w="630" w:type="dxa"/>
            <w:vAlign w:val="center"/>
          </w:tcPr>
          <w:p w14:paraId="4243BDCA">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7550B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945" w:type="dxa"/>
            <w:vMerge w:val="continue"/>
            <w:vAlign w:val="center"/>
          </w:tcPr>
          <w:p w14:paraId="4DF681EA">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4C5FC242">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建立各项规章制度，建立人员档案，各种资料分类成册，方便查阅（5分）</w:t>
            </w:r>
          </w:p>
        </w:tc>
        <w:tc>
          <w:tcPr>
            <w:tcW w:w="3780" w:type="dxa"/>
            <w:vAlign w:val="center"/>
          </w:tcPr>
          <w:p w14:paraId="54390249">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不符合的，每项扣0.5分</w:t>
            </w:r>
          </w:p>
        </w:tc>
        <w:tc>
          <w:tcPr>
            <w:tcW w:w="630" w:type="dxa"/>
            <w:vAlign w:val="center"/>
          </w:tcPr>
          <w:p w14:paraId="64519E68">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73D61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945" w:type="dxa"/>
            <w:vMerge w:val="continue"/>
            <w:vAlign w:val="center"/>
          </w:tcPr>
          <w:p w14:paraId="42FE84F7">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c>
          <w:tcPr>
            <w:tcW w:w="4230" w:type="dxa"/>
            <w:vAlign w:val="center"/>
          </w:tcPr>
          <w:p w14:paraId="6BC43213">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急修、小修及时率100％；；维修合格率及回访率100％；投诉率在1％以下，处置率100％(5分 )</w:t>
            </w:r>
          </w:p>
        </w:tc>
        <w:tc>
          <w:tcPr>
            <w:tcW w:w="3780" w:type="dxa"/>
            <w:vAlign w:val="center"/>
          </w:tcPr>
          <w:p w14:paraId="2AA0C06B">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不符合的，每项扣0.5分。</w:t>
            </w:r>
          </w:p>
        </w:tc>
        <w:tc>
          <w:tcPr>
            <w:tcW w:w="630" w:type="dxa"/>
            <w:vAlign w:val="center"/>
          </w:tcPr>
          <w:p w14:paraId="60C3A858">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p w14:paraId="586AC695">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p>
        </w:tc>
      </w:tr>
      <w:tr w14:paraId="1D23A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6" w:hRule="atLeast"/>
          <w:jc w:val="center"/>
        </w:trPr>
        <w:tc>
          <w:tcPr>
            <w:tcW w:w="9585" w:type="dxa"/>
            <w:gridSpan w:val="4"/>
            <w:vAlign w:val="center"/>
          </w:tcPr>
          <w:p w14:paraId="4DF61B3A">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本考核满分100分</w:t>
            </w:r>
          </w:p>
          <w:p w14:paraId="4A7F73F1">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月考得分在90分（含)以上，支付当月全部物业服务费。</w:t>
            </w:r>
          </w:p>
          <w:p w14:paraId="6F6E7603">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月考得分在85（含)-90（不含)分，扣除物业服务费1000元/分</w:t>
            </w:r>
          </w:p>
          <w:p w14:paraId="3BF1DD89">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月考核得分在70（含)-85（不含)分，扣除物业服务费2000元/分。</w:t>
            </w:r>
          </w:p>
          <w:p w14:paraId="59956244">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月考核得分在60（含)-70（不含)分，扣除物业服务费2500元/分</w:t>
            </w:r>
          </w:p>
          <w:p w14:paraId="43138B6F">
            <w:pPr>
              <w:keepNext w:val="0"/>
              <w:keepLines w:val="0"/>
              <w:pageBreakBefore w:val="0"/>
              <w:widowControl/>
              <w:kinsoku/>
              <w:wordWrap w:val="0"/>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月考核得分在60分（不含)以下，扣除物业服务费3000元/分</w:t>
            </w:r>
          </w:p>
          <w:p w14:paraId="63E161AB">
            <w:pPr>
              <w:keepNext w:val="0"/>
              <w:keepLines w:val="0"/>
              <w:pageBreakBefore w:val="0"/>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一年累计二次月考核得分在60分（不含)以下，采购人有权随时终止合同。</w:t>
            </w:r>
          </w:p>
        </w:tc>
      </w:tr>
    </w:tbl>
    <w:p w14:paraId="00413D09">
      <w:pPr>
        <w:pageBreakBefore w:val="0"/>
        <w:kinsoku/>
        <w:wordWrap/>
        <w:overflowPunct/>
        <w:topLinePunct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21FC97A2">
      <w:pPr>
        <w:pageBreakBefore w:val="0"/>
        <w:kinsoku/>
        <w:wordWrap/>
        <w:overflowPunct/>
        <w:topLinePunct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14AC4681">
      <w:pPr>
        <w:pageBreakBefore w:val="0"/>
        <w:kinsoku/>
        <w:wordWrap/>
        <w:overflowPunct/>
        <w:topLinePunct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7160B355">
      <w:pPr>
        <w:pageBreakBefore w:val="0"/>
        <w:kinsoku/>
        <w:wordWrap/>
        <w:overflowPunct/>
        <w:topLinePunct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1B97CE62">
      <w:pPr>
        <w:pageBreakBefore w:val="0"/>
        <w:kinsoku/>
        <w:wordWrap/>
        <w:overflowPunct/>
        <w:topLinePunct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147822E9">
      <w:pPr>
        <w:pageBreakBefore w:val="0"/>
        <w:kinsoku/>
        <w:wordWrap/>
        <w:overflowPunct/>
        <w:topLinePunct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06F680BE">
      <w:pPr>
        <w:pageBreakBefore w:val="0"/>
        <w:kinsoku/>
        <w:wordWrap/>
        <w:overflowPunct/>
        <w:topLinePunct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2CAFDA6A">
      <w:pPr>
        <w:pageBreakBefore w:val="0"/>
        <w:kinsoku/>
        <w:wordWrap/>
        <w:overflowPunct/>
        <w:topLinePunct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6CF0C534">
      <w:pPr>
        <w:pageBreakBefore w:val="0"/>
        <w:kinsoku/>
        <w:wordWrap/>
        <w:overflowPunct/>
        <w:topLinePunct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7422DB2C">
      <w:pPr>
        <w:pageBreakBefore w:val="0"/>
        <w:kinsoku/>
        <w:wordWrap/>
        <w:overflowPunct/>
        <w:topLinePunct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3639D41A">
      <w:pPr>
        <w:pageBreakBefore w:val="0"/>
        <w:kinsoku/>
        <w:wordWrap/>
        <w:overflowPunct/>
        <w:topLinePunct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38071615">
      <w:pPr>
        <w:pageBreakBefore w:val="0"/>
        <w:kinsoku/>
        <w:wordWrap/>
        <w:overflowPunct/>
        <w:topLinePunct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6A149AA3">
      <w:pPr>
        <w:pageBreakBefore w:val="0"/>
        <w:kinsoku/>
        <w:wordWrap/>
        <w:overflowPunct/>
        <w:topLinePunct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2EC1BCC3">
      <w:pPr>
        <w:pageBreakBefore w:val="0"/>
        <w:kinsoku/>
        <w:wordWrap/>
        <w:overflowPunct/>
        <w:topLinePunct w:val="0"/>
        <w:bidi w:val="0"/>
        <w:spacing w:after="0" w:line="560" w:lineRule="exact"/>
        <w:ind w:firstLine="0" w:firstLineChars="0"/>
        <w:jc w:val="both"/>
        <w:rPr>
          <w:rFonts w:hint="eastAsia" w:ascii="黑体" w:hAnsi="黑体" w:eastAsia="黑体" w:cs="黑体"/>
          <w:b/>
          <w:color w:val="auto"/>
          <w:sz w:val="30"/>
          <w:szCs w:val="30"/>
          <w:lang w:val="en-US" w:eastAsia="zh-CN"/>
        </w:rPr>
      </w:pPr>
    </w:p>
    <w:p w14:paraId="7E807E18">
      <w:pPr>
        <w:pageBreakBefore w:val="0"/>
        <w:widowControl w:val="0"/>
        <w:wordWrap/>
        <w:overflowPunct/>
        <w:topLinePunct w:val="0"/>
        <w:bidi w:val="0"/>
        <w:spacing w:before="183" w:line="360" w:lineRule="auto"/>
        <w:jc w:val="both"/>
        <w:rPr>
          <w:rFonts w:hint="default" w:ascii="宋体" w:hAnsi="宋体" w:eastAsia="宋体" w:cs="宋体"/>
          <w:b/>
          <w:bCs/>
          <w:color w:val="auto"/>
          <w:spacing w:val="-2"/>
          <w:sz w:val="24"/>
          <w:szCs w:val="24"/>
          <w:highlight w:val="none"/>
          <w:lang w:val="en-US" w:eastAsia="zh-CN"/>
        </w:rPr>
      </w:pPr>
      <w:r>
        <w:rPr>
          <w:rFonts w:hint="eastAsia" w:ascii="宋体" w:hAnsi="宋体" w:eastAsia="宋体" w:cs="宋体"/>
          <w:b/>
          <w:bCs/>
          <w:color w:val="auto"/>
          <w:spacing w:val="-2"/>
          <w:sz w:val="24"/>
          <w:szCs w:val="24"/>
          <w:highlight w:val="none"/>
          <w:lang w:val="en-US" w:eastAsia="zh-CN"/>
        </w:rPr>
        <w:t>附件三</w:t>
      </w:r>
    </w:p>
    <w:p w14:paraId="1C653381">
      <w:pPr>
        <w:pageBreakBefore w:val="0"/>
        <w:widowControl w:val="0"/>
        <w:wordWrap/>
        <w:overflowPunct/>
        <w:topLinePunct w:val="0"/>
        <w:bidi w:val="0"/>
        <w:spacing w:before="183" w:line="360" w:lineRule="auto"/>
        <w:jc w:val="center"/>
        <w:rPr>
          <w:rFonts w:ascii="宋体" w:hAnsi="宋体" w:eastAsia="宋体" w:cs="宋体"/>
          <w:b/>
          <w:bCs/>
          <w:color w:val="auto"/>
          <w:spacing w:val="-2"/>
          <w:sz w:val="24"/>
          <w:szCs w:val="24"/>
          <w:highlight w:val="none"/>
          <w:lang w:eastAsia="zh-CN"/>
        </w:rPr>
      </w:pPr>
      <w:r>
        <w:rPr>
          <w:rFonts w:hint="eastAsia" w:ascii="宋体" w:hAnsi="宋体" w:eastAsia="宋体" w:cs="宋体"/>
          <w:b/>
          <w:bCs/>
          <w:color w:val="auto"/>
          <w:spacing w:val="-2"/>
          <w:sz w:val="24"/>
          <w:szCs w:val="24"/>
          <w:highlight w:val="none"/>
          <w:lang w:eastAsia="zh-CN"/>
        </w:rPr>
        <w:t>物业服务管理考核与处罚细则</w:t>
      </w:r>
    </w:p>
    <w:p w14:paraId="5D54C879">
      <w:pPr>
        <w:pageBreakBefore w:val="0"/>
        <w:widowControl w:val="0"/>
        <w:wordWrap/>
        <w:overflowPunct/>
        <w:topLinePunct w:val="0"/>
        <w:bidi w:val="0"/>
        <w:spacing w:line="360" w:lineRule="auto"/>
        <w:ind w:firstLine="480" w:firstLineChars="200"/>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若发生物业管理事故，根据事故的严重程度</w:t>
      </w:r>
      <w:bookmarkStart w:id="1" w:name="_Hlk103244579"/>
      <w:r>
        <w:rPr>
          <w:rFonts w:hint="eastAsia" w:ascii="宋体" w:hAnsi="宋体" w:eastAsia="宋体" w:cs="宋体"/>
          <w:b w:val="0"/>
          <w:bCs w:val="0"/>
          <w:color w:val="auto"/>
          <w:spacing w:val="0"/>
          <w:position w:val="0"/>
          <w:sz w:val="24"/>
          <w:szCs w:val="24"/>
          <w:lang w:val="en-US" w:eastAsia="zh-CN"/>
        </w:rPr>
        <w:t>在支付当期的物业服务费时直接扣减</w:t>
      </w:r>
      <w:bookmarkEnd w:id="1"/>
      <w:r>
        <w:rPr>
          <w:rFonts w:hint="eastAsia" w:ascii="宋体" w:hAnsi="宋体" w:eastAsia="宋体" w:cs="宋体"/>
          <w:b w:val="0"/>
          <w:bCs w:val="0"/>
          <w:color w:val="auto"/>
          <w:spacing w:val="0"/>
          <w:position w:val="0"/>
          <w:sz w:val="24"/>
          <w:szCs w:val="24"/>
          <w:lang w:val="en-US" w:eastAsia="zh-CN"/>
        </w:rPr>
        <w:t>处罚的“扣除金额”，具体见下表：</w:t>
      </w:r>
    </w:p>
    <w:tbl>
      <w:tblPr>
        <w:tblStyle w:val="16"/>
        <w:tblW w:w="861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63"/>
        <w:gridCol w:w="3573"/>
        <w:gridCol w:w="1081"/>
        <w:gridCol w:w="1564"/>
        <w:gridCol w:w="1737"/>
      </w:tblGrid>
      <w:tr w14:paraId="12C784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3" w:hRule="exact"/>
          <w:jc w:val="center"/>
        </w:trPr>
        <w:tc>
          <w:tcPr>
            <w:tcW w:w="663" w:type="dxa"/>
            <w:tcBorders>
              <w:top w:val="single" w:color="000000" w:sz="4" w:space="0"/>
              <w:left w:val="single" w:color="000000" w:sz="4" w:space="0"/>
              <w:bottom w:val="single" w:color="000000" w:sz="4" w:space="0"/>
              <w:right w:val="single" w:color="000000" w:sz="4" w:space="0"/>
            </w:tcBorders>
            <w:vAlign w:val="center"/>
          </w:tcPr>
          <w:p w14:paraId="2AC78E61">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序号</w:t>
            </w:r>
          </w:p>
        </w:tc>
        <w:tc>
          <w:tcPr>
            <w:tcW w:w="3573" w:type="dxa"/>
            <w:tcBorders>
              <w:top w:val="single" w:color="000000" w:sz="4" w:space="0"/>
              <w:left w:val="single" w:color="000000" w:sz="4" w:space="0"/>
              <w:bottom w:val="single" w:color="000000" w:sz="4" w:space="0"/>
              <w:right w:val="single" w:color="000000" w:sz="4" w:space="0"/>
            </w:tcBorders>
            <w:vAlign w:val="center"/>
          </w:tcPr>
          <w:p w14:paraId="38F8A05B">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违约承诺内容</w:t>
            </w:r>
          </w:p>
        </w:tc>
        <w:tc>
          <w:tcPr>
            <w:tcW w:w="1081" w:type="dxa"/>
            <w:tcBorders>
              <w:top w:val="single" w:color="000000" w:sz="4" w:space="0"/>
              <w:left w:val="single" w:color="000000" w:sz="4" w:space="0"/>
              <w:bottom w:val="single" w:color="000000" w:sz="4" w:space="0"/>
              <w:right w:val="single" w:color="000000" w:sz="4" w:space="0"/>
            </w:tcBorders>
            <w:vAlign w:val="center"/>
          </w:tcPr>
          <w:p w14:paraId="442AED05">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违约率</w:t>
            </w:r>
          </w:p>
        </w:tc>
        <w:tc>
          <w:tcPr>
            <w:tcW w:w="1564" w:type="dxa"/>
            <w:tcBorders>
              <w:top w:val="single" w:color="000000" w:sz="4" w:space="0"/>
              <w:left w:val="single" w:color="000000" w:sz="4" w:space="0"/>
              <w:bottom w:val="single" w:color="000000" w:sz="4" w:space="0"/>
              <w:right w:val="single" w:color="000000" w:sz="4" w:space="0"/>
            </w:tcBorders>
            <w:vAlign w:val="center"/>
          </w:tcPr>
          <w:p w14:paraId="6257F12A">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扣除金额</w:t>
            </w:r>
          </w:p>
        </w:tc>
        <w:tc>
          <w:tcPr>
            <w:tcW w:w="1737" w:type="dxa"/>
            <w:tcBorders>
              <w:top w:val="single" w:color="000000" w:sz="4" w:space="0"/>
              <w:left w:val="single" w:color="000000" w:sz="4" w:space="0"/>
              <w:bottom w:val="single" w:color="000000" w:sz="4" w:space="0"/>
              <w:right w:val="single" w:color="000000" w:sz="4" w:space="0"/>
            </w:tcBorders>
            <w:vAlign w:val="center"/>
          </w:tcPr>
          <w:p w14:paraId="3FB89F6D">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备注</w:t>
            </w:r>
          </w:p>
        </w:tc>
      </w:tr>
      <w:tr w14:paraId="13BDDB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3" w:hRule="exact"/>
          <w:jc w:val="center"/>
        </w:trPr>
        <w:tc>
          <w:tcPr>
            <w:tcW w:w="663" w:type="dxa"/>
            <w:tcBorders>
              <w:top w:val="single" w:color="000000" w:sz="4" w:space="0"/>
              <w:left w:val="single" w:color="000000" w:sz="4" w:space="0"/>
              <w:bottom w:val="single" w:color="000000" w:sz="4" w:space="0"/>
              <w:right w:val="single" w:color="000000" w:sz="4" w:space="0"/>
            </w:tcBorders>
            <w:vAlign w:val="center"/>
          </w:tcPr>
          <w:p w14:paraId="6FAA2EA4">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1</w:t>
            </w:r>
          </w:p>
        </w:tc>
        <w:tc>
          <w:tcPr>
            <w:tcW w:w="3573" w:type="dxa"/>
            <w:tcBorders>
              <w:top w:val="single" w:color="000000" w:sz="4" w:space="0"/>
              <w:left w:val="single" w:color="000000" w:sz="4" w:space="0"/>
              <w:bottom w:val="single" w:color="000000" w:sz="4" w:space="0"/>
              <w:right w:val="single" w:color="000000" w:sz="4" w:space="0"/>
            </w:tcBorders>
            <w:vAlign w:val="center"/>
          </w:tcPr>
          <w:p w14:paraId="51ACE45A">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因</w:t>
            </w:r>
            <w:r>
              <w:rPr>
                <w:rFonts w:hint="eastAsia" w:ascii="宋体" w:hAnsi="宋体" w:eastAsia="宋体" w:cs="宋体"/>
                <w:color w:val="auto"/>
                <w:sz w:val="24"/>
                <w:szCs w:val="24"/>
                <w:lang w:val="en-US" w:eastAsia="zh-CN"/>
              </w:rPr>
              <w:t>成交</w:t>
            </w:r>
            <w:r>
              <w:rPr>
                <w:rFonts w:hint="eastAsia" w:ascii="宋体" w:hAnsi="宋体" w:eastAsia="宋体" w:cs="宋体"/>
                <w:color w:val="auto"/>
                <w:sz w:val="24"/>
                <w:szCs w:val="24"/>
              </w:rPr>
              <w:t>方管理失职发生火灾</w:t>
            </w:r>
          </w:p>
        </w:tc>
        <w:tc>
          <w:tcPr>
            <w:tcW w:w="1081" w:type="dxa"/>
            <w:tcBorders>
              <w:top w:val="single" w:color="000000" w:sz="4" w:space="0"/>
              <w:left w:val="single" w:color="000000" w:sz="4" w:space="0"/>
              <w:bottom w:val="single" w:color="000000" w:sz="4" w:space="0"/>
              <w:right w:val="single" w:color="000000" w:sz="4" w:space="0"/>
            </w:tcBorders>
            <w:vAlign w:val="center"/>
          </w:tcPr>
          <w:p w14:paraId="5C00C4DA">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1次</w:t>
            </w:r>
          </w:p>
        </w:tc>
        <w:tc>
          <w:tcPr>
            <w:tcW w:w="1564" w:type="dxa"/>
            <w:tcBorders>
              <w:top w:val="single" w:color="000000" w:sz="4" w:space="0"/>
              <w:left w:val="single" w:color="000000" w:sz="4" w:space="0"/>
              <w:bottom w:val="single" w:color="000000" w:sz="4" w:space="0"/>
              <w:right w:val="single" w:color="000000" w:sz="4" w:space="0"/>
            </w:tcBorders>
            <w:vAlign w:val="center"/>
          </w:tcPr>
          <w:p w14:paraId="0B898E3A">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10000元</w:t>
            </w:r>
          </w:p>
        </w:tc>
        <w:tc>
          <w:tcPr>
            <w:tcW w:w="1737" w:type="dxa"/>
            <w:tcBorders>
              <w:top w:val="single" w:color="000000" w:sz="4" w:space="0"/>
              <w:left w:val="single" w:color="000000" w:sz="4" w:space="0"/>
              <w:bottom w:val="single" w:color="000000" w:sz="4" w:space="0"/>
              <w:right w:val="single" w:color="000000" w:sz="4" w:space="0"/>
            </w:tcBorders>
            <w:vAlign w:val="center"/>
          </w:tcPr>
          <w:p w14:paraId="60739425">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lang w:eastAsia="en-US"/>
              </w:rPr>
            </w:pPr>
          </w:p>
        </w:tc>
      </w:tr>
      <w:tr w14:paraId="26B439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1" w:hRule="exact"/>
          <w:jc w:val="center"/>
        </w:trPr>
        <w:tc>
          <w:tcPr>
            <w:tcW w:w="663" w:type="dxa"/>
            <w:tcBorders>
              <w:top w:val="single" w:color="000000" w:sz="4" w:space="0"/>
              <w:left w:val="single" w:color="000000" w:sz="4" w:space="0"/>
              <w:bottom w:val="single" w:color="000000" w:sz="4" w:space="0"/>
              <w:right w:val="single" w:color="000000" w:sz="4" w:space="0"/>
            </w:tcBorders>
            <w:vAlign w:val="center"/>
          </w:tcPr>
          <w:p w14:paraId="4ADC01C3">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2</w:t>
            </w:r>
          </w:p>
        </w:tc>
        <w:tc>
          <w:tcPr>
            <w:tcW w:w="3573" w:type="dxa"/>
            <w:tcBorders>
              <w:top w:val="single" w:color="000000" w:sz="4" w:space="0"/>
              <w:left w:val="single" w:color="000000" w:sz="4" w:space="0"/>
              <w:bottom w:val="single" w:color="000000" w:sz="4" w:space="0"/>
              <w:right w:val="single" w:color="000000" w:sz="4" w:space="0"/>
            </w:tcBorders>
            <w:vAlign w:val="center"/>
          </w:tcPr>
          <w:p w14:paraId="4844D647">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因</w:t>
            </w:r>
            <w:r>
              <w:rPr>
                <w:rFonts w:hint="eastAsia" w:ascii="宋体" w:hAnsi="宋体" w:eastAsia="宋体" w:cs="宋体"/>
                <w:color w:val="auto"/>
                <w:sz w:val="24"/>
                <w:szCs w:val="24"/>
                <w:lang w:val="en-US" w:eastAsia="zh-CN"/>
              </w:rPr>
              <w:t>成交</w:t>
            </w:r>
            <w:r>
              <w:rPr>
                <w:rFonts w:hint="eastAsia" w:ascii="宋体" w:hAnsi="宋体" w:eastAsia="宋体" w:cs="宋体"/>
                <w:color w:val="auto"/>
                <w:sz w:val="24"/>
                <w:szCs w:val="24"/>
              </w:rPr>
              <w:t>方管理失职发生失窃案</w:t>
            </w:r>
          </w:p>
        </w:tc>
        <w:tc>
          <w:tcPr>
            <w:tcW w:w="1081" w:type="dxa"/>
            <w:tcBorders>
              <w:top w:val="single" w:color="000000" w:sz="4" w:space="0"/>
              <w:left w:val="single" w:color="000000" w:sz="4" w:space="0"/>
              <w:bottom w:val="single" w:color="000000" w:sz="4" w:space="0"/>
              <w:right w:val="single" w:color="000000" w:sz="4" w:space="0"/>
            </w:tcBorders>
            <w:vAlign w:val="center"/>
          </w:tcPr>
          <w:p w14:paraId="682F2EE0">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1次</w:t>
            </w:r>
          </w:p>
        </w:tc>
        <w:tc>
          <w:tcPr>
            <w:tcW w:w="1564" w:type="dxa"/>
            <w:tcBorders>
              <w:top w:val="single" w:color="000000" w:sz="4" w:space="0"/>
              <w:left w:val="single" w:color="000000" w:sz="4" w:space="0"/>
              <w:bottom w:val="single" w:color="000000" w:sz="4" w:space="0"/>
              <w:right w:val="single" w:color="000000" w:sz="4" w:space="0"/>
            </w:tcBorders>
            <w:vAlign w:val="center"/>
          </w:tcPr>
          <w:p w14:paraId="0041E715">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按遗失物品价值的80%</w:t>
            </w:r>
          </w:p>
        </w:tc>
        <w:tc>
          <w:tcPr>
            <w:tcW w:w="1737" w:type="dxa"/>
            <w:tcBorders>
              <w:top w:val="single" w:color="000000" w:sz="4" w:space="0"/>
              <w:left w:val="single" w:color="000000" w:sz="4" w:space="0"/>
              <w:bottom w:val="single" w:color="000000" w:sz="4" w:space="0"/>
              <w:right w:val="single" w:color="000000" w:sz="4" w:space="0"/>
            </w:tcBorders>
            <w:vAlign w:val="center"/>
          </w:tcPr>
          <w:p w14:paraId="05134FD9">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lang w:eastAsia="en-US"/>
              </w:rPr>
            </w:pPr>
          </w:p>
        </w:tc>
      </w:tr>
      <w:tr w14:paraId="166845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exact"/>
          <w:jc w:val="center"/>
        </w:trPr>
        <w:tc>
          <w:tcPr>
            <w:tcW w:w="663" w:type="dxa"/>
            <w:tcBorders>
              <w:top w:val="single" w:color="000000" w:sz="4" w:space="0"/>
              <w:left w:val="single" w:color="000000" w:sz="4" w:space="0"/>
              <w:bottom w:val="single" w:color="000000" w:sz="4" w:space="0"/>
              <w:right w:val="single" w:color="000000" w:sz="4" w:space="0"/>
            </w:tcBorders>
            <w:vAlign w:val="center"/>
          </w:tcPr>
          <w:p w14:paraId="267585B5">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3</w:t>
            </w:r>
          </w:p>
        </w:tc>
        <w:tc>
          <w:tcPr>
            <w:tcW w:w="3573" w:type="dxa"/>
            <w:tcBorders>
              <w:top w:val="single" w:color="000000" w:sz="4" w:space="0"/>
              <w:left w:val="single" w:color="000000" w:sz="4" w:space="0"/>
              <w:bottom w:val="single" w:color="000000" w:sz="4" w:space="0"/>
              <w:right w:val="single" w:color="000000" w:sz="4" w:space="0"/>
            </w:tcBorders>
            <w:vAlign w:val="center"/>
          </w:tcPr>
          <w:p w14:paraId="2466255A">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物业公司工作人员盗窃</w:t>
            </w:r>
          </w:p>
        </w:tc>
        <w:tc>
          <w:tcPr>
            <w:tcW w:w="1081" w:type="dxa"/>
            <w:tcBorders>
              <w:top w:val="single" w:color="000000" w:sz="4" w:space="0"/>
              <w:left w:val="single" w:color="000000" w:sz="4" w:space="0"/>
              <w:bottom w:val="single" w:color="000000" w:sz="4" w:space="0"/>
              <w:right w:val="single" w:color="000000" w:sz="4" w:space="0"/>
            </w:tcBorders>
            <w:vAlign w:val="center"/>
          </w:tcPr>
          <w:p w14:paraId="6151F3F9">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1次</w:t>
            </w:r>
          </w:p>
        </w:tc>
        <w:tc>
          <w:tcPr>
            <w:tcW w:w="1564" w:type="dxa"/>
            <w:tcBorders>
              <w:top w:val="single" w:color="000000" w:sz="4" w:space="0"/>
              <w:left w:val="single" w:color="000000" w:sz="4" w:space="0"/>
              <w:bottom w:val="single" w:color="000000" w:sz="4" w:space="0"/>
              <w:right w:val="single" w:color="000000" w:sz="4" w:space="0"/>
            </w:tcBorders>
            <w:vAlign w:val="center"/>
          </w:tcPr>
          <w:p w14:paraId="53F14F63">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15000元</w:t>
            </w:r>
          </w:p>
        </w:tc>
        <w:tc>
          <w:tcPr>
            <w:tcW w:w="1737" w:type="dxa"/>
            <w:tcBorders>
              <w:top w:val="single" w:color="000000" w:sz="4" w:space="0"/>
              <w:left w:val="single" w:color="000000" w:sz="4" w:space="0"/>
              <w:bottom w:val="single" w:color="000000" w:sz="4" w:space="0"/>
              <w:right w:val="single" w:color="000000" w:sz="4" w:space="0"/>
            </w:tcBorders>
            <w:vAlign w:val="center"/>
          </w:tcPr>
          <w:p w14:paraId="23316817">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tc>
      </w:tr>
      <w:tr w14:paraId="3B4BD9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9" w:hRule="exact"/>
          <w:jc w:val="center"/>
        </w:trPr>
        <w:tc>
          <w:tcPr>
            <w:tcW w:w="663" w:type="dxa"/>
            <w:tcBorders>
              <w:top w:val="single" w:color="000000" w:sz="4" w:space="0"/>
              <w:left w:val="single" w:color="000000" w:sz="4" w:space="0"/>
              <w:bottom w:val="single" w:color="000000" w:sz="4" w:space="0"/>
              <w:right w:val="single" w:color="000000" w:sz="4" w:space="0"/>
            </w:tcBorders>
            <w:vAlign w:val="center"/>
          </w:tcPr>
          <w:p w14:paraId="26D0EBD9">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4</w:t>
            </w:r>
          </w:p>
        </w:tc>
        <w:tc>
          <w:tcPr>
            <w:tcW w:w="3573" w:type="dxa"/>
            <w:tcBorders>
              <w:top w:val="single" w:color="000000" w:sz="4" w:space="0"/>
              <w:left w:val="single" w:color="000000" w:sz="4" w:space="0"/>
              <w:bottom w:val="single" w:color="000000" w:sz="4" w:space="0"/>
              <w:right w:val="single" w:color="000000" w:sz="4" w:space="0"/>
            </w:tcBorders>
            <w:vAlign w:val="center"/>
          </w:tcPr>
          <w:p w14:paraId="12E2D58B">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未经采购人同意对外出租采购人资源</w:t>
            </w:r>
          </w:p>
        </w:tc>
        <w:tc>
          <w:tcPr>
            <w:tcW w:w="1081" w:type="dxa"/>
            <w:tcBorders>
              <w:top w:val="single" w:color="000000" w:sz="4" w:space="0"/>
              <w:left w:val="single" w:color="000000" w:sz="4" w:space="0"/>
              <w:bottom w:val="single" w:color="000000" w:sz="4" w:space="0"/>
              <w:right w:val="single" w:color="000000" w:sz="4" w:space="0"/>
            </w:tcBorders>
            <w:vAlign w:val="center"/>
          </w:tcPr>
          <w:p w14:paraId="268A0ACA">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1次</w:t>
            </w:r>
          </w:p>
        </w:tc>
        <w:tc>
          <w:tcPr>
            <w:tcW w:w="1564" w:type="dxa"/>
            <w:tcBorders>
              <w:top w:val="single" w:color="000000" w:sz="4" w:space="0"/>
              <w:left w:val="single" w:color="000000" w:sz="4" w:space="0"/>
              <w:bottom w:val="single" w:color="000000" w:sz="4" w:space="0"/>
              <w:right w:val="single" w:color="000000" w:sz="4" w:space="0"/>
            </w:tcBorders>
            <w:vAlign w:val="center"/>
          </w:tcPr>
          <w:p w14:paraId="7F72503C">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10000元</w:t>
            </w:r>
          </w:p>
        </w:tc>
        <w:tc>
          <w:tcPr>
            <w:tcW w:w="1737" w:type="dxa"/>
            <w:tcBorders>
              <w:top w:val="single" w:color="000000" w:sz="4" w:space="0"/>
              <w:left w:val="single" w:color="000000" w:sz="4" w:space="0"/>
              <w:bottom w:val="single" w:color="000000" w:sz="4" w:space="0"/>
              <w:right w:val="single" w:color="000000" w:sz="4" w:space="0"/>
            </w:tcBorders>
            <w:vAlign w:val="center"/>
          </w:tcPr>
          <w:p w14:paraId="5310A6BF">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tc>
      </w:tr>
      <w:tr w14:paraId="254DFA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6" w:hRule="exact"/>
          <w:jc w:val="center"/>
        </w:trPr>
        <w:tc>
          <w:tcPr>
            <w:tcW w:w="663" w:type="dxa"/>
            <w:tcBorders>
              <w:top w:val="single" w:color="000000" w:sz="4" w:space="0"/>
              <w:left w:val="single" w:color="000000" w:sz="4" w:space="0"/>
              <w:bottom w:val="single" w:color="000000" w:sz="4" w:space="0"/>
              <w:right w:val="single" w:color="000000" w:sz="4" w:space="0"/>
            </w:tcBorders>
            <w:vAlign w:val="center"/>
          </w:tcPr>
          <w:p w14:paraId="0F42EF0D">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5</w:t>
            </w:r>
          </w:p>
        </w:tc>
        <w:tc>
          <w:tcPr>
            <w:tcW w:w="3573" w:type="dxa"/>
            <w:tcBorders>
              <w:top w:val="single" w:color="000000" w:sz="4" w:space="0"/>
              <w:left w:val="single" w:color="000000" w:sz="4" w:space="0"/>
              <w:bottom w:val="single" w:color="000000" w:sz="4" w:space="0"/>
              <w:right w:val="single" w:color="000000" w:sz="4" w:space="0"/>
            </w:tcBorders>
            <w:vAlign w:val="center"/>
          </w:tcPr>
          <w:p w14:paraId="29B14994">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未经采购人同意私自使用采购人资源</w:t>
            </w:r>
          </w:p>
        </w:tc>
        <w:tc>
          <w:tcPr>
            <w:tcW w:w="1081" w:type="dxa"/>
            <w:tcBorders>
              <w:top w:val="single" w:color="000000" w:sz="4" w:space="0"/>
              <w:left w:val="single" w:color="000000" w:sz="4" w:space="0"/>
              <w:bottom w:val="single" w:color="000000" w:sz="4" w:space="0"/>
              <w:right w:val="single" w:color="000000" w:sz="4" w:space="0"/>
            </w:tcBorders>
            <w:vAlign w:val="center"/>
          </w:tcPr>
          <w:p w14:paraId="3CAAF256">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1次</w:t>
            </w:r>
          </w:p>
        </w:tc>
        <w:tc>
          <w:tcPr>
            <w:tcW w:w="1564" w:type="dxa"/>
            <w:tcBorders>
              <w:top w:val="single" w:color="000000" w:sz="4" w:space="0"/>
              <w:left w:val="single" w:color="000000" w:sz="4" w:space="0"/>
              <w:bottom w:val="single" w:color="000000" w:sz="4" w:space="0"/>
              <w:right w:val="single" w:color="000000" w:sz="4" w:space="0"/>
            </w:tcBorders>
            <w:vAlign w:val="center"/>
          </w:tcPr>
          <w:p w14:paraId="6EC861FD">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1000元</w:t>
            </w:r>
          </w:p>
        </w:tc>
        <w:tc>
          <w:tcPr>
            <w:tcW w:w="1737" w:type="dxa"/>
            <w:tcBorders>
              <w:top w:val="single" w:color="000000" w:sz="4" w:space="0"/>
              <w:left w:val="single" w:color="000000" w:sz="4" w:space="0"/>
              <w:bottom w:val="single" w:color="000000" w:sz="4" w:space="0"/>
              <w:right w:val="single" w:color="000000" w:sz="4" w:space="0"/>
            </w:tcBorders>
            <w:vAlign w:val="center"/>
          </w:tcPr>
          <w:p w14:paraId="78ACF3EE">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tc>
      </w:tr>
      <w:tr w14:paraId="18589C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3" w:hRule="exact"/>
          <w:jc w:val="center"/>
        </w:trPr>
        <w:tc>
          <w:tcPr>
            <w:tcW w:w="663" w:type="dxa"/>
            <w:tcBorders>
              <w:top w:val="single" w:color="000000" w:sz="4" w:space="0"/>
              <w:left w:val="single" w:color="000000" w:sz="4" w:space="0"/>
              <w:bottom w:val="single" w:color="000000" w:sz="4" w:space="0"/>
              <w:right w:val="single" w:color="000000" w:sz="4" w:space="0"/>
            </w:tcBorders>
            <w:vAlign w:val="center"/>
          </w:tcPr>
          <w:p w14:paraId="6E094B49">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6</w:t>
            </w:r>
          </w:p>
        </w:tc>
        <w:tc>
          <w:tcPr>
            <w:tcW w:w="3573" w:type="dxa"/>
            <w:tcBorders>
              <w:top w:val="single" w:color="000000" w:sz="4" w:space="0"/>
              <w:left w:val="single" w:color="000000" w:sz="4" w:space="0"/>
              <w:bottom w:val="single" w:color="000000" w:sz="4" w:space="0"/>
              <w:right w:val="single" w:color="000000" w:sz="4" w:space="0"/>
            </w:tcBorders>
            <w:vAlign w:val="center"/>
          </w:tcPr>
          <w:p w14:paraId="0F01E0B7">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未经采购人同意私自动用家具设备(含仓库物品）</w:t>
            </w:r>
          </w:p>
        </w:tc>
        <w:tc>
          <w:tcPr>
            <w:tcW w:w="1081" w:type="dxa"/>
            <w:tcBorders>
              <w:top w:val="single" w:color="000000" w:sz="4" w:space="0"/>
              <w:left w:val="single" w:color="000000" w:sz="4" w:space="0"/>
              <w:bottom w:val="single" w:color="000000" w:sz="4" w:space="0"/>
              <w:right w:val="single" w:color="000000" w:sz="4" w:space="0"/>
            </w:tcBorders>
            <w:vAlign w:val="center"/>
          </w:tcPr>
          <w:p w14:paraId="2B6BEF74">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1次</w:t>
            </w:r>
          </w:p>
        </w:tc>
        <w:tc>
          <w:tcPr>
            <w:tcW w:w="1564" w:type="dxa"/>
            <w:tcBorders>
              <w:top w:val="single" w:color="000000" w:sz="4" w:space="0"/>
              <w:left w:val="single" w:color="000000" w:sz="4" w:space="0"/>
              <w:bottom w:val="single" w:color="000000" w:sz="4" w:space="0"/>
              <w:right w:val="single" w:color="000000" w:sz="4" w:space="0"/>
            </w:tcBorders>
            <w:vAlign w:val="center"/>
          </w:tcPr>
          <w:p w14:paraId="4D7A8EE9">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500元</w:t>
            </w:r>
          </w:p>
        </w:tc>
        <w:tc>
          <w:tcPr>
            <w:tcW w:w="1737" w:type="dxa"/>
            <w:tcBorders>
              <w:top w:val="single" w:color="000000" w:sz="4" w:space="0"/>
              <w:left w:val="single" w:color="000000" w:sz="4" w:space="0"/>
              <w:bottom w:val="single" w:color="000000" w:sz="4" w:space="0"/>
              <w:right w:val="single" w:color="000000" w:sz="4" w:space="0"/>
            </w:tcBorders>
            <w:vAlign w:val="center"/>
          </w:tcPr>
          <w:p w14:paraId="3AACBBF8">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tc>
      </w:tr>
      <w:tr w14:paraId="274341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5" w:hRule="exact"/>
          <w:jc w:val="center"/>
        </w:trPr>
        <w:tc>
          <w:tcPr>
            <w:tcW w:w="663" w:type="dxa"/>
            <w:tcBorders>
              <w:top w:val="single" w:color="000000" w:sz="4" w:space="0"/>
              <w:left w:val="single" w:color="000000" w:sz="4" w:space="0"/>
              <w:bottom w:val="single" w:color="000000" w:sz="4" w:space="0"/>
              <w:right w:val="single" w:color="000000" w:sz="4" w:space="0"/>
            </w:tcBorders>
            <w:vAlign w:val="center"/>
          </w:tcPr>
          <w:p w14:paraId="2DB1CAB3">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7</w:t>
            </w:r>
          </w:p>
        </w:tc>
        <w:tc>
          <w:tcPr>
            <w:tcW w:w="3573" w:type="dxa"/>
            <w:tcBorders>
              <w:top w:val="single" w:color="000000" w:sz="4" w:space="0"/>
              <w:left w:val="single" w:color="000000" w:sz="4" w:space="0"/>
              <w:bottom w:val="single" w:color="000000" w:sz="4" w:space="0"/>
              <w:right w:val="single" w:color="000000" w:sz="4" w:space="0"/>
            </w:tcBorders>
            <w:vAlign w:val="center"/>
          </w:tcPr>
          <w:p w14:paraId="7927DBE9">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投诉物业服务(不包括火灾、偷盗事件的投诉），并且采购人查证投诉事件属实</w:t>
            </w:r>
          </w:p>
        </w:tc>
        <w:tc>
          <w:tcPr>
            <w:tcW w:w="1081" w:type="dxa"/>
            <w:tcBorders>
              <w:top w:val="single" w:color="000000" w:sz="4" w:space="0"/>
              <w:left w:val="single" w:color="000000" w:sz="4" w:space="0"/>
              <w:bottom w:val="single" w:color="000000" w:sz="4" w:space="0"/>
              <w:right w:val="single" w:color="000000" w:sz="4" w:space="0"/>
            </w:tcBorders>
            <w:vAlign w:val="center"/>
          </w:tcPr>
          <w:p w14:paraId="256C7C4D">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1次</w:t>
            </w:r>
          </w:p>
        </w:tc>
        <w:tc>
          <w:tcPr>
            <w:tcW w:w="1564" w:type="dxa"/>
            <w:tcBorders>
              <w:top w:val="single" w:color="000000" w:sz="4" w:space="0"/>
              <w:left w:val="single" w:color="000000" w:sz="4" w:space="0"/>
              <w:bottom w:val="single" w:color="000000" w:sz="4" w:space="0"/>
              <w:right w:val="single" w:color="000000" w:sz="4" w:space="0"/>
            </w:tcBorders>
            <w:vAlign w:val="center"/>
          </w:tcPr>
          <w:p w14:paraId="4E4B2040">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1000元</w:t>
            </w:r>
          </w:p>
        </w:tc>
        <w:tc>
          <w:tcPr>
            <w:tcW w:w="1737" w:type="dxa"/>
            <w:tcBorders>
              <w:top w:val="single" w:color="000000" w:sz="4" w:space="0"/>
              <w:left w:val="single" w:color="000000" w:sz="4" w:space="0"/>
              <w:bottom w:val="single" w:color="000000" w:sz="4" w:space="0"/>
              <w:right w:val="single" w:color="000000" w:sz="4" w:space="0"/>
            </w:tcBorders>
            <w:vAlign w:val="center"/>
          </w:tcPr>
          <w:p w14:paraId="25B5927C">
            <w:pPr>
              <w:keepNext w:val="0"/>
              <w:keepLines w:val="0"/>
              <w:pageBreakBefore w:val="0"/>
              <w:widowControl/>
              <w:kinsoku/>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存在</w:t>
            </w:r>
            <w:r>
              <w:rPr>
                <w:rFonts w:hint="eastAsia" w:ascii="宋体" w:hAnsi="宋体" w:eastAsia="宋体" w:cs="宋体"/>
                <w:color w:val="auto"/>
                <w:sz w:val="24"/>
                <w:szCs w:val="24"/>
                <w:lang w:val="en-US" w:eastAsia="zh-CN"/>
              </w:rPr>
              <w:t>成交方</w:t>
            </w:r>
            <w:r>
              <w:rPr>
                <w:rFonts w:hint="eastAsia" w:ascii="宋体" w:hAnsi="宋体" w:eastAsia="宋体" w:cs="宋体"/>
                <w:color w:val="auto"/>
                <w:sz w:val="24"/>
                <w:szCs w:val="24"/>
              </w:rPr>
              <w:t>推诿、上报滞后等情况。</w:t>
            </w:r>
          </w:p>
        </w:tc>
      </w:tr>
      <w:tr w14:paraId="4E1E34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1" w:hRule="exact"/>
          <w:jc w:val="center"/>
        </w:trPr>
        <w:tc>
          <w:tcPr>
            <w:tcW w:w="663" w:type="dxa"/>
            <w:tcBorders>
              <w:top w:val="single" w:color="000000" w:sz="4" w:space="0"/>
              <w:left w:val="single" w:color="000000" w:sz="4" w:space="0"/>
              <w:bottom w:val="single" w:color="000000" w:sz="4" w:space="0"/>
              <w:right w:val="single" w:color="000000" w:sz="4" w:space="0"/>
            </w:tcBorders>
            <w:vAlign w:val="center"/>
          </w:tcPr>
          <w:p w14:paraId="15445B84">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8</w:t>
            </w:r>
          </w:p>
        </w:tc>
        <w:tc>
          <w:tcPr>
            <w:tcW w:w="3573" w:type="dxa"/>
            <w:tcBorders>
              <w:top w:val="single" w:color="000000" w:sz="4" w:space="0"/>
              <w:left w:val="single" w:color="000000" w:sz="4" w:space="0"/>
              <w:bottom w:val="single" w:color="000000" w:sz="4" w:space="0"/>
              <w:right w:val="single" w:color="000000" w:sz="4" w:space="0"/>
            </w:tcBorders>
            <w:vAlign w:val="center"/>
          </w:tcPr>
          <w:p w14:paraId="1EB40314">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实行物业服务岗位人员控制</w:t>
            </w:r>
          </w:p>
        </w:tc>
        <w:tc>
          <w:tcPr>
            <w:tcW w:w="1081" w:type="dxa"/>
            <w:tcBorders>
              <w:top w:val="single" w:color="000000" w:sz="4" w:space="0"/>
              <w:left w:val="single" w:color="000000" w:sz="4" w:space="0"/>
              <w:bottom w:val="single" w:color="000000" w:sz="4" w:space="0"/>
              <w:right w:val="single" w:color="000000" w:sz="4" w:space="0"/>
            </w:tcBorders>
            <w:vAlign w:val="center"/>
          </w:tcPr>
          <w:p w14:paraId="16923B63">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每缺员1人</w:t>
            </w:r>
          </w:p>
        </w:tc>
        <w:tc>
          <w:tcPr>
            <w:tcW w:w="1564" w:type="dxa"/>
            <w:tcBorders>
              <w:top w:val="single" w:color="000000" w:sz="4" w:space="0"/>
              <w:left w:val="single" w:color="000000" w:sz="4" w:space="0"/>
              <w:bottom w:val="single" w:color="000000" w:sz="4" w:space="0"/>
              <w:right w:val="single" w:color="000000" w:sz="4" w:space="0"/>
            </w:tcBorders>
            <w:vAlign w:val="center"/>
          </w:tcPr>
          <w:p w14:paraId="37B23E54">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4000元</w:t>
            </w:r>
          </w:p>
        </w:tc>
        <w:tc>
          <w:tcPr>
            <w:tcW w:w="1737" w:type="dxa"/>
            <w:tcBorders>
              <w:top w:val="single" w:color="000000" w:sz="4" w:space="0"/>
              <w:left w:val="single" w:color="000000" w:sz="4" w:space="0"/>
              <w:bottom w:val="single" w:color="000000" w:sz="4" w:space="0"/>
              <w:right w:val="single" w:color="000000" w:sz="4" w:space="0"/>
            </w:tcBorders>
            <w:vAlign w:val="center"/>
          </w:tcPr>
          <w:p w14:paraId="49C9810F">
            <w:pPr>
              <w:keepNext w:val="0"/>
              <w:keepLines w:val="0"/>
              <w:pageBreakBefore w:val="0"/>
              <w:widowControl/>
              <w:kinsoku/>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每月核查</w:t>
            </w:r>
            <w:r>
              <w:rPr>
                <w:rFonts w:hint="eastAsia" w:ascii="宋体" w:hAnsi="宋体" w:eastAsia="宋体" w:cs="宋体"/>
                <w:color w:val="auto"/>
                <w:sz w:val="24"/>
                <w:szCs w:val="24"/>
                <w:lang w:val="en-US" w:eastAsia="zh-CN"/>
              </w:rPr>
              <w:t>成交</w:t>
            </w:r>
            <w:r>
              <w:rPr>
                <w:rFonts w:hint="eastAsia" w:ascii="宋体" w:hAnsi="宋体" w:eastAsia="宋体" w:cs="宋体"/>
                <w:color w:val="auto"/>
                <w:sz w:val="24"/>
                <w:szCs w:val="24"/>
                <w:lang w:eastAsia="en-US"/>
              </w:rPr>
              <w:t>方人数</w:t>
            </w:r>
          </w:p>
        </w:tc>
      </w:tr>
      <w:tr w14:paraId="52D7B9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1" w:hRule="exact"/>
          <w:jc w:val="center"/>
        </w:trPr>
        <w:tc>
          <w:tcPr>
            <w:tcW w:w="663" w:type="dxa"/>
            <w:tcBorders>
              <w:top w:val="single" w:color="000000" w:sz="4" w:space="0"/>
              <w:left w:val="single" w:color="000000" w:sz="4" w:space="0"/>
              <w:bottom w:val="single" w:color="000000" w:sz="4" w:space="0"/>
              <w:right w:val="single" w:color="000000" w:sz="4" w:space="0"/>
            </w:tcBorders>
            <w:vAlign w:val="center"/>
          </w:tcPr>
          <w:p w14:paraId="5151A02A">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9</w:t>
            </w:r>
          </w:p>
        </w:tc>
        <w:tc>
          <w:tcPr>
            <w:tcW w:w="3573" w:type="dxa"/>
            <w:tcBorders>
              <w:top w:val="single" w:color="000000" w:sz="4" w:space="0"/>
              <w:left w:val="single" w:color="000000" w:sz="4" w:space="0"/>
              <w:bottom w:val="single" w:color="000000" w:sz="4" w:space="0"/>
              <w:right w:val="single" w:color="000000" w:sz="4" w:space="0"/>
            </w:tcBorders>
            <w:vAlign w:val="center"/>
          </w:tcPr>
          <w:p w14:paraId="4DF6AD5F">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未经许可，中标方擅自更换“物业经理、会务人员”</w:t>
            </w:r>
          </w:p>
        </w:tc>
        <w:tc>
          <w:tcPr>
            <w:tcW w:w="1081" w:type="dxa"/>
            <w:tcBorders>
              <w:top w:val="single" w:color="000000" w:sz="4" w:space="0"/>
              <w:left w:val="single" w:color="000000" w:sz="4" w:space="0"/>
              <w:bottom w:val="single" w:color="000000" w:sz="4" w:space="0"/>
              <w:right w:val="single" w:color="000000" w:sz="4" w:space="0"/>
            </w:tcBorders>
            <w:vAlign w:val="center"/>
          </w:tcPr>
          <w:p w14:paraId="46D7B00B">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每人次</w:t>
            </w:r>
          </w:p>
        </w:tc>
        <w:tc>
          <w:tcPr>
            <w:tcW w:w="1564" w:type="dxa"/>
            <w:tcBorders>
              <w:top w:val="single" w:color="000000" w:sz="4" w:space="0"/>
              <w:left w:val="single" w:color="000000" w:sz="4" w:space="0"/>
              <w:bottom w:val="single" w:color="000000" w:sz="4" w:space="0"/>
              <w:right w:val="single" w:color="000000" w:sz="4" w:space="0"/>
            </w:tcBorders>
            <w:vAlign w:val="center"/>
          </w:tcPr>
          <w:p w14:paraId="515DF1F2">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color w:val="auto"/>
                <w:sz w:val="24"/>
                <w:szCs w:val="24"/>
                <w:lang w:eastAsia="en-US"/>
              </w:rPr>
            </w:pPr>
            <w:r>
              <w:rPr>
                <w:rFonts w:hint="eastAsia" w:ascii="宋体" w:hAnsi="宋体" w:eastAsia="宋体" w:cs="宋体"/>
                <w:color w:val="auto"/>
                <w:sz w:val="24"/>
                <w:szCs w:val="24"/>
                <w:lang w:eastAsia="en-US"/>
              </w:rPr>
              <w:t>3000元</w:t>
            </w:r>
          </w:p>
        </w:tc>
        <w:tc>
          <w:tcPr>
            <w:tcW w:w="1737" w:type="dxa"/>
            <w:tcBorders>
              <w:top w:val="single" w:color="000000" w:sz="4" w:space="0"/>
              <w:left w:val="single" w:color="000000" w:sz="4" w:space="0"/>
              <w:bottom w:val="single" w:color="000000" w:sz="4" w:space="0"/>
              <w:right w:val="single" w:color="000000" w:sz="4" w:space="0"/>
            </w:tcBorders>
            <w:vAlign w:val="center"/>
          </w:tcPr>
          <w:p w14:paraId="6C378323">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lang w:eastAsia="en-US"/>
              </w:rPr>
            </w:pPr>
          </w:p>
        </w:tc>
      </w:tr>
      <w:tr w14:paraId="7447F4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84" w:hRule="exact"/>
          <w:jc w:val="center"/>
        </w:trPr>
        <w:tc>
          <w:tcPr>
            <w:tcW w:w="8618" w:type="dxa"/>
            <w:gridSpan w:val="5"/>
            <w:tcBorders>
              <w:top w:val="single" w:color="000000" w:sz="4" w:space="0"/>
              <w:left w:val="single" w:color="000000" w:sz="4" w:space="0"/>
              <w:bottom w:val="single" w:color="000000" w:sz="4" w:space="0"/>
              <w:right w:val="single" w:color="000000" w:sz="4" w:space="0"/>
            </w:tcBorders>
            <w:vAlign w:val="center"/>
          </w:tcPr>
          <w:p w14:paraId="47A3F78B">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对考核中发现的问题，成交供应商10天内整改不到位的，采购人除严格依照谈判文件规定处罚外，有权对缺少的人员和不符合岗位要求的人员按合同相关要求，按市场行情招聘人员，费用从应支付给成交供应商的物业服务费中扣减。对30天内整改不到位的，采购人有权单方终止合同，并扣罚全部履约保证金。</w:t>
            </w:r>
          </w:p>
          <w:p w14:paraId="12F8DD17">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332D3E00">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3D1A9FB9">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44ACCD12">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5FADE89B">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541ACB2E">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6069C095">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5A54B759">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6B4D331A">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5869C397">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1A0F1487">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7B00E7ED">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3928E01A">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3CEFAA84">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22352BC5">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29E4A13B">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6BE2F16E">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2668C5EC">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424DBB85">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20ADEF72">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44002892">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4394228F">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466ADEDF">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136B791A">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1F1A2A2A">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28416E69">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2672DC4D">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50866D91">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410D02BC">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7F875AA9">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704EF574">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5E2DE592">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p w14:paraId="1334C971">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宋体" w:hAnsi="宋体" w:eastAsia="宋体" w:cs="宋体"/>
                <w:color w:val="auto"/>
                <w:sz w:val="24"/>
                <w:szCs w:val="24"/>
              </w:rPr>
            </w:pPr>
          </w:p>
        </w:tc>
      </w:tr>
    </w:tbl>
    <w:p w14:paraId="73A2A885">
      <w:pPr>
        <w:rPr>
          <w:lang w:eastAsia="zh-CN"/>
        </w:rPr>
      </w:pPr>
    </w:p>
    <w:sectPr>
      <w:footerReference r:id="rId4" w:type="default"/>
      <w:pgSz w:w="11906" w:h="16839"/>
      <w:pgMar w:top="1440" w:right="1800" w:bottom="1440" w:left="1800" w:header="0" w:footer="994"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6F0018C-C28C-47A0-ACCB-85C224D789C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DBFABE">
    <w:pPr>
      <w:pStyle w:val="1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51ADC5">
                          <w:pPr>
                            <w:pStyle w:val="12"/>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7F51ADC5">
                    <w:pPr>
                      <w:pStyle w:val="12"/>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2B049">
    <w:pPr>
      <w:pStyle w:val="12"/>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D0EF2E">
                          <w:pPr>
                            <w:pStyle w:val="12"/>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9D0EF2E">
                    <w:pPr>
                      <w:pStyle w:val="12"/>
                    </w:pPr>
                    <w:r>
                      <w:fldChar w:fldCharType="begin"/>
                    </w:r>
                    <w:r>
                      <w:instrText xml:space="preserve"> PAGE  \* MERGEFORMAT </w:instrText>
                    </w:r>
                    <w:r>
                      <w:fldChar w:fldCharType="separate"/>
                    </w:r>
                    <w:r>
                      <w:t>61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6735FE"/>
    <w:multiLevelType w:val="singleLevel"/>
    <w:tmpl w:val="DE6735FE"/>
    <w:lvl w:ilvl="0" w:tentative="0">
      <w:start w:val="1"/>
      <w:numFmt w:val="decimal"/>
      <w:lvlText w:val="%1."/>
      <w:lvlJc w:val="left"/>
      <w:pPr>
        <w:tabs>
          <w:tab w:val="left" w:pos="312"/>
        </w:tabs>
      </w:pPr>
    </w:lvl>
  </w:abstractNum>
  <w:abstractNum w:abstractNumId="1">
    <w:nsid w:val="FB0749EF"/>
    <w:multiLevelType w:val="singleLevel"/>
    <w:tmpl w:val="FB0749EF"/>
    <w:lvl w:ilvl="0" w:tentative="0">
      <w:start w:val="1"/>
      <w:numFmt w:val="decimal"/>
      <w:lvlText w:val="%1."/>
      <w:lvlJc w:val="left"/>
      <w:pPr>
        <w:tabs>
          <w:tab w:val="left" w:pos="312"/>
        </w:tabs>
      </w:pPr>
    </w:lvl>
  </w:abstractNum>
  <w:abstractNum w:abstractNumId="2">
    <w:nsid w:val="1531F500"/>
    <w:multiLevelType w:val="singleLevel"/>
    <w:tmpl w:val="1531F500"/>
    <w:lvl w:ilvl="0" w:tentative="0">
      <w:start w:val="9"/>
      <w:numFmt w:val="decimal"/>
      <w:suff w:val="nothing"/>
      <w:lvlText w:val="%1、"/>
      <w:lvlJc w:val="left"/>
    </w:lvl>
  </w:abstractNum>
  <w:abstractNum w:abstractNumId="3">
    <w:nsid w:val="1D965A75"/>
    <w:multiLevelType w:val="singleLevel"/>
    <w:tmpl w:val="1D965A75"/>
    <w:lvl w:ilvl="0" w:tentative="0">
      <w:start w:val="1"/>
      <w:numFmt w:val="decimal"/>
      <w:suff w:val="nothing"/>
      <w:lvlText w:val="（%1）"/>
      <w:lvlJc w:val="left"/>
    </w:lvl>
  </w:abstractNum>
  <w:abstractNum w:abstractNumId="4">
    <w:nsid w:val="29599100"/>
    <w:multiLevelType w:val="singleLevel"/>
    <w:tmpl w:val="29599100"/>
    <w:lvl w:ilvl="0" w:tentative="0">
      <w:start w:val="1"/>
      <w:numFmt w:val="decimal"/>
      <w:lvlText w:val="%1."/>
      <w:lvlJc w:val="left"/>
      <w:pPr>
        <w:tabs>
          <w:tab w:val="left" w:pos="312"/>
        </w:tabs>
      </w:p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1A4716"/>
    <w:rsid w:val="0031198B"/>
    <w:rsid w:val="00412A37"/>
    <w:rsid w:val="00462DBC"/>
    <w:rsid w:val="006308AB"/>
    <w:rsid w:val="00847DE1"/>
    <w:rsid w:val="00CD47AB"/>
    <w:rsid w:val="00D6521D"/>
    <w:rsid w:val="00F72BE7"/>
    <w:rsid w:val="010333FC"/>
    <w:rsid w:val="013D404E"/>
    <w:rsid w:val="014707D5"/>
    <w:rsid w:val="0183453D"/>
    <w:rsid w:val="018C0929"/>
    <w:rsid w:val="01A614D7"/>
    <w:rsid w:val="01A87AFF"/>
    <w:rsid w:val="01B97168"/>
    <w:rsid w:val="01E178D6"/>
    <w:rsid w:val="01EB4878"/>
    <w:rsid w:val="01F176F8"/>
    <w:rsid w:val="0204742C"/>
    <w:rsid w:val="0259076E"/>
    <w:rsid w:val="0285782E"/>
    <w:rsid w:val="029978D0"/>
    <w:rsid w:val="029F7154"/>
    <w:rsid w:val="02F079B0"/>
    <w:rsid w:val="02F62DEB"/>
    <w:rsid w:val="03194B7A"/>
    <w:rsid w:val="03321D76"/>
    <w:rsid w:val="03914CEF"/>
    <w:rsid w:val="03A14F29"/>
    <w:rsid w:val="03EA19D6"/>
    <w:rsid w:val="03F0328D"/>
    <w:rsid w:val="043F4DB5"/>
    <w:rsid w:val="04411713"/>
    <w:rsid w:val="04455AD9"/>
    <w:rsid w:val="044D1E30"/>
    <w:rsid w:val="0451019F"/>
    <w:rsid w:val="04676345"/>
    <w:rsid w:val="048605CC"/>
    <w:rsid w:val="04C92C17"/>
    <w:rsid w:val="04F64D19"/>
    <w:rsid w:val="052B325D"/>
    <w:rsid w:val="055517CE"/>
    <w:rsid w:val="055E0168"/>
    <w:rsid w:val="05DE29C3"/>
    <w:rsid w:val="05DE61E6"/>
    <w:rsid w:val="05EF3F4F"/>
    <w:rsid w:val="05F07017"/>
    <w:rsid w:val="062D088E"/>
    <w:rsid w:val="06367DD0"/>
    <w:rsid w:val="065C0B2C"/>
    <w:rsid w:val="069A65B0"/>
    <w:rsid w:val="06D416EA"/>
    <w:rsid w:val="06DA69AD"/>
    <w:rsid w:val="06DB44D3"/>
    <w:rsid w:val="070E2A2E"/>
    <w:rsid w:val="07560445"/>
    <w:rsid w:val="0761370A"/>
    <w:rsid w:val="076566A7"/>
    <w:rsid w:val="07870D6B"/>
    <w:rsid w:val="079A2F4B"/>
    <w:rsid w:val="07A74BA2"/>
    <w:rsid w:val="07B64740"/>
    <w:rsid w:val="07E85FE1"/>
    <w:rsid w:val="081F5E69"/>
    <w:rsid w:val="0828199A"/>
    <w:rsid w:val="08281DA0"/>
    <w:rsid w:val="083640B7"/>
    <w:rsid w:val="085554C1"/>
    <w:rsid w:val="08BF40AC"/>
    <w:rsid w:val="08D800EA"/>
    <w:rsid w:val="08D86F1C"/>
    <w:rsid w:val="08F05ECB"/>
    <w:rsid w:val="08FD47B7"/>
    <w:rsid w:val="092933EE"/>
    <w:rsid w:val="09634701"/>
    <w:rsid w:val="09724846"/>
    <w:rsid w:val="0983332C"/>
    <w:rsid w:val="098C4275"/>
    <w:rsid w:val="099C2AD0"/>
    <w:rsid w:val="09EE6093"/>
    <w:rsid w:val="0A3F73AB"/>
    <w:rsid w:val="0A5474C3"/>
    <w:rsid w:val="0A5F7AD5"/>
    <w:rsid w:val="0A630BD7"/>
    <w:rsid w:val="0A9D4D18"/>
    <w:rsid w:val="0AA7616F"/>
    <w:rsid w:val="0AAA50E9"/>
    <w:rsid w:val="0ABB6AF5"/>
    <w:rsid w:val="0AD656DD"/>
    <w:rsid w:val="0AE0655C"/>
    <w:rsid w:val="0AE61051"/>
    <w:rsid w:val="0B417DD6"/>
    <w:rsid w:val="0B6F2AEC"/>
    <w:rsid w:val="0B966506"/>
    <w:rsid w:val="0B9C321E"/>
    <w:rsid w:val="0BCE5A19"/>
    <w:rsid w:val="0BD25EA5"/>
    <w:rsid w:val="0BE257DB"/>
    <w:rsid w:val="0C027923"/>
    <w:rsid w:val="0C1E16F8"/>
    <w:rsid w:val="0C5366DC"/>
    <w:rsid w:val="0C5F196C"/>
    <w:rsid w:val="0C7A3C79"/>
    <w:rsid w:val="0C7E7DDA"/>
    <w:rsid w:val="0CC815D4"/>
    <w:rsid w:val="0CFB5827"/>
    <w:rsid w:val="0D464D9C"/>
    <w:rsid w:val="0DB63714"/>
    <w:rsid w:val="0DBF7C0D"/>
    <w:rsid w:val="0DD264ED"/>
    <w:rsid w:val="0DD809E2"/>
    <w:rsid w:val="0E045967"/>
    <w:rsid w:val="0E0E5E35"/>
    <w:rsid w:val="0E306947"/>
    <w:rsid w:val="0E3A6EF7"/>
    <w:rsid w:val="0EA004DC"/>
    <w:rsid w:val="0F0C5B71"/>
    <w:rsid w:val="0F711E78"/>
    <w:rsid w:val="0F7F7234"/>
    <w:rsid w:val="0F8346BB"/>
    <w:rsid w:val="0FA0050D"/>
    <w:rsid w:val="0FA80009"/>
    <w:rsid w:val="0FA83E35"/>
    <w:rsid w:val="0FAD17DF"/>
    <w:rsid w:val="0FB74ACA"/>
    <w:rsid w:val="10030D22"/>
    <w:rsid w:val="107F306E"/>
    <w:rsid w:val="1082290B"/>
    <w:rsid w:val="108F7832"/>
    <w:rsid w:val="10C07BD4"/>
    <w:rsid w:val="10C219BE"/>
    <w:rsid w:val="10D80401"/>
    <w:rsid w:val="11327489"/>
    <w:rsid w:val="114948FA"/>
    <w:rsid w:val="11934328"/>
    <w:rsid w:val="12386F06"/>
    <w:rsid w:val="126757A9"/>
    <w:rsid w:val="12677A45"/>
    <w:rsid w:val="128B5679"/>
    <w:rsid w:val="128F4AEF"/>
    <w:rsid w:val="1292624E"/>
    <w:rsid w:val="129C0FBA"/>
    <w:rsid w:val="12A379FF"/>
    <w:rsid w:val="12E017EF"/>
    <w:rsid w:val="12E34E3B"/>
    <w:rsid w:val="12F93CD2"/>
    <w:rsid w:val="1329079F"/>
    <w:rsid w:val="139B1165"/>
    <w:rsid w:val="139F6FB4"/>
    <w:rsid w:val="14276650"/>
    <w:rsid w:val="143E0B0F"/>
    <w:rsid w:val="144813FA"/>
    <w:rsid w:val="14622BC5"/>
    <w:rsid w:val="147C72F5"/>
    <w:rsid w:val="14A422A7"/>
    <w:rsid w:val="14B561ED"/>
    <w:rsid w:val="14BA7C9C"/>
    <w:rsid w:val="14F13A81"/>
    <w:rsid w:val="15035321"/>
    <w:rsid w:val="150C1BA5"/>
    <w:rsid w:val="1538599A"/>
    <w:rsid w:val="158B0678"/>
    <w:rsid w:val="15A703A2"/>
    <w:rsid w:val="162A19E8"/>
    <w:rsid w:val="16781D3E"/>
    <w:rsid w:val="16902C4F"/>
    <w:rsid w:val="16A356CC"/>
    <w:rsid w:val="16C66B40"/>
    <w:rsid w:val="16DF3B6C"/>
    <w:rsid w:val="173418E5"/>
    <w:rsid w:val="17342109"/>
    <w:rsid w:val="17463BEB"/>
    <w:rsid w:val="1759391E"/>
    <w:rsid w:val="178A69FE"/>
    <w:rsid w:val="17BE7C25"/>
    <w:rsid w:val="17D60801"/>
    <w:rsid w:val="17FE4AAC"/>
    <w:rsid w:val="182E6B2B"/>
    <w:rsid w:val="18363C5F"/>
    <w:rsid w:val="18493437"/>
    <w:rsid w:val="186009B5"/>
    <w:rsid w:val="18645B5E"/>
    <w:rsid w:val="18846779"/>
    <w:rsid w:val="18A2478C"/>
    <w:rsid w:val="18C97898"/>
    <w:rsid w:val="18CD45C3"/>
    <w:rsid w:val="18E84F59"/>
    <w:rsid w:val="18F643B3"/>
    <w:rsid w:val="191F46F3"/>
    <w:rsid w:val="19241D0A"/>
    <w:rsid w:val="193463F1"/>
    <w:rsid w:val="19384921"/>
    <w:rsid w:val="193E2DCB"/>
    <w:rsid w:val="194B6A65"/>
    <w:rsid w:val="196206F1"/>
    <w:rsid w:val="196B7938"/>
    <w:rsid w:val="19A76BC3"/>
    <w:rsid w:val="19AA220F"/>
    <w:rsid w:val="19F33BB6"/>
    <w:rsid w:val="1A0241DE"/>
    <w:rsid w:val="1A551963"/>
    <w:rsid w:val="1A924163"/>
    <w:rsid w:val="1A976C37"/>
    <w:rsid w:val="1A9F5AEC"/>
    <w:rsid w:val="1AAC52F9"/>
    <w:rsid w:val="1ACB4B33"/>
    <w:rsid w:val="1AED56D7"/>
    <w:rsid w:val="1AF44F33"/>
    <w:rsid w:val="1B0342CC"/>
    <w:rsid w:val="1B281987"/>
    <w:rsid w:val="1B4548E5"/>
    <w:rsid w:val="1B6034CD"/>
    <w:rsid w:val="1B610FF3"/>
    <w:rsid w:val="1B702014"/>
    <w:rsid w:val="1B8F6D81"/>
    <w:rsid w:val="1BC51582"/>
    <w:rsid w:val="1BD47A17"/>
    <w:rsid w:val="1C027398"/>
    <w:rsid w:val="1C09588C"/>
    <w:rsid w:val="1C512E16"/>
    <w:rsid w:val="1CAD6B0C"/>
    <w:rsid w:val="1CCC4B92"/>
    <w:rsid w:val="1CF00880"/>
    <w:rsid w:val="1D085BCA"/>
    <w:rsid w:val="1D224301"/>
    <w:rsid w:val="1D74500E"/>
    <w:rsid w:val="1DD17CE5"/>
    <w:rsid w:val="1DD800C0"/>
    <w:rsid w:val="1DE32193"/>
    <w:rsid w:val="1DF24184"/>
    <w:rsid w:val="1E080CA5"/>
    <w:rsid w:val="1E43791C"/>
    <w:rsid w:val="1E4E3AB1"/>
    <w:rsid w:val="1EB853CE"/>
    <w:rsid w:val="1F2952CA"/>
    <w:rsid w:val="1F62574D"/>
    <w:rsid w:val="1FA45952"/>
    <w:rsid w:val="1FAB6CE1"/>
    <w:rsid w:val="20026D16"/>
    <w:rsid w:val="20126D60"/>
    <w:rsid w:val="20493069"/>
    <w:rsid w:val="204A0A1D"/>
    <w:rsid w:val="205316A1"/>
    <w:rsid w:val="206155F1"/>
    <w:rsid w:val="20690ABE"/>
    <w:rsid w:val="20B54DB2"/>
    <w:rsid w:val="21042B4C"/>
    <w:rsid w:val="213A566A"/>
    <w:rsid w:val="21751354"/>
    <w:rsid w:val="2195298B"/>
    <w:rsid w:val="21CE72BA"/>
    <w:rsid w:val="22072FB3"/>
    <w:rsid w:val="22112B50"/>
    <w:rsid w:val="224433AA"/>
    <w:rsid w:val="22791318"/>
    <w:rsid w:val="229427BE"/>
    <w:rsid w:val="22A85555"/>
    <w:rsid w:val="22BD529E"/>
    <w:rsid w:val="22E21DFF"/>
    <w:rsid w:val="22FD3CF7"/>
    <w:rsid w:val="23056708"/>
    <w:rsid w:val="23177499"/>
    <w:rsid w:val="231D7237"/>
    <w:rsid w:val="234D0A23"/>
    <w:rsid w:val="23746473"/>
    <w:rsid w:val="23C04A55"/>
    <w:rsid w:val="23FC7E0C"/>
    <w:rsid w:val="24092228"/>
    <w:rsid w:val="24171630"/>
    <w:rsid w:val="2418246B"/>
    <w:rsid w:val="241B595C"/>
    <w:rsid w:val="2423153B"/>
    <w:rsid w:val="24651B54"/>
    <w:rsid w:val="24686C33"/>
    <w:rsid w:val="246D6C5B"/>
    <w:rsid w:val="25533D7B"/>
    <w:rsid w:val="258204E4"/>
    <w:rsid w:val="25823163"/>
    <w:rsid w:val="25A3348A"/>
    <w:rsid w:val="25A55F80"/>
    <w:rsid w:val="25E04238"/>
    <w:rsid w:val="25E2090D"/>
    <w:rsid w:val="25F37706"/>
    <w:rsid w:val="26173EA3"/>
    <w:rsid w:val="2629095F"/>
    <w:rsid w:val="26294355"/>
    <w:rsid w:val="26341DF0"/>
    <w:rsid w:val="26915FCA"/>
    <w:rsid w:val="26BE3321"/>
    <w:rsid w:val="2722776F"/>
    <w:rsid w:val="27457A1B"/>
    <w:rsid w:val="274B704D"/>
    <w:rsid w:val="275B6B89"/>
    <w:rsid w:val="278A3680"/>
    <w:rsid w:val="27925789"/>
    <w:rsid w:val="279C2686"/>
    <w:rsid w:val="27EF1D1C"/>
    <w:rsid w:val="280660E7"/>
    <w:rsid w:val="280E04F8"/>
    <w:rsid w:val="280E640F"/>
    <w:rsid w:val="28706D19"/>
    <w:rsid w:val="28AB7D51"/>
    <w:rsid w:val="28CF7D70"/>
    <w:rsid w:val="28DF7FBB"/>
    <w:rsid w:val="28E82D54"/>
    <w:rsid w:val="28F06301"/>
    <w:rsid w:val="291F3D28"/>
    <w:rsid w:val="292B3DEC"/>
    <w:rsid w:val="29331F95"/>
    <w:rsid w:val="29B6075C"/>
    <w:rsid w:val="2A071140"/>
    <w:rsid w:val="2A71789D"/>
    <w:rsid w:val="2AA214B9"/>
    <w:rsid w:val="2AC47CD5"/>
    <w:rsid w:val="2AC967C3"/>
    <w:rsid w:val="2B0F5B99"/>
    <w:rsid w:val="2B334BA2"/>
    <w:rsid w:val="2B681F2A"/>
    <w:rsid w:val="2B9A2B28"/>
    <w:rsid w:val="2BD575BF"/>
    <w:rsid w:val="2BDA2720"/>
    <w:rsid w:val="2BE15E8C"/>
    <w:rsid w:val="2BE75893"/>
    <w:rsid w:val="2BE93C1A"/>
    <w:rsid w:val="2BED313B"/>
    <w:rsid w:val="2C5C383D"/>
    <w:rsid w:val="2C601F06"/>
    <w:rsid w:val="2C695F59"/>
    <w:rsid w:val="2CA90A4C"/>
    <w:rsid w:val="2CF47F19"/>
    <w:rsid w:val="2CF55C1F"/>
    <w:rsid w:val="2D0C09DE"/>
    <w:rsid w:val="2D665E74"/>
    <w:rsid w:val="2D6A1F89"/>
    <w:rsid w:val="2D99286E"/>
    <w:rsid w:val="2DD0099C"/>
    <w:rsid w:val="2DF41412"/>
    <w:rsid w:val="2E234DC0"/>
    <w:rsid w:val="2E2B0E5E"/>
    <w:rsid w:val="2E2E7539"/>
    <w:rsid w:val="2E3903BB"/>
    <w:rsid w:val="2E440A2C"/>
    <w:rsid w:val="2E575FCC"/>
    <w:rsid w:val="2E693B84"/>
    <w:rsid w:val="2E7732DA"/>
    <w:rsid w:val="2EA74B17"/>
    <w:rsid w:val="2EB108A7"/>
    <w:rsid w:val="2F2963AA"/>
    <w:rsid w:val="2F37233F"/>
    <w:rsid w:val="2F5F3B7C"/>
    <w:rsid w:val="2F637AC2"/>
    <w:rsid w:val="2F990904"/>
    <w:rsid w:val="2FB63E0A"/>
    <w:rsid w:val="2FC17E5A"/>
    <w:rsid w:val="302D63E4"/>
    <w:rsid w:val="305E1890"/>
    <w:rsid w:val="30714354"/>
    <w:rsid w:val="307B4DE9"/>
    <w:rsid w:val="30A111AB"/>
    <w:rsid w:val="30E65DCB"/>
    <w:rsid w:val="30F878AC"/>
    <w:rsid w:val="311F12DD"/>
    <w:rsid w:val="31353885"/>
    <w:rsid w:val="314D409C"/>
    <w:rsid w:val="31526CE7"/>
    <w:rsid w:val="316B62D0"/>
    <w:rsid w:val="318178A1"/>
    <w:rsid w:val="319C0B7F"/>
    <w:rsid w:val="31AC0DC2"/>
    <w:rsid w:val="31C55E0D"/>
    <w:rsid w:val="31E51C4C"/>
    <w:rsid w:val="31E76326"/>
    <w:rsid w:val="31E87920"/>
    <w:rsid w:val="31FE5396"/>
    <w:rsid w:val="321C6AB4"/>
    <w:rsid w:val="3233535A"/>
    <w:rsid w:val="325D030E"/>
    <w:rsid w:val="3268280F"/>
    <w:rsid w:val="32836AB1"/>
    <w:rsid w:val="3296737C"/>
    <w:rsid w:val="329A3D4F"/>
    <w:rsid w:val="32BE2A91"/>
    <w:rsid w:val="32C75788"/>
    <w:rsid w:val="32DD144F"/>
    <w:rsid w:val="32E05C54"/>
    <w:rsid w:val="32E91BA2"/>
    <w:rsid w:val="32EB76C8"/>
    <w:rsid w:val="33074498"/>
    <w:rsid w:val="330D4250"/>
    <w:rsid w:val="33582884"/>
    <w:rsid w:val="33887CDC"/>
    <w:rsid w:val="33A43B7D"/>
    <w:rsid w:val="33AE791F"/>
    <w:rsid w:val="33DC34B5"/>
    <w:rsid w:val="33F26834"/>
    <w:rsid w:val="3408478C"/>
    <w:rsid w:val="34256C0A"/>
    <w:rsid w:val="34325184"/>
    <w:rsid w:val="346E1C27"/>
    <w:rsid w:val="34913157"/>
    <w:rsid w:val="34B65AB4"/>
    <w:rsid w:val="34DF14AF"/>
    <w:rsid w:val="34F27B67"/>
    <w:rsid w:val="34FC4F34"/>
    <w:rsid w:val="3522571C"/>
    <w:rsid w:val="3538296D"/>
    <w:rsid w:val="35591BE5"/>
    <w:rsid w:val="36064E50"/>
    <w:rsid w:val="362863AF"/>
    <w:rsid w:val="363E28DB"/>
    <w:rsid w:val="364C66D0"/>
    <w:rsid w:val="36597105"/>
    <w:rsid w:val="36630477"/>
    <w:rsid w:val="36844F22"/>
    <w:rsid w:val="368C11C2"/>
    <w:rsid w:val="36D178DD"/>
    <w:rsid w:val="374675C3"/>
    <w:rsid w:val="37480D48"/>
    <w:rsid w:val="379E11AD"/>
    <w:rsid w:val="37C075FB"/>
    <w:rsid w:val="37D05C01"/>
    <w:rsid w:val="37E64902"/>
    <w:rsid w:val="37ED7187"/>
    <w:rsid w:val="380758D8"/>
    <w:rsid w:val="3814785F"/>
    <w:rsid w:val="3899102A"/>
    <w:rsid w:val="38E71604"/>
    <w:rsid w:val="39225E0E"/>
    <w:rsid w:val="392E6561"/>
    <w:rsid w:val="39492CB4"/>
    <w:rsid w:val="39AD22FE"/>
    <w:rsid w:val="39D96E5F"/>
    <w:rsid w:val="3A0B68A2"/>
    <w:rsid w:val="3A1B5E20"/>
    <w:rsid w:val="3A3E4582"/>
    <w:rsid w:val="3A6B125E"/>
    <w:rsid w:val="3A765AA9"/>
    <w:rsid w:val="3AA86775"/>
    <w:rsid w:val="3B0F4170"/>
    <w:rsid w:val="3B163B4E"/>
    <w:rsid w:val="3B3E209A"/>
    <w:rsid w:val="3B6C511E"/>
    <w:rsid w:val="3B7E51F7"/>
    <w:rsid w:val="3B811AEE"/>
    <w:rsid w:val="3B8811A4"/>
    <w:rsid w:val="3BA40D5C"/>
    <w:rsid w:val="3BAC10D3"/>
    <w:rsid w:val="3BB30B9B"/>
    <w:rsid w:val="3BC30616"/>
    <w:rsid w:val="3BC82BB4"/>
    <w:rsid w:val="3C0D34D0"/>
    <w:rsid w:val="3C0F220A"/>
    <w:rsid w:val="3C267544"/>
    <w:rsid w:val="3C340332"/>
    <w:rsid w:val="3C5536A5"/>
    <w:rsid w:val="3C8C6D91"/>
    <w:rsid w:val="3C8D17F0"/>
    <w:rsid w:val="3D033860"/>
    <w:rsid w:val="3D36354C"/>
    <w:rsid w:val="3D6A1B31"/>
    <w:rsid w:val="3D714698"/>
    <w:rsid w:val="3DBB413B"/>
    <w:rsid w:val="3DC2371B"/>
    <w:rsid w:val="3DC93A44"/>
    <w:rsid w:val="3DCA65AE"/>
    <w:rsid w:val="3DD11BB1"/>
    <w:rsid w:val="3DED4811"/>
    <w:rsid w:val="3E1F3CAD"/>
    <w:rsid w:val="3E292C29"/>
    <w:rsid w:val="3E78615B"/>
    <w:rsid w:val="3E8E35FE"/>
    <w:rsid w:val="3EB41BE5"/>
    <w:rsid w:val="3F19434D"/>
    <w:rsid w:val="3F3A2449"/>
    <w:rsid w:val="3F8C3FE1"/>
    <w:rsid w:val="3F984C13"/>
    <w:rsid w:val="3FA048CF"/>
    <w:rsid w:val="40267F92"/>
    <w:rsid w:val="403657CB"/>
    <w:rsid w:val="408E067A"/>
    <w:rsid w:val="40DC5414"/>
    <w:rsid w:val="40FC6F44"/>
    <w:rsid w:val="40FF00CD"/>
    <w:rsid w:val="41015B84"/>
    <w:rsid w:val="41114402"/>
    <w:rsid w:val="414454B9"/>
    <w:rsid w:val="417A5147"/>
    <w:rsid w:val="419F141C"/>
    <w:rsid w:val="41EA3C09"/>
    <w:rsid w:val="424342E6"/>
    <w:rsid w:val="428E7BE1"/>
    <w:rsid w:val="42B20B36"/>
    <w:rsid w:val="42B85710"/>
    <w:rsid w:val="42FB66C8"/>
    <w:rsid w:val="4316583F"/>
    <w:rsid w:val="43192944"/>
    <w:rsid w:val="43394480"/>
    <w:rsid w:val="433A4E46"/>
    <w:rsid w:val="438356FB"/>
    <w:rsid w:val="43855BE4"/>
    <w:rsid w:val="438B0282"/>
    <w:rsid w:val="43B52238"/>
    <w:rsid w:val="43B76D4C"/>
    <w:rsid w:val="43DC38C6"/>
    <w:rsid w:val="43EA13CF"/>
    <w:rsid w:val="44330988"/>
    <w:rsid w:val="445552E9"/>
    <w:rsid w:val="44587568"/>
    <w:rsid w:val="447255E6"/>
    <w:rsid w:val="4475773A"/>
    <w:rsid w:val="44B32010"/>
    <w:rsid w:val="44CD7E13"/>
    <w:rsid w:val="44D84F25"/>
    <w:rsid w:val="44DF1057"/>
    <w:rsid w:val="44DF2E05"/>
    <w:rsid w:val="452934C8"/>
    <w:rsid w:val="453A628D"/>
    <w:rsid w:val="454B2248"/>
    <w:rsid w:val="4554273F"/>
    <w:rsid w:val="45667082"/>
    <w:rsid w:val="458319E2"/>
    <w:rsid w:val="45B61DB8"/>
    <w:rsid w:val="45D2152F"/>
    <w:rsid w:val="45EE0F95"/>
    <w:rsid w:val="45F42F70"/>
    <w:rsid w:val="45F85626"/>
    <w:rsid w:val="462273F5"/>
    <w:rsid w:val="466556B5"/>
    <w:rsid w:val="46710516"/>
    <w:rsid w:val="468901C5"/>
    <w:rsid w:val="468B144C"/>
    <w:rsid w:val="4692195B"/>
    <w:rsid w:val="46A75BA4"/>
    <w:rsid w:val="46C655F9"/>
    <w:rsid w:val="47094169"/>
    <w:rsid w:val="470E15D4"/>
    <w:rsid w:val="47234C6F"/>
    <w:rsid w:val="47370CD6"/>
    <w:rsid w:val="47590C4D"/>
    <w:rsid w:val="47CD5160"/>
    <w:rsid w:val="47CF71EB"/>
    <w:rsid w:val="47E36768"/>
    <w:rsid w:val="47F56A61"/>
    <w:rsid w:val="484162BE"/>
    <w:rsid w:val="48643D4D"/>
    <w:rsid w:val="486F44A0"/>
    <w:rsid w:val="487D7E3E"/>
    <w:rsid w:val="48847F4B"/>
    <w:rsid w:val="48967192"/>
    <w:rsid w:val="489A6313"/>
    <w:rsid w:val="48A95C04"/>
    <w:rsid w:val="48C540C0"/>
    <w:rsid w:val="48CE0A5C"/>
    <w:rsid w:val="48EC3D42"/>
    <w:rsid w:val="48FA645F"/>
    <w:rsid w:val="4949445D"/>
    <w:rsid w:val="49627B61"/>
    <w:rsid w:val="497C0086"/>
    <w:rsid w:val="49B51BAE"/>
    <w:rsid w:val="49D55D5F"/>
    <w:rsid w:val="49D942C7"/>
    <w:rsid w:val="4A297CE3"/>
    <w:rsid w:val="4A2B4BEC"/>
    <w:rsid w:val="4A442B3D"/>
    <w:rsid w:val="4A54394D"/>
    <w:rsid w:val="4A5E47CC"/>
    <w:rsid w:val="4A7E09CA"/>
    <w:rsid w:val="4A85368F"/>
    <w:rsid w:val="4A884CC6"/>
    <w:rsid w:val="4A8A5703"/>
    <w:rsid w:val="4A935861"/>
    <w:rsid w:val="4A97109D"/>
    <w:rsid w:val="4A9E2E1A"/>
    <w:rsid w:val="4AA55BC3"/>
    <w:rsid w:val="4AAA6299"/>
    <w:rsid w:val="4ABC7D85"/>
    <w:rsid w:val="4AE62064"/>
    <w:rsid w:val="4AF869CF"/>
    <w:rsid w:val="4B117A90"/>
    <w:rsid w:val="4B6E658B"/>
    <w:rsid w:val="4BF9408F"/>
    <w:rsid w:val="4C254B4B"/>
    <w:rsid w:val="4C3C0B3D"/>
    <w:rsid w:val="4C502F7F"/>
    <w:rsid w:val="4C8C27C5"/>
    <w:rsid w:val="4D07114B"/>
    <w:rsid w:val="4D265A75"/>
    <w:rsid w:val="4D403EDA"/>
    <w:rsid w:val="4D583754"/>
    <w:rsid w:val="4D954046"/>
    <w:rsid w:val="4D970721"/>
    <w:rsid w:val="4DBA27CC"/>
    <w:rsid w:val="4DDC25D7"/>
    <w:rsid w:val="4DFD7989"/>
    <w:rsid w:val="4E202AF3"/>
    <w:rsid w:val="4E21448E"/>
    <w:rsid w:val="4E375A60"/>
    <w:rsid w:val="4E6B6615"/>
    <w:rsid w:val="4E6D29C4"/>
    <w:rsid w:val="4E7961EB"/>
    <w:rsid w:val="4E9A0D74"/>
    <w:rsid w:val="4EA34EA3"/>
    <w:rsid w:val="4F282F37"/>
    <w:rsid w:val="4F310701"/>
    <w:rsid w:val="4F5B752C"/>
    <w:rsid w:val="4F701691"/>
    <w:rsid w:val="4F9B0908"/>
    <w:rsid w:val="4FAA2095"/>
    <w:rsid w:val="4FC60E49"/>
    <w:rsid w:val="4FF52C71"/>
    <w:rsid w:val="4FFC3B51"/>
    <w:rsid w:val="50021B48"/>
    <w:rsid w:val="50031B80"/>
    <w:rsid w:val="50395ABF"/>
    <w:rsid w:val="503A7A08"/>
    <w:rsid w:val="5055041F"/>
    <w:rsid w:val="50720FD1"/>
    <w:rsid w:val="507F0B0B"/>
    <w:rsid w:val="508D7BB9"/>
    <w:rsid w:val="509A51EA"/>
    <w:rsid w:val="509E3ED1"/>
    <w:rsid w:val="50EF2622"/>
    <w:rsid w:val="51280566"/>
    <w:rsid w:val="513B748B"/>
    <w:rsid w:val="514E559A"/>
    <w:rsid w:val="51A0391C"/>
    <w:rsid w:val="51A11B6E"/>
    <w:rsid w:val="51A1376E"/>
    <w:rsid w:val="51A141C4"/>
    <w:rsid w:val="51CC4711"/>
    <w:rsid w:val="51E92988"/>
    <w:rsid w:val="520E62B8"/>
    <w:rsid w:val="523B54F8"/>
    <w:rsid w:val="528312E8"/>
    <w:rsid w:val="528818DA"/>
    <w:rsid w:val="529A4BA7"/>
    <w:rsid w:val="52B44844"/>
    <w:rsid w:val="52B50FFA"/>
    <w:rsid w:val="52C31E67"/>
    <w:rsid w:val="52CD6993"/>
    <w:rsid w:val="52DA54E7"/>
    <w:rsid w:val="52E468A6"/>
    <w:rsid w:val="52E8669F"/>
    <w:rsid w:val="52F0009F"/>
    <w:rsid w:val="530A7D45"/>
    <w:rsid w:val="531F42E7"/>
    <w:rsid w:val="53407165"/>
    <w:rsid w:val="536F7A4A"/>
    <w:rsid w:val="537D751F"/>
    <w:rsid w:val="53D37475"/>
    <w:rsid w:val="53D6797D"/>
    <w:rsid w:val="53E775E0"/>
    <w:rsid w:val="544D50D9"/>
    <w:rsid w:val="545A118C"/>
    <w:rsid w:val="546142C1"/>
    <w:rsid w:val="54BC690A"/>
    <w:rsid w:val="54C55B73"/>
    <w:rsid w:val="54DC2EBD"/>
    <w:rsid w:val="54EB5FA7"/>
    <w:rsid w:val="54FD5330"/>
    <w:rsid w:val="55132EB9"/>
    <w:rsid w:val="55E101CF"/>
    <w:rsid w:val="55F00828"/>
    <w:rsid w:val="56073F6A"/>
    <w:rsid w:val="56174AC2"/>
    <w:rsid w:val="56431446"/>
    <w:rsid w:val="56E5591B"/>
    <w:rsid w:val="571132F2"/>
    <w:rsid w:val="571A7B22"/>
    <w:rsid w:val="575434AF"/>
    <w:rsid w:val="57631674"/>
    <w:rsid w:val="5794495B"/>
    <w:rsid w:val="57A500D0"/>
    <w:rsid w:val="57C351F2"/>
    <w:rsid w:val="580B1C27"/>
    <w:rsid w:val="5817739E"/>
    <w:rsid w:val="582968E2"/>
    <w:rsid w:val="58532224"/>
    <w:rsid w:val="586456A3"/>
    <w:rsid w:val="58674F3B"/>
    <w:rsid w:val="586903C5"/>
    <w:rsid w:val="5870694A"/>
    <w:rsid w:val="58711142"/>
    <w:rsid w:val="58D8399B"/>
    <w:rsid w:val="58DA7713"/>
    <w:rsid w:val="58FA452D"/>
    <w:rsid w:val="59272099"/>
    <w:rsid w:val="593212FE"/>
    <w:rsid w:val="59436299"/>
    <w:rsid w:val="59590F80"/>
    <w:rsid w:val="59771406"/>
    <w:rsid w:val="59A732EE"/>
    <w:rsid w:val="59C3464B"/>
    <w:rsid w:val="59DE2BBE"/>
    <w:rsid w:val="5A410A6F"/>
    <w:rsid w:val="5AA91A93"/>
    <w:rsid w:val="5AC55338"/>
    <w:rsid w:val="5ACD39D4"/>
    <w:rsid w:val="5B445318"/>
    <w:rsid w:val="5B596BED"/>
    <w:rsid w:val="5BDE576D"/>
    <w:rsid w:val="5C074CC3"/>
    <w:rsid w:val="5C433BBE"/>
    <w:rsid w:val="5C5A1297"/>
    <w:rsid w:val="5C65447A"/>
    <w:rsid w:val="5CCD039C"/>
    <w:rsid w:val="5CE05C01"/>
    <w:rsid w:val="5D067F46"/>
    <w:rsid w:val="5D3236F1"/>
    <w:rsid w:val="5D7412BE"/>
    <w:rsid w:val="5DAA1DAA"/>
    <w:rsid w:val="5DAB5B22"/>
    <w:rsid w:val="5DEA6484"/>
    <w:rsid w:val="5DFE7D19"/>
    <w:rsid w:val="5E2A0506"/>
    <w:rsid w:val="5E335697"/>
    <w:rsid w:val="5E88169C"/>
    <w:rsid w:val="5E977D19"/>
    <w:rsid w:val="5EAC27FD"/>
    <w:rsid w:val="5EC21376"/>
    <w:rsid w:val="5ED839F9"/>
    <w:rsid w:val="5ED864A3"/>
    <w:rsid w:val="5EEE3F19"/>
    <w:rsid w:val="5F1F2324"/>
    <w:rsid w:val="5F2F262F"/>
    <w:rsid w:val="5F596630"/>
    <w:rsid w:val="5F6441DB"/>
    <w:rsid w:val="5F8A2976"/>
    <w:rsid w:val="5F8B5C0B"/>
    <w:rsid w:val="5FA60097"/>
    <w:rsid w:val="5FB9070F"/>
    <w:rsid w:val="5FE039CC"/>
    <w:rsid w:val="600B4656"/>
    <w:rsid w:val="605B55DE"/>
    <w:rsid w:val="605E50CE"/>
    <w:rsid w:val="60634492"/>
    <w:rsid w:val="60732927"/>
    <w:rsid w:val="60D137C0"/>
    <w:rsid w:val="60E5591C"/>
    <w:rsid w:val="60EB4FAC"/>
    <w:rsid w:val="60F129EA"/>
    <w:rsid w:val="60F670B5"/>
    <w:rsid w:val="610B0134"/>
    <w:rsid w:val="611C2FBF"/>
    <w:rsid w:val="61233872"/>
    <w:rsid w:val="613D03AF"/>
    <w:rsid w:val="614C2579"/>
    <w:rsid w:val="61720B91"/>
    <w:rsid w:val="61AD00BB"/>
    <w:rsid w:val="62411DA3"/>
    <w:rsid w:val="6247327E"/>
    <w:rsid w:val="626F340C"/>
    <w:rsid w:val="62840C9B"/>
    <w:rsid w:val="62E95123"/>
    <w:rsid w:val="62F55E9B"/>
    <w:rsid w:val="63177E6E"/>
    <w:rsid w:val="631E1DE3"/>
    <w:rsid w:val="633345F0"/>
    <w:rsid w:val="63556314"/>
    <w:rsid w:val="63753EA0"/>
    <w:rsid w:val="63923347"/>
    <w:rsid w:val="63A60D41"/>
    <w:rsid w:val="63C45248"/>
    <w:rsid w:val="63C6035F"/>
    <w:rsid w:val="641423C7"/>
    <w:rsid w:val="643774B9"/>
    <w:rsid w:val="649A1D1D"/>
    <w:rsid w:val="64E04304"/>
    <w:rsid w:val="64FC2F1A"/>
    <w:rsid w:val="65766A16"/>
    <w:rsid w:val="6577060D"/>
    <w:rsid w:val="659B691E"/>
    <w:rsid w:val="65A11CE5"/>
    <w:rsid w:val="65D242C5"/>
    <w:rsid w:val="65F10142"/>
    <w:rsid w:val="66124991"/>
    <w:rsid w:val="66456B14"/>
    <w:rsid w:val="66770C98"/>
    <w:rsid w:val="668566F7"/>
    <w:rsid w:val="66B9305E"/>
    <w:rsid w:val="66CB1D3D"/>
    <w:rsid w:val="66E10C4D"/>
    <w:rsid w:val="66E95DC0"/>
    <w:rsid w:val="6723405E"/>
    <w:rsid w:val="679A69EC"/>
    <w:rsid w:val="67DD0FCE"/>
    <w:rsid w:val="67F65BEC"/>
    <w:rsid w:val="681F5143"/>
    <w:rsid w:val="682F7881"/>
    <w:rsid w:val="685D140B"/>
    <w:rsid w:val="689E075E"/>
    <w:rsid w:val="68D47A7B"/>
    <w:rsid w:val="68DF193E"/>
    <w:rsid w:val="68DF380E"/>
    <w:rsid w:val="68E84E3F"/>
    <w:rsid w:val="68F76E5C"/>
    <w:rsid w:val="692230B0"/>
    <w:rsid w:val="69455133"/>
    <w:rsid w:val="694C1F68"/>
    <w:rsid w:val="695C1E31"/>
    <w:rsid w:val="696B5EBC"/>
    <w:rsid w:val="69937B96"/>
    <w:rsid w:val="69A06BA3"/>
    <w:rsid w:val="69A35DAC"/>
    <w:rsid w:val="69C2222A"/>
    <w:rsid w:val="6A022F6E"/>
    <w:rsid w:val="6A107439"/>
    <w:rsid w:val="6A114F5F"/>
    <w:rsid w:val="6A1D498A"/>
    <w:rsid w:val="6A3757AC"/>
    <w:rsid w:val="6A701523"/>
    <w:rsid w:val="6A9B2F97"/>
    <w:rsid w:val="6AC1406F"/>
    <w:rsid w:val="6B4120C8"/>
    <w:rsid w:val="6B855C05"/>
    <w:rsid w:val="6BAE6F0A"/>
    <w:rsid w:val="6BB65DBE"/>
    <w:rsid w:val="6BC32289"/>
    <w:rsid w:val="6BDD42B9"/>
    <w:rsid w:val="6BE84649"/>
    <w:rsid w:val="6C085287"/>
    <w:rsid w:val="6C401523"/>
    <w:rsid w:val="6C5437BA"/>
    <w:rsid w:val="6C625DD2"/>
    <w:rsid w:val="6C834B9F"/>
    <w:rsid w:val="6CA34594"/>
    <w:rsid w:val="6CD00EA6"/>
    <w:rsid w:val="6CE6131C"/>
    <w:rsid w:val="6D174EDC"/>
    <w:rsid w:val="6D313420"/>
    <w:rsid w:val="6D34343E"/>
    <w:rsid w:val="6D370224"/>
    <w:rsid w:val="6D7B4FEB"/>
    <w:rsid w:val="6D970E63"/>
    <w:rsid w:val="6DD06AB1"/>
    <w:rsid w:val="6DDB7D5E"/>
    <w:rsid w:val="6DDD5A51"/>
    <w:rsid w:val="6DE51FC5"/>
    <w:rsid w:val="6E04104A"/>
    <w:rsid w:val="6E2434B3"/>
    <w:rsid w:val="6E8F38A0"/>
    <w:rsid w:val="6E9A5523"/>
    <w:rsid w:val="6E9C3322"/>
    <w:rsid w:val="6EA15698"/>
    <w:rsid w:val="6EA231BA"/>
    <w:rsid w:val="6EDC1FE0"/>
    <w:rsid w:val="6F105023"/>
    <w:rsid w:val="6F1B0469"/>
    <w:rsid w:val="6F3C4507"/>
    <w:rsid w:val="6F482D42"/>
    <w:rsid w:val="6F634D19"/>
    <w:rsid w:val="6FA523D2"/>
    <w:rsid w:val="6FC860C0"/>
    <w:rsid w:val="6FF45107"/>
    <w:rsid w:val="700F2C89"/>
    <w:rsid w:val="701045B5"/>
    <w:rsid w:val="703D37EB"/>
    <w:rsid w:val="71184E25"/>
    <w:rsid w:val="71220D40"/>
    <w:rsid w:val="712D6B22"/>
    <w:rsid w:val="715B4B81"/>
    <w:rsid w:val="715C2F64"/>
    <w:rsid w:val="717005D8"/>
    <w:rsid w:val="717B055E"/>
    <w:rsid w:val="71924BD7"/>
    <w:rsid w:val="71FC17A0"/>
    <w:rsid w:val="72404633"/>
    <w:rsid w:val="729E26DA"/>
    <w:rsid w:val="72CC1C13"/>
    <w:rsid w:val="72D4516E"/>
    <w:rsid w:val="7301390F"/>
    <w:rsid w:val="73B07EB2"/>
    <w:rsid w:val="73BA21C4"/>
    <w:rsid w:val="73E84F83"/>
    <w:rsid w:val="73ED585D"/>
    <w:rsid w:val="73FE096B"/>
    <w:rsid w:val="741E6BF6"/>
    <w:rsid w:val="744C3764"/>
    <w:rsid w:val="745C3F3E"/>
    <w:rsid w:val="747607E0"/>
    <w:rsid w:val="74885165"/>
    <w:rsid w:val="74AC5FB0"/>
    <w:rsid w:val="74FD0A22"/>
    <w:rsid w:val="757A7E5C"/>
    <w:rsid w:val="75AC14CB"/>
    <w:rsid w:val="75FB71EF"/>
    <w:rsid w:val="7601232C"/>
    <w:rsid w:val="76065B94"/>
    <w:rsid w:val="760F6C17"/>
    <w:rsid w:val="76372068"/>
    <w:rsid w:val="767475A4"/>
    <w:rsid w:val="768C7E47"/>
    <w:rsid w:val="76D56593"/>
    <w:rsid w:val="772462C9"/>
    <w:rsid w:val="77844FC2"/>
    <w:rsid w:val="77B92EBE"/>
    <w:rsid w:val="77DF59B7"/>
    <w:rsid w:val="77FC2DAB"/>
    <w:rsid w:val="78745037"/>
    <w:rsid w:val="78A21BA4"/>
    <w:rsid w:val="78AE6557"/>
    <w:rsid w:val="78FE426C"/>
    <w:rsid w:val="790463BB"/>
    <w:rsid w:val="79061669"/>
    <w:rsid w:val="793B7903"/>
    <w:rsid w:val="79464C25"/>
    <w:rsid w:val="7968015A"/>
    <w:rsid w:val="797259EB"/>
    <w:rsid w:val="799E680F"/>
    <w:rsid w:val="79B80F53"/>
    <w:rsid w:val="79E03D92"/>
    <w:rsid w:val="79FE1404"/>
    <w:rsid w:val="7A043533"/>
    <w:rsid w:val="7A383CB7"/>
    <w:rsid w:val="7A4B1055"/>
    <w:rsid w:val="7A4E3666"/>
    <w:rsid w:val="7A88301C"/>
    <w:rsid w:val="7AC2652D"/>
    <w:rsid w:val="7ACD6C80"/>
    <w:rsid w:val="7ADC47C3"/>
    <w:rsid w:val="7B05641A"/>
    <w:rsid w:val="7B4B6523"/>
    <w:rsid w:val="7B77137B"/>
    <w:rsid w:val="7B843365"/>
    <w:rsid w:val="7BD07335"/>
    <w:rsid w:val="7BD227A0"/>
    <w:rsid w:val="7C1D7794"/>
    <w:rsid w:val="7C2D5E41"/>
    <w:rsid w:val="7C8909CB"/>
    <w:rsid w:val="7C8C01AA"/>
    <w:rsid w:val="7CA010C3"/>
    <w:rsid w:val="7CA34E54"/>
    <w:rsid w:val="7CA852AF"/>
    <w:rsid w:val="7CCE6A29"/>
    <w:rsid w:val="7CF33270"/>
    <w:rsid w:val="7D02603F"/>
    <w:rsid w:val="7D2C2B03"/>
    <w:rsid w:val="7D3923AB"/>
    <w:rsid w:val="7D3A0669"/>
    <w:rsid w:val="7D3B0498"/>
    <w:rsid w:val="7D4A280A"/>
    <w:rsid w:val="7D5947FB"/>
    <w:rsid w:val="7E146C66"/>
    <w:rsid w:val="7E1D3989"/>
    <w:rsid w:val="7E2748F9"/>
    <w:rsid w:val="7E656727"/>
    <w:rsid w:val="7EBF4788"/>
    <w:rsid w:val="7ED61979"/>
    <w:rsid w:val="7F051133"/>
    <w:rsid w:val="7F150C8C"/>
    <w:rsid w:val="7F3A5573"/>
    <w:rsid w:val="7F61079B"/>
    <w:rsid w:val="7F9F4046"/>
    <w:rsid w:val="7FC06DB4"/>
    <w:rsid w:val="7FE407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30"/>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0"/>
    <w:pPr>
      <w:widowControl/>
      <w:suppressAutoHyphens/>
      <w:spacing w:line="560" w:lineRule="exact"/>
      <w:ind w:left="198" w:firstLine="200" w:firstLineChars="200"/>
      <w:jc w:val="left"/>
    </w:pPr>
    <w:rPr>
      <w:spacing w:val="20"/>
      <w:kern w:val="0"/>
      <w:sz w:val="24"/>
      <w:szCs w:val="20"/>
    </w:rPr>
  </w:style>
  <w:style w:type="paragraph" w:styleId="6">
    <w:name w:val="annotation text"/>
    <w:basedOn w:val="1"/>
    <w:qFormat/>
    <w:uiPriority w:val="0"/>
    <w:pPr>
      <w:jc w:val="left"/>
    </w:pPr>
  </w:style>
  <w:style w:type="paragraph" w:styleId="7">
    <w:name w:val="Body Text"/>
    <w:basedOn w:val="1"/>
    <w:next w:val="8"/>
    <w:qFormat/>
    <w:uiPriority w:val="0"/>
    <w:rPr>
      <w:rFonts w:ascii="仿宋" w:hAnsi="仿宋" w:eastAsia="仿宋" w:cs="仿宋"/>
      <w:sz w:val="30"/>
      <w:szCs w:val="30"/>
    </w:rPr>
  </w:style>
  <w:style w:type="paragraph" w:styleId="8">
    <w:name w:val="Body Text First Indent"/>
    <w:basedOn w:val="7"/>
    <w:next w:val="9"/>
    <w:qFormat/>
    <w:uiPriority w:val="0"/>
    <w:pPr>
      <w:ind w:firstLine="420" w:firstLineChars="100"/>
    </w:pPr>
  </w:style>
  <w:style w:type="paragraph" w:styleId="9">
    <w:name w:val="Body Text First Indent 2"/>
    <w:basedOn w:val="10"/>
    <w:qFormat/>
    <w:uiPriority w:val="0"/>
    <w:pPr>
      <w:ind w:firstLine="420"/>
    </w:pPr>
  </w:style>
  <w:style w:type="paragraph" w:styleId="10">
    <w:name w:val="Body Text Indent"/>
    <w:basedOn w:val="1"/>
    <w:next w:val="9"/>
    <w:unhideWhenUsed/>
    <w:qFormat/>
    <w:uiPriority w:val="99"/>
    <w:pPr>
      <w:spacing w:after="120"/>
      <w:ind w:left="420" w:leftChars="200"/>
    </w:pPr>
    <w:rPr>
      <w:rFonts w:eastAsia="微软雅黑"/>
      <w:kern w:val="0"/>
      <w:sz w:val="24"/>
      <w:szCs w:val="20"/>
    </w:rPr>
  </w:style>
  <w:style w:type="paragraph" w:styleId="11">
    <w:name w:val="Plain Text"/>
    <w:basedOn w:val="1"/>
    <w:qFormat/>
    <w:uiPriority w:val="0"/>
    <w:rPr>
      <w:rFonts w:ascii="宋体" w:hAnsi="Courier New"/>
      <w:kern w:val="0"/>
      <w:sz w:val="20"/>
      <w:szCs w:val="21"/>
    </w:rPr>
  </w:style>
  <w:style w:type="paragraph" w:styleId="12">
    <w:name w:val="footer"/>
    <w:basedOn w:val="1"/>
    <w:qFormat/>
    <w:uiPriority w:val="0"/>
    <w:pPr>
      <w:tabs>
        <w:tab w:val="center" w:pos="4153"/>
        <w:tab w:val="right" w:pos="8306"/>
      </w:tabs>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4">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5">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basedOn w:val="18"/>
    <w:qFormat/>
    <w:uiPriority w:val="0"/>
    <w:rPr>
      <w:b/>
    </w:rPr>
  </w:style>
  <w:style w:type="character" w:styleId="20">
    <w:name w:val="page number"/>
    <w:basedOn w:val="18"/>
    <w:qFormat/>
    <w:uiPriority w:val="99"/>
    <w:rPr>
      <w:rFonts w:cs="Times New Roman"/>
    </w:rPr>
  </w:style>
  <w:style w:type="character" w:styleId="21">
    <w:name w:val="Emphasis"/>
    <w:qFormat/>
    <w:uiPriority w:val="0"/>
  </w:style>
  <w:style w:type="character" w:styleId="22">
    <w:name w:val="Hyperlink"/>
    <w:basedOn w:val="18"/>
    <w:qFormat/>
    <w:uiPriority w:val="0"/>
    <w:rPr>
      <w:color w:val="0000FF"/>
      <w:u w:val="single"/>
    </w:rPr>
  </w:style>
  <w:style w:type="character" w:styleId="23">
    <w:name w:val="annotation reference"/>
    <w:unhideWhenUsed/>
    <w:qFormat/>
    <w:uiPriority w:val="0"/>
    <w:rPr>
      <w:sz w:val="21"/>
      <w:szCs w:val="21"/>
    </w:rPr>
  </w:style>
  <w:style w:type="paragraph" w:customStyle="1" w:styleId="24">
    <w:name w:val="Normal Indent"/>
    <w:basedOn w:val="1"/>
    <w:qFormat/>
    <w:uiPriority w:val="0"/>
    <w:pPr>
      <w:widowControl/>
      <w:ind w:firstLine="420" w:firstLineChars="200"/>
    </w:pPr>
  </w:style>
  <w:style w:type="table" w:customStyle="1" w:styleId="25">
    <w:name w:val="Table Normal"/>
    <w:semiHidden/>
    <w:unhideWhenUsed/>
    <w:qFormat/>
    <w:uiPriority w:val="0"/>
    <w:tblPr>
      <w:tblCellMar>
        <w:top w:w="0" w:type="dxa"/>
        <w:left w:w="0" w:type="dxa"/>
        <w:bottom w:w="0" w:type="dxa"/>
        <w:right w:w="0" w:type="dxa"/>
      </w:tblCellMar>
    </w:tblPr>
  </w:style>
  <w:style w:type="paragraph" w:customStyle="1" w:styleId="26">
    <w:name w:val="Table Text"/>
    <w:basedOn w:val="1"/>
    <w:semiHidden/>
    <w:qFormat/>
    <w:uiPriority w:val="0"/>
  </w:style>
  <w:style w:type="paragraph" w:customStyle="1" w:styleId="27">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8">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9">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0">
    <w:name w:val="标题 4 Char"/>
    <w:link w:val="4"/>
    <w:qFormat/>
    <w:uiPriority w:val="0"/>
    <w:rPr>
      <w:rFonts w:ascii="Arial" w:hAnsi="Arial" w:eastAsia="黑体"/>
      <w:b/>
      <w:sz w:val="28"/>
    </w:rPr>
  </w:style>
  <w:style w:type="paragraph" w:customStyle="1" w:styleId="31">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2">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3">
    <w:name w:val="font31"/>
    <w:qFormat/>
    <w:uiPriority w:val="0"/>
    <w:rPr>
      <w:rFonts w:hint="eastAsia" w:ascii="宋体" w:hAnsi="宋体" w:eastAsia="宋体" w:cs="宋体"/>
      <w:color w:val="000000"/>
      <w:sz w:val="21"/>
      <w:szCs w:val="21"/>
      <w:u w:val="none"/>
    </w:rPr>
  </w:style>
  <w:style w:type="paragraph" w:customStyle="1" w:styleId="34">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5">
    <w:name w:val="样式 表格正文 + 两端对齐"/>
    <w:basedOn w:val="1"/>
    <w:next w:val="36"/>
    <w:qFormat/>
    <w:uiPriority w:val="99"/>
    <w:pPr>
      <w:spacing w:line="300" w:lineRule="auto"/>
    </w:pPr>
  </w:style>
  <w:style w:type="paragraph" w:customStyle="1" w:styleId="36">
    <w:name w:val="正文1"/>
    <w:next w:val="37"/>
    <w:qFormat/>
    <w:uiPriority w:val="0"/>
    <w:pPr>
      <w:widowControl w:val="0"/>
      <w:adjustRightInd w:val="0"/>
      <w:spacing w:line="312" w:lineRule="atLeast"/>
      <w:jc w:val="both"/>
      <w:textAlignment w:val="baseline"/>
    </w:pPr>
    <w:rPr>
      <w:rFonts w:ascii="宋体" w:hAnsi="Times New Roman" w:eastAsia="宋体" w:cs="Times New Roman"/>
      <w:sz w:val="34"/>
      <w:lang w:val="en-US" w:eastAsia="zh-CN" w:bidi="ar-SA"/>
    </w:rPr>
  </w:style>
  <w:style w:type="paragraph" w:customStyle="1" w:styleId="37">
    <w:name w:val="自动更正"/>
    <w:next w:val="38"/>
    <w:qFormat/>
    <w:uiPriority w:val="99"/>
    <w:pPr>
      <w:widowControl w:val="0"/>
      <w:jc w:val="both"/>
    </w:pPr>
    <w:rPr>
      <w:rFonts w:ascii="Times New Roman" w:hAnsi="Times New Roman" w:eastAsia="等线" w:cs="Times New Roman"/>
      <w:kern w:val="2"/>
      <w:sz w:val="21"/>
      <w:szCs w:val="24"/>
      <w:lang w:val="en-US" w:eastAsia="zh-CN" w:bidi="ar-SA"/>
    </w:rPr>
  </w:style>
  <w:style w:type="paragraph" w:customStyle="1" w:styleId="38">
    <w:name w:val="xl39"/>
    <w:basedOn w:val="1"/>
    <w:next w:val="39"/>
    <w:qFormat/>
    <w:uiPriority w:val="99"/>
    <w:pPr>
      <w:widowControl/>
      <w:pBdr>
        <w:left w:val="single" w:color="auto" w:sz="4" w:space="0"/>
        <w:right w:val="single" w:color="auto" w:sz="4" w:space="0"/>
      </w:pBdr>
      <w:spacing w:before="100" w:beforeAutospacing="1" w:after="100" w:afterAutospacing="1" w:line="240" w:lineRule="auto"/>
      <w:jc w:val="center"/>
    </w:pPr>
    <w:rPr>
      <w:rFonts w:ascii="宋体" w:hAnsi="宋体" w:cs="宋体"/>
      <w:b/>
      <w:bCs/>
      <w:kern w:val="0"/>
      <w:szCs w:val="24"/>
    </w:rPr>
  </w:style>
  <w:style w:type="paragraph" w:customStyle="1" w:styleId="39">
    <w:name w:val="分手多日，近况如何？"/>
    <w:next w:val="1"/>
    <w:qFormat/>
    <w:uiPriority w:val="99"/>
    <w:pPr>
      <w:widowControl w:val="0"/>
      <w:jc w:val="both"/>
    </w:pPr>
    <w:rPr>
      <w:rFonts w:ascii="Times New Roman" w:hAnsi="Times New Roman" w:eastAsia="等线" w:cs="Times New Roman"/>
      <w:sz w:val="21"/>
      <w:lang w:val="en-US" w:eastAsia="zh-CN" w:bidi="ar-SA"/>
    </w:rPr>
  </w:style>
  <w:style w:type="paragraph" w:customStyle="1" w:styleId="40">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31</Pages>
  <Words>16519</Words>
  <Characters>17766</Characters>
  <Lines>230</Lines>
  <Paragraphs>64</Paragraphs>
  <TotalTime>0</TotalTime>
  <ScaleCrop>false</ScaleCrop>
  <LinksUpToDate>false</LinksUpToDate>
  <CharactersWithSpaces>19120</CharactersWithSpaces>
  <Application>WPS Office_12.1.0.21541_F1E327BC-269C-435d-A152-05C5408002CA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Wu</cp:lastModifiedBy>
  <cp:lastPrinted>2026-01-19T02:21:00Z</cp:lastPrinted>
  <dcterms:modified xsi:type="dcterms:W3CDTF">2026-05-11T02:20:08Z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2052-12.1.0.21541</vt:lpwstr>
  </property>
  <property fmtid="{D5CDD505-2E9C-101B-9397-08002B2CF9AE}" pid="5" name="ICV">
    <vt:lpwstr>47D05E145B7B4E6BA99318C4DCD81FF1_13</vt:lpwstr>
  </property>
  <property fmtid="{D5CDD505-2E9C-101B-9397-08002B2CF9AE}" pid="6" name="KSOTemplateDocerSaveRecord">
    <vt:lpwstr>eyJoZGlkIjoiZjlhZTViM2ZmNzQ4NTYxZmQ5MjczOTFmNGRhZDFiMDAiLCJ1c2VySWQiOiI2ODAzMzE5MjEifQ==</vt:lpwstr>
  </property>
</Properties>
</file>