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EFB87D">
      <w:pPr>
        <w:pStyle w:val="4"/>
        <w:numPr>
          <w:ilvl w:val="0"/>
          <w:numId w:val="1"/>
        </w:numPr>
        <w:spacing w:line="360" w:lineRule="auto"/>
        <w:jc w:val="center"/>
        <w:rPr>
          <w:rFonts w:hint="eastAsia" w:ascii="仿宋" w:hAnsi="仿宋" w:eastAsia="仿宋"/>
          <w:color w:val="auto"/>
          <w:kern w:val="0"/>
          <w:highlight w:val="none"/>
        </w:rPr>
      </w:pPr>
      <w:bookmarkStart w:id="0" w:name="_Toc23653"/>
      <w:r>
        <w:rPr>
          <w:rFonts w:hint="eastAsia" w:ascii="仿宋" w:hAnsi="仿宋" w:eastAsia="仿宋"/>
          <w:color w:val="auto"/>
          <w:kern w:val="0"/>
          <w:highlight w:val="none"/>
        </w:rPr>
        <w:t>采购项目需求</w:t>
      </w:r>
      <w:bookmarkEnd w:id="0"/>
    </w:p>
    <w:p w14:paraId="5314ACB7">
      <w:pPr>
        <w:snapToGrid w:val="0"/>
        <w:spacing w:line="360" w:lineRule="auto"/>
        <w:ind w:firstLine="560" w:firstLineChars="200"/>
        <w:rPr>
          <w:rFonts w:ascii="仿宋" w:hAnsi="仿宋" w:eastAsia="仿宋"/>
          <w:color w:val="auto"/>
          <w:kern w:val="0"/>
          <w:sz w:val="28"/>
          <w:szCs w:val="28"/>
          <w:highlight w:val="none"/>
        </w:rPr>
      </w:pPr>
      <w:r>
        <w:rPr>
          <w:rFonts w:hint="eastAsia" w:ascii="仿宋" w:hAnsi="仿宋" w:eastAsia="仿宋"/>
          <w:color w:val="auto"/>
          <w:kern w:val="0"/>
          <w:sz w:val="28"/>
          <w:szCs w:val="28"/>
          <w:highlight w:val="none"/>
        </w:rPr>
        <w:t>（一） 供应商提供的工程及服务须符合国家质量验收合格标准。</w:t>
      </w:r>
    </w:p>
    <w:p w14:paraId="6D365EDC">
      <w:pPr>
        <w:snapToGrid w:val="0"/>
        <w:spacing w:line="360" w:lineRule="auto"/>
        <w:ind w:firstLine="560" w:firstLineChars="200"/>
        <w:rPr>
          <w:rFonts w:ascii="仿宋" w:hAnsi="仿宋" w:eastAsia="仿宋"/>
          <w:color w:val="auto"/>
          <w:kern w:val="0"/>
          <w:sz w:val="28"/>
          <w:szCs w:val="28"/>
          <w:highlight w:val="none"/>
        </w:rPr>
      </w:pPr>
      <w:r>
        <w:rPr>
          <w:rFonts w:hint="eastAsia" w:ascii="仿宋" w:hAnsi="仿宋" w:eastAsia="仿宋"/>
          <w:color w:val="auto"/>
          <w:kern w:val="0"/>
          <w:sz w:val="28"/>
          <w:szCs w:val="28"/>
          <w:highlight w:val="none"/>
        </w:rPr>
        <w:t>（二） 所有产品的知识产权问题，由各供应商自行负责。</w:t>
      </w:r>
    </w:p>
    <w:p w14:paraId="238A5E3F">
      <w:pPr>
        <w:snapToGrid w:val="0"/>
        <w:spacing w:line="360" w:lineRule="auto"/>
        <w:ind w:firstLine="560" w:firstLineChars="200"/>
        <w:rPr>
          <w:rFonts w:ascii="仿宋" w:hAnsi="仿宋" w:eastAsia="仿宋"/>
          <w:color w:val="auto"/>
          <w:kern w:val="0"/>
          <w:sz w:val="28"/>
          <w:szCs w:val="28"/>
          <w:highlight w:val="none"/>
        </w:rPr>
      </w:pPr>
      <w:r>
        <w:rPr>
          <w:rFonts w:hint="eastAsia" w:ascii="仿宋" w:hAnsi="仿宋" w:eastAsia="仿宋"/>
          <w:color w:val="auto"/>
          <w:kern w:val="0"/>
          <w:sz w:val="28"/>
          <w:szCs w:val="28"/>
          <w:highlight w:val="none"/>
        </w:rPr>
        <w:t>（三） 本采购文件提出的采购需求均为实质性要求（特别注明为非实质性要求的除外），供应商的响应方案应达到或优于本磋商文件要求，且符合国家有关标准和规范要求。</w:t>
      </w:r>
    </w:p>
    <w:p w14:paraId="3A6B9999">
      <w:pPr>
        <w:snapToGrid w:val="0"/>
        <w:spacing w:line="360" w:lineRule="auto"/>
        <w:ind w:firstLine="562" w:firstLineChars="200"/>
        <w:rPr>
          <w:rFonts w:hint="eastAsia" w:ascii="仿宋" w:hAnsi="仿宋" w:eastAsia="仿宋"/>
          <w:b/>
          <w:color w:val="auto"/>
          <w:kern w:val="0"/>
          <w:sz w:val="28"/>
          <w:szCs w:val="28"/>
          <w:highlight w:val="none"/>
        </w:rPr>
      </w:pPr>
      <w:r>
        <w:rPr>
          <w:rFonts w:hint="eastAsia" w:ascii="仿宋" w:hAnsi="仿宋" w:eastAsia="仿宋"/>
          <w:b/>
          <w:color w:val="auto"/>
          <w:kern w:val="0"/>
          <w:sz w:val="28"/>
          <w:szCs w:val="28"/>
          <w:highlight w:val="none"/>
        </w:rPr>
        <w:t>（四）招标范围</w:t>
      </w:r>
    </w:p>
    <w:p w14:paraId="1806458D">
      <w:pPr>
        <w:snapToGrid w:val="0"/>
        <w:spacing w:line="360" w:lineRule="auto"/>
        <w:ind w:firstLine="560" w:firstLineChars="200"/>
        <w:rPr>
          <w:rFonts w:hint="eastAsia" w:ascii="仿宋" w:hAnsi="仿宋" w:eastAsia="仿宋"/>
          <w:color w:val="auto"/>
          <w:kern w:val="0"/>
          <w:sz w:val="28"/>
          <w:szCs w:val="28"/>
          <w:highlight w:val="none"/>
        </w:rPr>
      </w:pPr>
      <w:bookmarkStart w:id="9" w:name="_GoBack"/>
      <w:r>
        <w:rPr>
          <w:rFonts w:hint="eastAsia" w:ascii="仿宋" w:hAnsi="仿宋" w:eastAsia="仿宋"/>
          <w:color w:val="auto"/>
          <w:kern w:val="0"/>
          <w:sz w:val="28"/>
          <w:szCs w:val="28"/>
          <w:highlight w:val="none"/>
          <w:lang w:eastAsia="zh-CN"/>
        </w:rPr>
        <w:t>定南县蔡阳林场2026年珍贵树种补植示范基地建设项目（品目三）</w:t>
      </w:r>
      <w:bookmarkEnd w:id="9"/>
      <w:r>
        <w:rPr>
          <w:rFonts w:hint="eastAsia" w:ascii="仿宋" w:hAnsi="仿宋" w:eastAsia="仿宋"/>
          <w:color w:val="auto"/>
          <w:kern w:val="0"/>
          <w:sz w:val="28"/>
          <w:szCs w:val="28"/>
          <w:highlight w:val="none"/>
        </w:rPr>
        <w:t>，具体招标范围详见</w:t>
      </w:r>
      <w:r>
        <w:rPr>
          <w:rFonts w:hint="eastAsia" w:ascii="仿宋" w:hAnsi="仿宋" w:eastAsia="仿宋"/>
          <w:color w:val="auto"/>
          <w:kern w:val="0"/>
          <w:sz w:val="28"/>
          <w:szCs w:val="28"/>
          <w:highlight w:val="none"/>
          <w:lang w:eastAsia="zh-CN"/>
        </w:rPr>
        <w:t>作业设计</w:t>
      </w:r>
      <w:r>
        <w:rPr>
          <w:rFonts w:hint="eastAsia" w:ascii="仿宋" w:hAnsi="仿宋" w:eastAsia="仿宋"/>
          <w:color w:val="auto"/>
          <w:kern w:val="0"/>
          <w:sz w:val="28"/>
          <w:szCs w:val="28"/>
          <w:highlight w:val="none"/>
        </w:rPr>
        <w:t>涵盖的所有工作内容。</w:t>
      </w:r>
    </w:p>
    <w:p w14:paraId="54C5B15F">
      <w:pPr>
        <w:snapToGrid w:val="0"/>
        <w:spacing w:line="360" w:lineRule="auto"/>
        <w:ind w:firstLine="562" w:firstLineChars="200"/>
        <w:rPr>
          <w:rFonts w:ascii="仿宋" w:hAnsi="仿宋" w:eastAsia="仿宋"/>
          <w:b/>
          <w:color w:val="auto"/>
          <w:kern w:val="0"/>
          <w:sz w:val="28"/>
          <w:szCs w:val="28"/>
          <w:highlight w:val="none"/>
        </w:rPr>
      </w:pPr>
      <w:r>
        <w:rPr>
          <w:rFonts w:hint="eastAsia" w:ascii="仿宋" w:hAnsi="仿宋" w:eastAsia="仿宋"/>
          <w:b/>
          <w:color w:val="auto"/>
          <w:kern w:val="0"/>
          <w:sz w:val="28"/>
          <w:szCs w:val="28"/>
          <w:highlight w:val="none"/>
        </w:rPr>
        <w:t xml:space="preserve">（五） </w:t>
      </w:r>
      <w:r>
        <w:rPr>
          <w:rFonts w:hint="eastAsia" w:ascii="仿宋" w:hAnsi="仿宋" w:eastAsia="仿宋"/>
          <w:b/>
          <w:color w:val="auto"/>
          <w:kern w:val="0"/>
          <w:sz w:val="28"/>
          <w:szCs w:val="28"/>
          <w:highlight w:val="none"/>
          <w:lang w:eastAsia="zh-CN"/>
        </w:rPr>
        <w:t>服务</w:t>
      </w:r>
      <w:r>
        <w:rPr>
          <w:rFonts w:hint="eastAsia" w:ascii="仿宋" w:hAnsi="仿宋" w:eastAsia="仿宋"/>
          <w:b/>
          <w:color w:val="auto"/>
          <w:kern w:val="0"/>
          <w:sz w:val="28"/>
          <w:szCs w:val="28"/>
          <w:highlight w:val="none"/>
        </w:rPr>
        <w:t>要求</w:t>
      </w:r>
    </w:p>
    <w:p w14:paraId="5A90B5DD">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1.基本情况：</w:t>
      </w:r>
      <w:r>
        <w:rPr>
          <w:rFonts w:hint="eastAsia" w:ascii="仿宋" w:hAnsi="仿宋" w:eastAsia="仿宋" w:cs="Times New Roman"/>
          <w:b w:val="0"/>
          <w:bCs w:val="0"/>
          <w:color w:val="auto"/>
          <w:sz w:val="28"/>
          <w:szCs w:val="28"/>
          <w:highlight w:val="none"/>
          <w:lang w:val="en-US" w:eastAsia="zh-CN"/>
        </w:rPr>
        <w:t>定南县蔡阳林场为企业性质林场。林场地处定南县岭北镇。林场经营区横跨龙头、禾草、蔡阳、天堂、南丰等5个自然村， 下设禾草、石陂角、树头迳、茶坑、云台山、湘口、马山迳等7 个工区及岿美山、下庄、桥下、油潭4个油茶基地。经营森林总面积7.717万亩，活立木蓄积总量41.6万立方米，森林覆盖率达95.1发展场外造林面积2420亩。</w:t>
      </w:r>
    </w:p>
    <w:p w14:paraId="2DEB1D6E">
      <w:pPr>
        <w:pStyle w:val="2"/>
        <w:keepNext w:val="0"/>
        <w:keepLines w:val="0"/>
        <w:pageBreakBefore w:val="0"/>
        <w:widowControl w:val="0"/>
        <w:kinsoku/>
        <w:wordWrap/>
        <w:overflowPunct/>
        <w:topLinePunct w:val="0"/>
        <w:autoSpaceDE/>
        <w:autoSpaceDN/>
        <w:bidi w:val="0"/>
        <w:adjustRightInd/>
        <w:snapToGrid/>
        <w:spacing w:after="0" w:line="360" w:lineRule="auto"/>
        <w:ind w:firstLine="562" w:firstLineChars="200"/>
        <w:textAlignment w:val="auto"/>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2.自然概况 </w:t>
      </w:r>
    </w:p>
    <w:p w14:paraId="050D1B17">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（1）地理位置：</w:t>
      </w:r>
      <w:r>
        <w:rPr>
          <w:rFonts w:hint="eastAsia" w:ascii="仿宋" w:hAnsi="仿宋" w:eastAsia="仿宋" w:cs="Times New Roman"/>
          <w:b w:val="0"/>
          <w:bCs w:val="0"/>
          <w:color w:val="auto"/>
          <w:sz w:val="28"/>
          <w:szCs w:val="28"/>
          <w:highlight w:val="none"/>
          <w:lang w:val="en-US" w:eastAsia="zh-CN"/>
        </w:rPr>
        <w:t xml:space="preserve">定南县蔡阳林场位于定南县北部的岭北镇的东北部，东与安远县毗邻，北与信丰县交界，坐落在东经115°06′-115°08′，北纬25°01′-25°04′之间，场部距县城38公里。 </w:t>
      </w:r>
    </w:p>
    <w:p w14:paraId="3B743358">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（2）气候：</w:t>
      </w:r>
      <w:r>
        <w:rPr>
          <w:rFonts w:hint="eastAsia" w:ascii="仿宋" w:hAnsi="仿宋" w:eastAsia="仿宋" w:cs="Times New Roman"/>
          <w:b w:val="0"/>
          <w:bCs w:val="0"/>
          <w:color w:val="auto"/>
          <w:sz w:val="28"/>
          <w:szCs w:val="28"/>
          <w:highlight w:val="none"/>
          <w:lang w:val="en-US" w:eastAsia="zh-CN"/>
        </w:rPr>
        <w:t xml:space="preserve">林场处于亚热带湿润风区，四季分明，雨量充沛，水热条件好，年平均气温在19.5℃，年平均降雨量为1550mm，无霜期长达298天，日照时数为平均1810.7小时。 </w:t>
      </w:r>
    </w:p>
    <w:p w14:paraId="222037E3">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（3）地形地貌：</w:t>
      </w:r>
      <w:r>
        <w:rPr>
          <w:rFonts w:hint="eastAsia" w:ascii="仿宋" w:hAnsi="仿宋" w:eastAsia="仿宋" w:cs="Times New Roman"/>
          <w:b w:val="0"/>
          <w:bCs w:val="0"/>
          <w:color w:val="auto"/>
          <w:sz w:val="28"/>
          <w:szCs w:val="28"/>
          <w:highlight w:val="none"/>
          <w:lang w:val="en-US" w:eastAsia="zh-CN"/>
        </w:rPr>
        <w:t>林场林地土壤多为变质岩、石灰岩、花岗岩、页岩等发育而成的红壤、黄红壤，土层深厚肥沃，一般在80～100cm之间 ， 腐殖质层在 8～20cm。林场境内地貌属高丘和低山地带，地势呈北高南低，海拔在300～700米，坡度一般为16～35°，气候、土壤有利于植物生长。</w:t>
      </w:r>
    </w:p>
    <w:p w14:paraId="068FCA6A">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3.项目区概况 ：</w:t>
      </w:r>
      <w:r>
        <w:rPr>
          <w:rFonts w:hint="eastAsia" w:ascii="仿宋" w:hAnsi="仿宋" w:eastAsia="仿宋" w:cs="Times New Roman"/>
          <w:b w:val="0"/>
          <w:bCs w:val="0"/>
          <w:color w:val="auto"/>
          <w:sz w:val="28"/>
          <w:szCs w:val="28"/>
          <w:highlight w:val="none"/>
          <w:lang w:val="en-US" w:eastAsia="zh-CN"/>
        </w:rPr>
        <w:t>项目区位于树头迳工区，距离工区驻点600～1200米，海拔在327～410之间，林分郁闭度在0.76～0.84之间，林种为一般用材林，树种组成8杉1马1阔；土壤类型疏松湿润，红壤土层厚度80～100cm，腐殖质层厚度8～10cm，地处丘陵小盆地中，气候温和、雨量充足，适于闽楠生长。</w:t>
      </w:r>
    </w:p>
    <w:p w14:paraId="65D44094">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textAlignment w:val="auto"/>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4.技术要求：</w:t>
      </w:r>
    </w:p>
    <w:p w14:paraId="691D5D71">
      <w:pPr>
        <w:pStyle w:val="2"/>
        <w:keepNext w:val="0"/>
        <w:keepLines w:val="0"/>
        <w:pageBreakBefore w:val="0"/>
        <w:widowControl w:val="0"/>
        <w:kinsoku/>
        <w:wordWrap/>
        <w:overflowPunct/>
        <w:topLinePunct w:val="0"/>
        <w:autoSpaceDE/>
        <w:autoSpaceDN/>
        <w:bidi w:val="0"/>
        <w:adjustRightInd/>
        <w:snapToGrid/>
        <w:spacing w:after="0" w:line="360" w:lineRule="auto"/>
        <w:ind w:firstLine="562" w:firstLineChars="200"/>
        <w:textAlignment w:val="auto"/>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4.1林地选择 </w:t>
      </w:r>
    </w:p>
    <w:p w14:paraId="508F986C">
      <w:pPr>
        <w:pStyle w:val="2"/>
        <w:keepNext w:val="0"/>
        <w:keepLines w:val="0"/>
        <w:pageBreakBefore w:val="0"/>
        <w:widowControl w:val="0"/>
        <w:kinsoku/>
        <w:wordWrap/>
        <w:overflowPunct/>
        <w:topLinePunct w:val="0"/>
        <w:autoSpaceDE/>
        <w:autoSpaceDN/>
        <w:bidi w:val="0"/>
        <w:adjustRightInd/>
        <w:snapToGrid/>
        <w:spacing w:after="0" w:line="360" w:lineRule="auto"/>
        <w:ind w:firstLine="560" w:firstLineChars="200"/>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在蔡阳林场树头迳工区选择土壤疏松、湿润，土层深厚，排水良好的低山丘陵小班，在人工杉木林中抚育间伐，砍劣留优后补植闽楠300亩。 </w:t>
      </w:r>
    </w:p>
    <w:p w14:paraId="05E597E7">
      <w:pPr>
        <w:pStyle w:val="2"/>
        <w:keepNext w:val="0"/>
        <w:keepLines w:val="0"/>
        <w:pageBreakBefore w:val="0"/>
        <w:widowControl w:val="0"/>
        <w:kinsoku/>
        <w:wordWrap/>
        <w:overflowPunct/>
        <w:topLinePunct w:val="0"/>
        <w:autoSpaceDE/>
        <w:autoSpaceDN/>
        <w:bidi w:val="0"/>
        <w:adjustRightInd/>
        <w:snapToGrid/>
        <w:spacing w:after="0" w:line="360" w:lineRule="auto"/>
        <w:ind w:firstLine="562" w:firstLineChars="200"/>
        <w:textAlignment w:val="auto"/>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4.2抚育间伐 </w:t>
      </w:r>
    </w:p>
    <w:p w14:paraId="08A8E568">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小班内局部杉木林分密度大、郁闭度0.7以上、林木分化明显（出现被压木、枯死木或濒死木）、林木生长竞争激烈（林木间对光、空间等开始产生激烈竞争）的地块，自然整枝高度超过三分之一，林木间竞争明显，目的树种生长受到抑制，出现一定的枯死木，对枯死木、下层受压木、生长较差的杉木和马尾松进行疏伐，同时对萌芽丛状弱势杉木、阔叶树疏伐，株树间伐强度25%以下、蓄积间伐强度20%以内；伐后林分郁闭度0.6左右。</w:t>
      </w:r>
    </w:p>
    <w:p w14:paraId="329CEB63">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强化制材集材与木材综合利用，对小班内长度1m、直径4cm以上木材统一加工成原木，集中堆放至通车公路；严禁浪费木材，对运输困难区域须开设宽3～3.5米林道，作为集材和施工便道。</w:t>
      </w:r>
    </w:p>
    <w:p w14:paraId="5A7979F1">
      <w:pPr>
        <w:numPr>
          <w:ilvl w:val="0"/>
          <w:numId w:val="0"/>
        </w:numPr>
        <w:spacing w:line="560" w:lineRule="exact"/>
        <w:ind w:firstLine="562"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4.3苗木供给</w:t>
      </w:r>
      <w:r>
        <w:rPr>
          <w:rFonts w:hint="eastAsia" w:ascii="仿宋" w:hAnsi="仿宋" w:eastAsia="仿宋" w:cs="Times New Roman"/>
          <w:b w:val="0"/>
          <w:bCs w:val="0"/>
          <w:color w:val="auto"/>
          <w:sz w:val="28"/>
          <w:szCs w:val="28"/>
          <w:highlight w:val="none"/>
          <w:lang w:val="en-US" w:eastAsia="zh-CN"/>
        </w:rPr>
        <w:t xml:space="preserve"> </w:t>
      </w:r>
    </w:p>
    <w:p w14:paraId="13B28FE0">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（1）种苗质量 </w:t>
      </w:r>
    </w:p>
    <w:p w14:paraId="4E6D5549">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必须使用2年生闽楠容器壮苗，不得打顶截干，容器直径不小于8.0cm。苗木质量标准执行《容器育苗技术（LY/T1000-2013）》和《造林技术规程》（GB/T15776-2023）等规定。苗木应具有“两证一签”（质量合格证、检验证、种苗标签），所选苗木应苗干通直、根系发达、生长健壮、根团完整、无病虫害、容器无破损、无机械损伤等。 </w:t>
      </w:r>
    </w:p>
    <w:p w14:paraId="3FC24722">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（2）苗木来源 </w:t>
      </w:r>
    </w:p>
    <w:p w14:paraId="24BB53A5">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按照就近购苗原则或选择纬度基本一致的地区购苗。尽量使用造林地附近苗圃生产的苗木，减少苗圃地与造林地之间的地域差异，并视造林进度及时分批次安排起苗、拉运，缩短运输、待植时间，提高造林成活率，不得一次性采购大量苗木而长时间候栽，苗木最好当天起苗当天栽植，尽量不超过3天，同时做好防暴晒等苗木保管工作。调苗时适当考虑苗木损耗（3%左右）。 </w:t>
      </w:r>
    </w:p>
    <w:p w14:paraId="438417B0">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4.4造林措施 </w:t>
      </w:r>
    </w:p>
    <w:p w14:paraId="2CC62AFF">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营造林类型分为主要工序包括抚育间伐、林地清理、挖穴整地、返穴施肥、苗木栽植、幼林抚育、后期管护，各工序应严格按照《造林技术规程（GB/T15776-2023）》《森林抚育作业设计规定》（林造发〔2014〕140号）等有关标准的技术要求组织实施。 </w:t>
      </w:r>
    </w:p>
    <w:p w14:paraId="7F3C2E3D">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（1）林地清理</w:t>
      </w:r>
    </w:p>
    <w:p w14:paraId="3D391082">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全面清理采伐剩余物和林内杂灌杂草，清理时乔灌木留存伐蔸≦10cm，合理保留原有乔木阔叶幼树；并将伐除的剩余物、杂灌草不影响种植的前提下平铺在小班内，不能集中堆放（马尾松按疫木除治的相关技术要求进行清理）。</w:t>
      </w:r>
    </w:p>
    <w:p w14:paraId="73EA48E7">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林地清理时进行修枝除萌，清除保留木离地面2.0m以下的枝条，确保林冠下视线通透无阻，不影响造林施工和抚育施工管理。</w:t>
      </w:r>
    </w:p>
    <w:p w14:paraId="02A4E41C">
      <w:pPr>
        <w:numPr>
          <w:ilvl w:val="0"/>
          <w:numId w:val="0"/>
        </w:numPr>
        <w:spacing w:line="560" w:lineRule="exact"/>
        <w:ind w:firstLine="562"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（2）整地打穴（整地方式、穴规格、株行距与造林密度）</w:t>
      </w:r>
      <w:r>
        <w:rPr>
          <w:rFonts w:hint="eastAsia" w:ascii="仿宋" w:hAnsi="仿宋" w:eastAsia="仿宋" w:cs="Times New Roman"/>
          <w:b w:val="0"/>
          <w:bCs w:val="0"/>
          <w:color w:val="auto"/>
          <w:sz w:val="28"/>
          <w:szCs w:val="28"/>
          <w:highlight w:val="none"/>
          <w:lang w:val="en-US" w:eastAsia="zh-CN"/>
        </w:rPr>
        <w:t xml:space="preserve"> </w:t>
      </w:r>
    </w:p>
    <w:p w14:paraId="00F25FAC">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结合立地条件、经营目的等因素确定整地方式，选择穴状整地，整地时做好水土保持等环保措施。</w:t>
      </w:r>
    </w:p>
    <w:p w14:paraId="47F54929">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完成林地清理后按株行距3.3m×5.6m，拉线定穴或用竹竿定穴，竖向成线，横向沿等高水平线穴状整地，密度36株/亩以上，挖穴规格50cm×50cm×40cm穴外侧筑成反坡形以防水土流失，穴表土和心土分开两边堆放，以便返穴时利用。</w:t>
      </w:r>
    </w:p>
    <w:p w14:paraId="6A9C9A2A">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（3）返穴施肥 </w:t>
      </w:r>
    </w:p>
    <w:p w14:paraId="45163CAD">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整地挖穴后回填表土（穴四周30cm范围内）至穴的三分之一，基肥施有机肥5.0kg/穴，搅拌均匀后回填心土呈龟背形，注意返穴时树枝、杂草、石块等杂物不能入穴。 </w:t>
      </w:r>
    </w:p>
    <w:p w14:paraId="0BCA74BF">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（4）苗木栽植 </w:t>
      </w:r>
    </w:p>
    <w:p w14:paraId="49E78719">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按照小班作业设计的树种、株行距（密度）和苗木规格栽植，做到随起随栽，尽量当天起苗当天栽完，未栽完苗木应及时管养。</w:t>
      </w:r>
    </w:p>
    <w:p w14:paraId="07E3B4E4">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栽植时应保持苗木竖直、根系舒展，深浅适当。无纺布容器底部划破后栽植（透气性差容器苗栽植前应将容器袋剥除带走），栽植时注意保持土团完整。栽植后随时检查苗木成活情况，对死株、空株及时补苗，确保当年成活率达到85%以上。</w:t>
      </w:r>
    </w:p>
    <w:p w14:paraId="4D877F78">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（5）幼林抚育 </w:t>
      </w:r>
    </w:p>
    <w:p w14:paraId="3B7BC330">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项目实施以后，要加强抚育管理，确保取得项目成效。7～9月清山割杂、抚育追肥培蔸一次。</w:t>
      </w:r>
    </w:p>
    <w:p w14:paraId="7D196B99">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抚育追肥培蔸主要包括全面铲除树苗周边1m（半径0.5m）范围内影响苗木生长的杂草灌木和非经营目标的其他林木幼树并扩穴松土、培蔸，并追施复合肥0.25kg/株，于树冠外缘5cm处开沟施肥并覆土，避免离树蔸过近造成烧苗，并全面割杂。</w:t>
      </w:r>
    </w:p>
    <w:p w14:paraId="6745BDCC">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（6）护林管护 </w:t>
      </w:r>
    </w:p>
    <w:p w14:paraId="655F1549">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专人定期或不定期进行巡查，做好防止人畜破坏、防火、防虫、防病危害等各项管护工作。</w:t>
      </w:r>
    </w:p>
    <w:p w14:paraId="779ADCCF">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4.5成活率（保存率）及生长量要求 </w:t>
      </w:r>
    </w:p>
    <w:p w14:paraId="1D46DFAC">
      <w:pPr>
        <w:numPr>
          <w:ilvl w:val="0"/>
          <w:numId w:val="0"/>
        </w:numPr>
        <w:spacing w:line="560" w:lineRule="exact"/>
        <w:ind w:firstLine="562"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（1）成活率（保存率）</w:t>
      </w:r>
      <w:r>
        <w:rPr>
          <w:rFonts w:hint="eastAsia" w:ascii="仿宋" w:hAnsi="仿宋" w:eastAsia="仿宋" w:cs="Times New Roman"/>
          <w:b w:val="0"/>
          <w:bCs w:val="0"/>
          <w:color w:val="auto"/>
          <w:sz w:val="28"/>
          <w:szCs w:val="28"/>
          <w:highlight w:val="none"/>
          <w:lang w:val="en-US" w:eastAsia="zh-CN"/>
        </w:rPr>
        <w:t xml:space="preserve"> </w:t>
      </w:r>
    </w:p>
    <w:p w14:paraId="1A732CD3">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当年秋季过伏后验收，造林成活率不低于85%，并对死缺株及时补植。</w:t>
      </w:r>
    </w:p>
    <w:p w14:paraId="667F7A95">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（2）幼树净高生长量 </w:t>
      </w:r>
    </w:p>
    <w:p w14:paraId="0080A62A">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当年年底闽楠苗木平均净高生长量达到5cm以上。</w:t>
      </w:r>
    </w:p>
    <w:p w14:paraId="24E20F4D">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5.森林保护设计 </w:t>
      </w:r>
    </w:p>
    <w:p w14:paraId="7708E714">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5.1森林防火 </w:t>
      </w:r>
    </w:p>
    <w:p w14:paraId="086A5CBE">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项目建设林地有部分针叶树，林地内杂灌茂密、枯枝落叶多，一旦发生森林火灾，极易蔓延，在项目建设时需完善森林防火措施。 </w:t>
      </w:r>
    </w:p>
    <w:p w14:paraId="434E71EF">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（1）加大森林防火宣传。创新森林防火宣传机制，丰富宣传手段，固定宣传和流动宣传相结合，营造浓厚氛围，增强森林防火意识。 </w:t>
      </w:r>
    </w:p>
    <w:p w14:paraId="62659080">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（2）建立防火安全组织。在项目施工过程中，配备专职或兼职防火员，现场巡查监督，做到有组织、有专人负责森林防火工作。 </w:t>
      </w:r>
    </w:p>
    <w:p w14:paraId="57709C7A">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（3）落实防火责任机制。全面贯彻《森林草原防灭火条例》，签订森林防火责任书，实行森林防火管理责任制，层层落实森林防火责任。 </w:t>
      </w:r>
    </w:p>
    <w:p w14:paraId="3215213B">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4）加强野外火源管理。严格控制野外用火，人工造林、补植修复、疫木除治等确需野外用火的，需有关部门审批同意。在项目实施过程中，严禁在施工现场吸烟、烧柴取暖煮饭及其它野外用火，杜绝火灾的发生。 </w:t>
      </w:r>
    </w:p>
    <w:p w14:paraId="7C205758">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5.2林草有害生物预防 </w:t>
      </w:r>
    </w:p>
    <w:p w14:paraId="112D8787">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苗木、肥料调运加强检验，严格执行林草有害生物预防除治法律法规、技术规程、管理办法等有关规定，贯彻“预防为主，综合治理”方针，切实加强林草有害生物防控预警监测、检疫御灾、防治减灾等体系建设，加大对林草有害生物的检疫、除治力度，确保项目区内无严重森林病虫灾害发生。 </w:t>
      </w:r>
    </w:p>
    <w:p w14:paraId="10A9B9E3">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（1）加强林草有害生物监测 </w:t>
      </w:r>
    </w:p>
    <w:p w14:paraId="70AAE37D">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构建监测网络，对林草有害生物进行有效监控，及时掌握疫情动态。 </w:t>
      </w:r>
    </w:p>
    <w:p w14:paraId="684FCBDC">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（2）开展林草有害生物检疫 </w:t>
      </w:r>
    </w:p>
    <w:p w14:paraId="53C8141C">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认真落实“两证一签”制度，加强苗木产地检疫和调运入境检疫，严禁使用带有危险性病虫害的苗木，从源头上阻断危险性林草有害生物传播蔓延；有机肥必须有产品合格证。 </w:t>
      </w:r>
    </w:p>
    <w:p w14:paraId="5CD35BFE">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（3）坚持生物防治与物理防治相结合 </w:t>
      </w:r>
    </w:p>
    <w:p w14:paraId="50D01E1D">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牢固树立以营林为基础的林草有害生物防治理念，以营造阔叶混交或针阔混交林为主，保护好林地原生阔叶树，加强幼林抚育，改善林分的卫生状况，提高抵抗病虫害能力。 </w:t>
      </w:r>
    </w:p>
    <w:p w14:paraId="4762438C">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（4）强化林草有害生物综合防控 </w:t>
      </w:r>
    </w:p>
    <w:p w14:paraId="4F2262BB">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在林草有害生物监测的基础上，全面、准确、客观地收集林草有害生物的种类、分布等情况，掌握项目区林草有害生物情况，制定相应的治理方案，分类施策、突出重点，确保防治成效。</w:t>
      </w:r>
    </w:p>
    <w:p w14:paraId="01DB8BB4">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6.环境保护和安全卫生 </w:t>
      </w:r>
    </w:p>
    <w:p w14:paraId="7F8A26A4">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6.1环境保护 </w:t>
      </w:r>
    </w:p>
    <w:p w14:paraId="5354E842">
      <w:pPr>
        <w:numPr>
          <w:ilvl w:val="0"/>
          <w:numId w:val="0"/>
        </w:numPr>
        <w:spacing w:line="560" w:lineRule="exact"/>
        <w:ind w:firstLine="562"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（1）环境影响分析</w:t>
      </w:r>
      <w:r>
        <w:rPr>
          <w:rFonts w:hint="eastAsia" w:ascii="仿宋" w:hAnsi="仿宋" w:eastAsia="仿宋" w:cs="Times New Roman"/>
          <w:b w:val="0"/>
          <w:bCs w:val="0"/>
          <w:color w:val="auto"/>
          <w:sz w:val="28"/>
          <w:szCs w:val="28"/>
          <w:highlight w:val="none"/>
          <w:lang w:val="en-US" w:eastAsia="zh-CN"/>
        </w:rPr>
        <w:t xml:space="preserve"> </w:t>
      </w:r>
    </w:p>
    <w:p w14:paraId="6D6683B4">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项目建设对环境产生的影响主要包括两方面，一是林地清理、整地、施肥、施药等环节，可能造成局部水土流失、生物多样性降低、土壤板结和污染等；二是肥料、农药、苗木、生活垃圾等固体包装物可能造成环境污染。 </w:t>
      </w:r>
    </w:p>
    <w:p w14:paraId="492877C6">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（2）环境保护措施 </w:t>
      </w:r>
    </w:p>
    <w:p w14:paraId="4C9120D6">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为避免或减轻项目建设对周边环境造成的不利影响，根据相关法律法规以及有关林业项目建设环境保护规定等，采取以下保护措施。 </w:t>
      </w:r>
    </w:p>
    <w:p w14:paraId="2A074319">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①水土流失防治措施 </w:t>
      </w:r>
    </w:p>
    <w:p w14:paraId="46D5489C">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尽量采取合适方式清理林地，减少水土流失；整地时，采取沿等高线穴状整地的方式或呈竖带状排列，对坡度较大、易产生水土流失的地块，则可采用鱼鳞坑等有利于蓄水保土的整地方式；苗木栽植时，避免大雨天栽植，防止土壤受雨水冲刷造成水土流失。 </w:t>
      </w:r>
    </w:p>
    <w:p w14:paraId="69CCB900">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②化肥农药污染防治措施 </w:t>
      </w:r>
    </w:p>
    <w:p w14:paraId="333DE5DB">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项目建设使用的无重金属超标的有机肥和复合肥一般不会对土壤、水体造成污染；化肥短时间会被新植树木及周边植被吸收，对土壤、水体几乎无污染。</w:t>
      </w:r>
    </w:p>
    <w:p w14:paraId="3B721672">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病虫害防治以生物防治为主，药物防治为辅，必须使用药物防治时，应选用高效低毒低残留的农药并严格控使用量，严禁使用剧毒农药，以保护林内有益生物的种类和数量。 </w:t>
      </w:r>
    </w:p>
    <w:p w14:paraId="064E2640">
      <w:pPr>
        <w:numPr>
          <w:ilvl w:val="0"/>
          <w:numId w:val="0"/>
        </w:numPr>
        <w:spacing w:line="56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③废弃物处理措施 </w:t>
      </w:r>
    </w:p>
    <w:p w14:paraId="3E591F67">
      <w:pPr>
        <w:numPr>
          <w:ilvl w:val="0"/>
          <w:numId w:val="0"/>
        </w:numPr>
        <w:spacing w:line="56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容器苗应选用可降解的容器袋或草绳包扎，草绳在栽植前取下，栽植后并铺设于苗蔸，有助于减少水分蒸发，提高造林成活率；容器袋、肥料、农药瓶、包装袋及施工过程中产生的生活垃圾，施工单位应组织人员统一收集回收利用或分类投放，严禁随意丢弃污染环境。 </w:t>
      </w:r>
    </w:p>
    <w:p w14:paraId="745AA2E7">
      <w:pPr>
        <w:keepNext w:val="0"/>
        <w:keepLines w:val="0"/>
        <w:pageBreakBefore w:val="0"/>
        <w:numPr>
          <w:ilvl w:val="0"/>
          <w:numId w:val="0"/>
        </w:numPr>
        <w:wordWrap/>
        <w:overflowPunct/>
        <w:topLinePunct w:val="0"/>
        <w:bidi w:val="0"/>
        <w:spacing w:line="50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④生物多样性保护 </w:t>
      </w:r>
    </w:p>
    <w:p w14:paraId="07969E8D">
      <w:pPr>
        <w:keepNext w:val="0"/>
        <w:keepLines w:val="0"/>
        <w:pageBreakBefore w:val="0"/>
        <w:numPr>
          <w:ilvl w:val="0"/>
          <w:numId w:val="0"/>
        </w:numPr>
        <w:wordWrap/>
        <w:overflowPunct/>
        <w:topLinePunct w:val="0"/>
        <w:bidi w:val="0"/>
        <w:spacing w:line="50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林地清理、整地、幼林抚育等营林生产活动可能对生物多样性产生一定程度的局部影响。抚育间伐地块间伐后郁闭度保留在0.6以上，适当保留原生阔叶树，形成多树种混交林，苗木抚育时采用单株周边小范围除草培蔸，提高林内生物多样性，尽可能减少对生物多样性的影响。 </w:t>
      </w:r>
    </w:p>
    <w:p w14:paraId="5BB26689">
      <w:pPr>
        <w:keepNext w:val="0"/>
        <w:keepLines w:val="0"/>
        <w:pageBreakBefore w:val="0"/>
        <w:numPr>
          <w:ilvl w:val="0"/>
          <w:numId w:val="0"/>
        </w:numPr>
        <w:wordWrap/>
        <w:overflowPunct/>
        <w:topLinePunct w:val="0"/>
        <w:bidi w:val="0"/>
        <w:spacing w:line="50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6.2安全文明施工 </w:t>
      </w:r>
    </w:p>
    <w:p w14:paraId="75251F96">
      <w:pPr>
        <w:keepNext w:val="0"/>
        <w:keepLines w:val="0"/>
        <w:pageBreakBefore w:val="0"/>
        <w:numPr>
          <w:ilvl w:val="0"/>
          <w:numId w:val="0"/>
        </w:numPr>
        <w:wordWrap/>
        <w:overflowPunct/>
        <w:topLinePunct w:val="0"/>
        <w:bidi w:val="0"/>
        <w:spacing w:line="50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（1）施工前开展安全卫生教育培训和管理，持证上岗，保障劳动者的人身安全和健康，确保项目顺利实施；路边、水边、地势陡峭等安全隐患高的地段应设立安全警示标识，提示作业人员注意安全。 </w:t>
      </w:r>
    </w:p>
    <w:p w14:paraId="054A6713">
      <w:pPr>
        <w:keepNext w:val="0"/>
        <w:keepLines w:val="0"/>
        <w:pageBreakBefore w:val="0"/>
        <w:numPr>
          <w:ilvl w:val="0"/>
          <w:numId w:val="0"/>
        </w:numPr>
        <w:wordWrap/>
        <w:overflowPunct/>
        <w:topLinePunct w:val="0"/>
        <w:bidi w:val="0"/>
        <w:spacing w:line="50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（2）施工单位应为作业人员购买人身意外伤害保险，必要时配备工作服、安全帽、手套及必要的安全绳等保护装备；配备必需的应急药品，以防高温中暑、蛇虫咬伤、跌打损伤等。</w:t>
      </w:r>
    </w:p>
    <w:p w14:paraId="3FCBD028">
      <w:pPr>
        <w:keepNext w:val="0"/>
        <w:keepLines w:val="0"/>
        <w:pageBreakBefore w:val="0"/>
        <w:numPr>
          <w:ilvl w:val="0"/>
          <w:numId w:val="0"/>
        </w:numPr>
        <w:wordWrap/>
        <w:overflowPunct/>
        <w:topLinePunct w:val="0"/>
        <w:bidi w:val="0"/>
        <w:spacing w:line="500" w:lineRule="exact"/>
        <w:ind w:firstLine="560"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（3）施工时不扰民，要求外来民工与当地居民文明和谐相处，尊重当地习俗，注意居住地的环境卫生。</w:t>
      </w:r>
    </w:p>
    <w:p w14:paraId="600D10C1">
      <w:pPr>
        <w:keepNext w:val="0"/>
        <w:keepLines w:val="0"/>
        <w:pageBreakBefore w:val="0"/>
        <w:numPr>
          <w:ilvl w:val="0"/>
          <w:numId w:val="0"/>
        </w:numPr>
        <w:wordWrap/>
        <w:overflowPunct/>
        <w:topLinePunct w:val="0"/>
        <w:bidi w:val="0"/>
        <w:spacing w:line="500" w:lineRule="exact"/>
        <w:ind w:firstLine="562" w:firstLineChars="200"/>
        <w:jc w:val="both"/>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7.物资及用工量</w:t>
      </w:r>
    </w:p>
    <w:p w14:paraId="75C08213">
      <w:pPr>
        <w:keepNext w:val="0"/>
        <w:keepLines w:val="0"/>
        <w:pageBreakBefore w:val="0"/>
        <w:numPr>
          <w:ilvl w:val="0"/>
          <w:numId w:val="0"/>
        </w:numPr>
        <w:wordWrap/>
        <w:overflowPunct/>
        <w:topLinePunct w:val="0"/>
        <w:bidi w:val="0"/>
        <w:spacing w:line="500" w:lineRule="exact"/>
        <w:ind w:firstLine="562" w:firstLineChars="200"/>
        <w:jc w:val="both"/>
        <w:rPr>
          <w:rFonts w:hint="default" w:ascii="仿宋" w:hAnsi="仿宋" w:eastAsia="仿宋" w:cs="Times New Roman"/>
          <w:b/>
          <w:bCs/>
          <w:color w:val="auto"/>
          <w:sz w:val="28"/>
          <w:szCs w:val="28"/>
          <w:highlight w:val="none"/>
          <w:lang w:val="en-US" w:eastAsia="zh-CN"/>
        </w:rPr>
      </w:pPr>
      <w:bookmarkStart w:id="1" w:name="_Toc14230"/>
      <w:r>
        <w:rPr>
          <w:rFonts w:hint="eastAsia" w:ascii="仿宋" w:hAnsi="仿宋" w:eastAsia="仿宋" w:cs="Times New Roman"/>
          <w:b/>
          <w:bCs/>
          <w:color w:val="auto"/>
          <w:sz w:val="28"/>
          <w:szCs w:val="28"/>
          <w:highlight w:val="none"/>
          <w:lang w:val="en-US" w:eastAsia="zh-CN"/>
        </w:rPr>
        <w:t>7</w:t>
      </w:r>
      <w:r>
        <w:rPr>
          <w:rFonts w:hint="default" w:ascii="仿宋" w:hAnsi="仿宋" w:eastAsia="仿宋" w:cs="Times New Roman"/>
          <w:b/>
          <w:bCs/>
          <w:color w:val="auto"/>
          <w:sz w:val="28"/>
          <w:szCs w:val="28"/>
          <w:highlight w:val="none"/>
          <w:lang w:val="en-US" w:eastAsia="zh-CN"/>
        </w:rPr>
        <w:t>.1苗木需求量</w:t>
      </w:r>
      <w:bookmarkEnd w:id="1"/>
    </w:p>
    <w:p w14:paraId="02C0AE9F">
      <w:pPr>
        <w:keepNext w:val="0"/>
        <w:keepLines w:val="0"/>
        <w:pageBreakBefore w:val="0"/>
        <w:numPr>
          <w:ilvl w:val="0"/>
          <w:numId w:val="0"/>
        </w:numPr>
        <w:wordWrap/>
        <w:overflowPunct/>
        <w:topLinePunct w:val="0"/>
        <w:bidi w:val="0"/>
        <w:spacing w:line="500" w:lineRule="exact"/>
        <w:ind w:firstLine="560" w:firstLineChars="200"/>
        <w:jc w:val="both"/>
        <w:rPr>
          <w:rFonts w:hint="default" w:ascii="仿宋" w:hAnsi="仿宋" w:eastAsia="仿宋" w:cs="Times New Roman"/>
          <w:b w:val="0"/>
          <w:bCs w:val="0"/>
          <w:color w:val="auto"/>
          <w:sz w:val="28"/>
          <w:szCs w:val="28"/>
          <w:highlight w:val="none"/>
          <w:lang w:val="en-US" w:eastAsia="zh-CN"/>
        </w:rPr>
      </w:pPr>
      <w:r>
        <w:rPr>
          <w:rFonts w:hint="default" w:ascii="仿宋" w:hAnsi="仿宋" w:eastAsia="仿宋" w:cs="Times New Roman"/>
          <w:b w:val="0"/>
          <w:bCs w:val="0"/>
          <w:color w:val="auto"/>
          <w:sz w:val="28"/>
          <w:szCs w:val="28"/>
          <w:highlight w:val="none"/>
          <w:lang w:val="en-US" w:eastAsia="zh-CN"/>
        </w:rPr>
        <w:t>根据本项目各小班的设计要求，经测算，该项目实施共需各种苗木总量为10800株（不含苗木损耗）。</w:t>
      </w:r>
    </w:p>
    <w:p w14:paraId="19ACF0EC">
      <w:pPr>
        <w:keepNext w:val="0"/>
        <w:keepLines w:val="0"/>
        <w:pageBreakBefore w:val="0"/>
        <w:numPr>
          <w:ilvl w:val="0"/>
          <w:numId w:val="0"/>
        </w:numPr>
        <w:wordWrap/>
        <w:overflowPunct/>
        <w:topLinePunct w:val="0"/>
        <w:bidi w:val="0"/>
        <w:spacing w:line="500" w:lineRule="exact"/>
        <w:ind w:firstLine="562" w:firstLineChars="200"/>
        <w:jc w:val="both"/>
        <w:rPr>
          <w:rFonts w:hint="default" w:ascii="仿宋" w:hAnsi="仿宋" w:eastAsia="仿宋" w:cs="Times New Roman"/>
          <w:b/>
          <w:bCs/>
          <w:color w:val="auto"/>
          <w:sz w:val="28"/>
          <w:szCs w:val="28"/>
          <w:highlight w:val="none"/>
          <w:lang w:val="en-US" w:eastAsia="zh-CN"/>
        </w:rPr>
      </w:pPr>
      <w:bookmarkStart w:id="2" w:name="_Toc30342"/>
      <w:r>
        <w:rPr>
          <w:rFonts w:hint="eastAsia" w:ascii="仿宋" w:hAnsi="仿宋" w:eastAsia="仿宋" w:cs="Times New Roman"/>
          <w:b/>
          <w:bCs/>
          <w:color w:val="auto"/>
          <w:sz w:val="28"/>
          <w:szCs w:val="28"/>
          <w:highlight w:val="none"/>
          <w:lang w:val="en-US" w:eastAsia="zh-CN"/>
        </w:rPr>
        <w:t>7</w:t>
      </w:r>
      <w:r>
        <w:rPr>
          <w:rFonts w:hint="default" w:ascii="仿宋" w:hAnsi="仿宋" w:eastAsia="仿宋" w:cs="Times New Roman"/>
          <w:b/>
          <w:bCs/>
          <w:color w:val="auto"/>
          <w:sz w:val="28"/>
          <w:szCs w:val="28"/>
          <w:highlight w:val="none"/>
          <w:lang w:val="en-US" w:eastAsia="zh-CN"/>
        </w:rPr>
        <w:t>.2肥料需求量</w:t>
      </w:r>
      <w:bookmarkEnd w:id="2"/>
    </w:p>
    <w:p w14:paraId="35C9E03B">
      <w:pPr>
        <w:keepNext w:val="0"/>
        <w:keepLines w:val="0"/>
        <w:pageBreakBefore w:val="0"/>
        <w:numPr>
          <w:ilvl w:val="0"/>
          <w:numId w:val="0"/>
        </w:numPr>
        <w:wordWrap/>
        <w:overflowPunct/>
        <w:topLinePunct w:val="0"/>
        <w:bidi w:val="0"/>
        <w:spacing w:line="500" w:lineRule="exact"/>
        <w:ind w:firstLine="560" w:firstLineChars="200"/>
        <w:jc w:val="both"/>
        <w:rPr>
          <w:rFonts w:hint="default" w:ascii="仿宋" w:hAnsi="仿宋" w:eastAsia="仿宋" w:cs="Times New Roman"/>
          <w:b w:val="0"/>
          <w:bCs w:val="0"/>
          <w:color w:val="auto"/>
          <w:sz w:val="28"/>
          <w:szCs w:val="28"/>
          <w:highlight w:val="none"/>
          <w:lang w:val="en-US" w:eastAsia="zh-CN"/>
        </w:rPr>
      </w:pPr>
      <w:r>
        <w:rPr>
          <w:rFonts w:hint="default" w:ascii="仿宋" w:hAnsi="仿宋" w:eastAsia="仿宋" w:cs="Times New Roman"/>
          <w:b w:val="0"/>
          <w:bCs w:val="0"/>
          <w:color w:val="auto"/>
          <w:sz w:val="28"/>
          <w:szCs w:val="28"/>
          <w:highlight w:val="none"/>
          <w:lang w:val="en-US" w:eastAsia="zh-CN"/>
        </w:rPr>
        <w:t>经测算，项目建设需商品有机肥（基肥）54.00吨、复合肥（追施）2.70吨。</w:t>
      </w:r>
    </w:p>
    <w:p w14:paraId="5DBA53C4">
      <w:pPr>
        <w:keepNext w:val="0"/>
        <w:keepLines w:val="0"/>
        <w:pageBreakBefore w:val="0"/>
        <w:numPr>
          <w:ilvl w:val="0"/>
          <w:numId w:val="0"/>
        </w:numPr>
        <w:wordWrap/>
        <w:overflowPunct/>
        <w:topLinePunct w:val="0"/>
        <w:bidi w:val="0"/>
        <w:spacing w:line="500" w:lineRule="exact"/>
        <w:ind w:firstLine="562" w:firstLineChars="200"/>
        <w:jc w:val="both"/>
        <w:rPr>
          <w:rFonts w:hint="default" w:ascii="仿宋" w:hAnsi="仿宋" w:eastAsia="仿宋" w:cs="Times New Roman"/>
          <w:b/>
          <w:bCs/>
          <w:color w:val="auto"/>
          <w:sz w:val="28"/>
          <w:szCs w:val="28"/>
          <w:highlight w:val="none"/>
          <w:lang w:val="en-US" w:eastAsia="zh-CN"/>
        </w:rPr>
      </w:pPr>
      <w:bookmarkStart w:id="3" w:name="_Toc13547"/>
      <w:r>
        <w:rPr>
          <w:rFonts w:hint="eastAsia" w:ascii="仿宋" w:hAnsi="仿宋" w:eastAsia="仿宋" w:cs="Times New Roman"/>
          <w:b/>
          <w:bCs/>
          <w:color w:val="auto"/>
          <w:sz w:val="28"/>
          <w:szCs w:val="28"/>
          <w:highlight w:val="none"/>
          <w:lang w:val="en-US" w:eastAsia="zh-CN"/>
        </w:rPr>
        <w:t>7</w:t>
      </w:r>
      <w:r>
        <w:rPr>
          <w:rFonts w:hint="default" w:ascii="仿宋" w:hAnsi="仿宋" w:eastAsia="仿宋" w:cs="Times New Roman"/>
          <w:b/>
          <w:bCs/>
          <w:color w:val="auto"/>
          <w:sz w:val="28"/>
          <w:szCs w:val="28"/>
          <w:highlight w:val="none"/>
          <w:lang w:val="en-US" w:eastAsia="zh-CN"/>
        </w:rPr>
        <w:t>.3劳务用工量</w:t>
      </w:r>
      <w:bookmarkEnd w:id="3"/>
    </w:p>
    <w:p w14:paraId="12581094">
      <w:pPr>
        <w:keepNext w:val="0"/>
        <w:keepLines w:val="0"/>
        <w:pageBreakBefore w:val="0"/>
        <w:numPr>
          <w:ilvl w:val="0"/>
          <w:numId w:val="0"/>
        </w:numPr>
        <w:wordWrap/>
        <w:overflowPunct/>
        <w:topLinePunct w:val="0"/>
        <w:bidi w:val="0"/>
        <w:spacing w:line="500" w:lineRule="exact"/>
        <w:ind w:firstLine="560" w:firstLineChars="200"/>
        <w:jc w:val="both"/>
        <w:rPr>
          <w:rFonts w:hint="default" w:ascii="仿宋" w:hAnsi="仿宋" w:eastAsia="仿宋" w:cs="Times New Roman"/>
          <w:b w:val="0"/>
          <w:bCs w:val="0"/>
          <w:color w:val="auto"/>
          <w:sz w:val="28"/>
          <w:szCs w:val="28"/>
          <w:highlight w:val="none"/>
          <w:lang w:val="en-US" w:eastAsia="zh-CN"/>
        </w:rPr>
      </w:pPr>
      <w:r>
        <w:rPr>
          <w:rFonts w:hint="default" w:ascii="仿宋" w:hAnsi="仿宋" w:eastAsia="仿宋" w:cs="Times New Roman"/>
          <w:b w:val="0"/>
          <w:bCs w:val="0"/>
          <w:color w:val="auto"/>
          <w:sz w:val="28"/>
          <w:szCs w:val="28"/>
          <w:highlight w:val="none"/>
          <w:lang w:val="en-US" w:eastAsia="zh-CN"/>
        </w:rPr>
        <w:t>经测算，本项目预计需投入2376个工日，主要包括林地清理、整地、返穴施肥、栽植等工序和抚育的割灌除草、封育管护管理、病虫害管理、森林防火管护等。</w:t>
      </w:r>
    </w:p>
    <w:p w14:paraId="38697B69">
      <w:pPr>
        <w:keepNext w:val="0"/>
        <w:keepLines w:val="0"/>
        <w:pageBreakBefore w:val="0"/>
        <w:numPr>
          <w:ilvl w:val="0"/>
          <w:numId w:val="0"/>
        </w:numPr>
        <w:wordWrap/>
        <w:overflowPunct/>
        <w:topLinePunct w:val="0"/>
        <w:bidi w:val="0"/>
        <w:spacing w:line="500" w:lineRule="exact"/>
        <w:ind w:firstLine="562" w:firstLineChars="200"/>
        <w:jc w:val="both"/>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snapToGrid w:val="0"/>
          <w:color w:val="auto"/>
          <w:kern w:val="0"/>
          <w:sz w:val="28"/>
          <w:szCs w:val="28"/>
          <w:highlight w:val="none"/>
          <w:lang w:val="en-US" w:eastAsia="zh-CN" w:bidi="ar"/>
        </w:rPr>
        <w:t>8</w:t>
      </w:r>
      <w:r>
        <w:rPr>
          <w:rFonts w:hint="default" w:ascii="仿宋" w:hAnsi="仿宋" w:eastAsia="仿宋" w:cs="Times New Roman"/>
          <w:b/>
          <w:bCs/>
          <w:snapToGrid w:val="0"/>
          <w:color w:val="auto"/>
          <w:kern w:val="0"/>
          <w:sz w:val="28"/>
          <w:szCs w:val="28"/>
          <w:highlight w:val="none"/>
          <w:lang w:val="en-US" w:eastAsia="zh-CN" w:bidi="ar"/>
        </w:rPr>
        <w:t>.</w:t>
      </w:r>
      <w:r>
        <w:rPr>
          <w:rFonts w:hint="eastAsia" w:ascii="仿宋" w:hAnsi="仿宋" w:eastAsia="仿宋" w:cs="Times New Roman"/>
          <w:b w:val="0"/>
          <w:bCs w:val="0"/>
          <w:color w:val="auto"/>
          <w:sz w:val="28"/>
          <w:szCs w:val="28"/>
          <w:highlight w:val="none"/>
          <w:lang w:val="en-US" w:eastAsia="zh-CN"/>
        </w:rPr>
        <w:t>本项目不组织集中现场勘察，各潜在供应商如有需要，可自行勘察现场，采购人不为其各潜在供应商未勘察现场所导致的不利后果承担任何责任，不论其响应供应商是否勘察现场均被视为熟悉上述与履行合同有关的一切情况。</w:t>
      </w:r>
    </w:p>
    <w:p w14:paraId="2E1AEA2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exact"/>
        <w:ind w:leftChars="0" w:right="0" w:rightChars="0" w:firstLine="562" w:firstLineChars="200"/>
        <w:textAlignment w:val="baseline"/>
        <w:rPr>
          <w:rFonts w:hint="default"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9.未提及事宜详见附件《</w:t>
      </w:r>
      <w:bookmarkStart w:id="4" w:name="_Toc5418"/>
      <w:bookmarkStart w:id="5" w:name="_Toc8533"/>
      <w:r>
        <w:rPr>
          <w:rFonts w:hint="eastAsia" w:ascii="仿宋" w:hAnsi="仿宋" w:eastAsia="仿宋" w:cs="Times New Roman"/>
          <w:b/>
          <w:bCs/>
          <w:color w:val="auto"/>
          <w:sz w:val="28"/>
          <w:szCs w:val="28"/>
          <w:highlight w:val="none"/>
          <w:lang w:val="en-US" w:eastAsia="zh-CN"/>
        </w:rPr>
        <w:t>定南县蔡阳林场</w:t>
      </w:r>
      <w:bookmarkEnd w:id="4"/>
      <w:bookmarkEnd w:id="5"/>
      <w:bookmarkStart w:id="6" w:name="_Toc19207"/>
      <w:bookmarkStart w:id="7" w:name="_Toc26063"/>
      <w:r>
        <w:rPr>
          <w:rFonts w:hint="eastAsia" w:ascii="仿宋" w:hAnsi="仿宋" w:eastAsia="仿宋" w:cs="Times New Roman"/>
          <w:b/>
          <w:bCs/>
          <w:color w:val="auto"/>
          <w:sz w:val="28"/>
          <w:szCs w:val="28"/>
          <w:highlight w:val="none"/>
          <w:lang w:val="en-US" w:eastAsia="zh-CN"/>
        </w:rPr>
        <w:t>2026年珍贵树种补植示范基地建设项目</w:t>
      </w:r>
      <w:bookmarkEnd w:id="6"/>
      <w:bookmarkEnd w:id="7"/>
      <w:bookmarkStart w:id="8" w:name="_Toc6301"/>
      <w:r>
        <w:rPr>
          <w:rFonts w:hint="eastAsia" w:ascii="仿宋" w:hAnsi="仿宋" w:eastAsia="仿宋" w:cs="Times New Roman"/>
          <w:b/>
          <w:bCs/>
          <w:color w:val="auto"/>
          <w:sz w:val="28"/>
          <w:szCs w:val="28"/>
          <w:highlight w:val="none"/>
          <w:lang w:val="en-US" w:eastAsia="zh-CN"/>
        </w:rPr>
        <w:t>作业设计</w:t>
      </w:r>
      <w:bookmarkEnd w:id="8"/>
      <w:r>
        <w:rPr>
          <w:rFonts w:hint="eastAsia" w:ascii="仿宋" w:hAnsi="仿宋" w:eastAsia="仿宋" w:cs="Times New Roman"/>
          <w:b/>
          <w:bCs/>
          <w:color w:val="auto"/>
          <w:sz w:val="28"/>
          <w:szCs w:val="28"/>
          <w:highlight w:val="none"/>
          <w:lang w:val="en-US" w:eastAsia="zh-CN"/>
        </w:rPr>
        <w:t>》。</w:t>
      </w:r>
    </w:p>
    <w:p w14:paraId="539C425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582" w:firstLineChars="200"/>
        <w:jc w:val="both"/>
        <w:textAlignment w:val="baseline"/>
        <w:rPr>
          <w:rFonts w:hint="eastAsia" w:ascii="仿宋" w:hAnsi="仿宋" w:eastAsia="仿宋" w:cs="仿宋"/>
          <w:b/>
          <w:bCs/>
          <w:color w:val="auto"/>
          <w:spacing w:val="5"/>
          <w:sz w:val="28"/>
          <w:szCs w:val="28"/>
          <w:highlight w:val="none"/>
          <w:lang w:val="en-US" w:eastAsia="zh-CN"/>
        </w:rPr>
      </w:pPr>
      <w:r>
        <w:rPr>
          <w:rFonts w:ascii="仿宋" w:hAnsi="仿宋" w:eastAsia="仿宋" w:cs="仿宋"/>
          <w:b/>
          <w:bCs/>
          <w:color w:val="auto"/>
          <w:spacing w:val="5"/>
          <w:sz w:val="28"/>
          <w:szCs w:val="28"/>
          <w:highlight w:val="none"/>
        </w:rPr>
        <w:t>（</w:t>
      </w:r>
      <w:r>
        <w:rPr>
          <w:rFonts w:hint="eastAsia" w:ascii="仿宋" w:hAnsi="仿宋" w:eastAsia="仿宋" w:cs="仿宋"/>
          <w:b/>
          <w:bCs/>
          <w:color w:val="auto"/>
          <w:spacing w:val="5"/>
          <w:sz w:val="28"/>
          <w:szCs w:val="28"/>
          <w:highlight w:val="none"/>
          <w:lang w:eastAsia="zh-CN"/>
        </w:rPr>
        <w:t>六</w:t>
      </w:r>
      <w:r>
        <w:rPr>
          <w:rFonts w:ascii="仿宋" w:hAnsi="仿宋" w:eastAsia="仿宋" w:cs="仿宋"/>
          <w:b/>
          <w:bCs/>
          <w:color w:val="auto"/>
          <w:spacing w:val="5"/>
          <w:sz w:val="28"/>
          <w:szCs w:val="28"/>
          <w:highlight w:val="none"/>
        </w:rPr>
        <w:t>）商务要求</w:t>
      </w:r>
    </w:p>
    <w:p w14:paraId="78303B8F">
      <w:pPr>
        <w:keepNext w:val="0"/>
        <w:keepLines w:val="0"/>
        <w:pageBreakBefore w:val="0"/>
        <w:kinsoku/>
        <w:wordWrap/>
        <w:overflowPunct/>
        <w:topLinePunct w:val="0"/>
        <w:autoSpaceDE/>
        <w:autoSpaceDN/>
        <w:bidi w:val="0"/>
        <w:adjustRightInd/>
        <w:snapToGrid/>
        <w:spacing w:line="360" w:lineRule="auto"/>
        <w:ind w:firstLine="562" w:firstLineChars="200"/>
        <w:jc w:val="left"/>
        <w:textAlignment w:val="auto"/>
        <w:rPr>
          <w:rFonts w:hint="eastAsia" w:ascii="仿宋" w:hAnsi="仿宋" w:eastAsia="仿宋" w:cs="仿宋"/>
          <w:b w:val="0"/>
          <w:bCs/>
          <w:color w:val="auto"/>
          <w:sz w:val="28"/>
          <w:szCs w:val="28"/>
          <w:highlight w:val="none"/>
        </w:rPr>
      </w:pPr>
      <w:r>
        <w:rPr>
          <w:rFonts w:hint="eastAsia" w:ascii="仿宋" w:hAnsi="仿宋" w:eastAsia="仿宋" w:cs="仿宋"/>
          <w:b/>
          <w:color w:val="auto"/>
          <w:kern w:val="0"/>
          <w:sz w:val="28"/>
          <w:szCs w:val="28"/>
          <w:highlight w:val="none"/>
          <w:lang w:val="en-US" w:eastAsia="zh-CN"/>
        </w:rPr>
        <w:t>1</w:t>
      </w:r>
      <w:r>
        <w:rPr>
          <w:rFonts w:hint="eastAsia" w:ascii="仿宋" w:hAnsi="仿宋" w:eastAsia="仿宋" w:cs="仿宋"/>
          <w:b/>
          <w:color w:val="auto"/>
          <w:kern w:val="0"/>
          <w:sz w:val="28"/>
          <w:szCs w:val="28"/>
          <w:highlight w:val="none"/>
        </w:rPr>
        <w:t>.</w:t>
      </w:r>
      <w:r>
        <w:rPr>
          <w:rFonts w:hint="eastAsia" w:ascii="仿宋" w:hAnsi="仿宋" w:eastAsia="仿宋" w:cs="仿宋"/>
          <w:b/>
          <w:color w:val="auto"/>
          <w:sz w:val="28"/>
          <w:szCs w:val="28"/>
          <w:highlight w:val="none"/>
          <w:lang w:eastAsia="zh-CN"/>
        </w:rPr>
        <w:t>服务期</w:t>
      </w:r>
      <w:r>
        <w:rPr>
          <w:rFonts w:hint="eastAsia" w:ascii="仿宋" w:hAnsi="仿宋" w:eastAsia="仿宋" w:cs="仿宋"/>
          <w:b/>
          <w:color w:val="auto"/>
          <w:sz w:val="28"/>
          <w:szCs w:val="28"/>
          <w:highlight w:val="none"/>
        </w:rPr>
        <w:t>：</w:t>
      </w:r>
      <w:r>
        <w:rPr>
          <w:rFonts w:hint="eastAsia" w:ascii="仿宋" w:hAnsi="仿宋" w:eastAsia="仿宋" w:cs="仿宋"/>
          <w:b w:val="0"/>
          <w:bCs/>
          <w:color w:val="auto"/>
          <w:sz w:val="28"/>
          <w:szCs w:val="28"/>
          <w:highlight w:val="none"/>
          <w:lang w:val="en-US" w:eastAsia="zh-CN"/>
        </w:rPr>
        <w:t>2026 年 09月 30 日前完成本项目所有内容。</w:t>
      </w:r>
    </w:p>
    <w:p w14:paraId="02D07E42">
      <w:pPr>
        <w:keepNext w:val="0"/>
        <w:keepLines w:val="0"/>
        <w:pageBreakBefore w:val="0"/>
        <w:widowControl/>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b/>
          <w:color w:val="auto"/>
          <w:kern w:val="0"/>
          <w:sz w:val="28"/>
          <w:szCs w:val="28"/>
          <w:highlight w:val="none"/>
          <w:lang w:val="en-US" w:eastAsia="zh-CN"/>
        </w:rPr>
        <w:t>2</w:t>
      </w:r>
      <w:r>
        <w:rPr>
          <w:rFonts w:hint="eastAsia" w:ascii="仿宋" w:hAnsi="仿宋" w:eastAsia="仿宋" w:cs="仿宋"/>
          <w:b/>
          <w:color w:val="auto"/>
          <w:kern w:val="0"/>
          <w:sz w:val="28"/>
          <w:szCs w:val="28"/>
          <w:highlight w:val="none"/>
        </w:rPr>
        <w:t>.</w:t>
      </w:r>
      <w:r>
        <w:rPr>
          <w:rFonts w:hint="eastAsia" w:ascii="仿宋" w:hAnsi="仿宋" w:eastAsia="仿宋" w:cs="仿宋"/>
          <w:b/>
          <w:color w:val="auto"/>
          <w:kern w:val="0"/>
          <w:sz w:val="28"/>
          <w:szCs w:val="28"/>
          <w:highlight w:val="none"/>
          <w:lang w:eastAsia="zh-CN"/>
        </w:rPr>
        <w:t>交货</w:t>
      </w:r>
      <w:r>
        <w:rPr>
          <w:rFonts w:hint="eastAsia" w:ascii="仿宋" w:hAnsi="仿宋" w:eastAsia="仿宋" w:cs="仿宋"/>
          <w:b/>
          <w:color w:val="auto"/>
          <w:kern w:val="0"/>
          <w:sz w:val="28"/>
          <w:szCs w:val="28"/>
          <w:highlight w:val="none"/>
        </w:rPr>
        <w:t>地点：</w:t>
      </w:r>
      <w:r>
        <w:rPr>
          <w:rFonts w:hint="eastAsia" w:ascii="仿宋" w:hAnsi="仿宋" w:eastAsia="仿宋" w:cs="仿宋"/>
          <w:color w:val="auto"/>
          <w:kern w:val="0"/>
          <w:sz w:val="28"/>
          <w:szCs w:val="28"/>
          <w:highlight w:val="none"/>
        </w:rPr>
        <w:t>采购人指定地点。</w:t>
      </w:r>
    </w:p>
    <w:p w14:paraId="2E3FEF74">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val="0"/>
          <w:bCs/>
          <w:color w:val="auto"/>
          <w:kern w:val="0"/>
          <w:sz w:val="28"/>
          <w:szCs w:val="28"/>
          <w:highlight w:val="none"/>
          <w:lang w:val="en-US" w:eastAsia="zh-CN"/>
        </w:rPr>
      </w:pPr>
      <w:r>
        <w:rPr>
          <w:rFonts w:hint="eastAsia" w:ascii="仿宋" w:hAnsi="仿宋" w:eastAsia="仿宋" w:cs="仿宋"/>
          <w:b/>
          <w:color w:val="auto"/>
          <w:kern w:val="0"/>
          <w:sz w:val="28"/>
          <w:szCs w:val="28"/>
          <w:highlight w:val="none"/>
          <w:lang w:val="en-US" w:eastAsia="zh-CN"/>
        </w:rPr>
        <w:t>3</w:t>
      </w:r>
      <w:r>
        <w:rPr>
          <w:rFonts w:hint="eastAsia" w:ascii="仿宋" w:hAnsi="仿宋" w:eastAsia="仿宋" w:cs="仿宋"/>
          <w:b/>
          <w:color w:val="auto"/>
          <w:kern w:val="0"/>
          <w:sz w:val="28"/>
          <w:szCs w:val="28"/>
          <w:highlight w:val="none"/>
        </w:rPr>
        <w:t>.付款方式：</w:t>
      </w:r>
      <w:r>
        <w:rPr>
          <w:rFonts w:hint="eastAsia" w:ascii="仿宋" w:hAnsi="仿宋" w:eastAsia="仿宋" w:cs="仿宋"/>
          <w:b w:val="0"/>
          <w:bCs/>
          <w:color w:val="auto"/>
          <w:kern w:val="0"/>
          <w:sz w:val="28"/>
          <w:szCs w:val="28"/>
          <w:highlight w:val="none"/>
          <w:lang w:val="en-US" w:eastAsia="zh-CN"/>
        </w:rPr>
        <w:t>项目动工拨付财政衔接资金的30%；完成种植并验收合格，拨付财政衔接资金的85%；完成抚育并验收合格，拨付合同金额的100%。</w:t>
      </w:r>
    </w:p>
    <w:p w14:paraId="2B536416">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val="0"/>
          <w:bCs/>
          <w:color w:val="auto"/>
          <w:sz w:val="28"/>
          <w:szCs w:val="28"/>
          <w:highlight w:val="none"/>
          <w:lang w:eastAsia="zh-CN"/>
        </w:rPr>
      </w:pPr>
      <w:r>
        <w:rPr>
          <w:rFonts w:hint="eastAsia" w:ascii="仿宋" w:hAnsi="仿宋" w:eastAsia="仿宋" w:cs="仿宋"/>
          <w:b/>
          <w:color w:val="auto"/>
          <w:sz w:val="28"/>
          <w:szCs w:val="28"/>
          <w:highlight w:val="none"/>
          <w:lang w:val="en-US" w:eastAsia="zh-CN"/>
        </w:rPr>
        <w:t>4</w:t>
      </w:r>
      <w:r>
        <w:rPr>
          <w:rFonts w:hint="eastAsia" w:ascii="仿宋" w:hAnsi="仿宋" w:eastAsia="仿宋" w:cs="仿宋"/>
          <w:b/>
          <w:color w:val="auto"/>
          <w:sz w:val="28"/>
          <w:szCs w:val="28"/>
          <w:highlight w:val="none"/>
        </w:rPr>
        <w:t>.履约保证金：</w:t>
      </w:r>
      <w:r>
        <w:rPr>
          <w:rFonts w:hint="eastAsia" w:ascii="仿宋" w:hAnsi="仿宋" w:eastAsia="仿宋" w:cs="仿宋"/>
          <w:b w:val="0"/>
          <w:bCs/>
          <w:color w:val="auto"/>
          <w:sz w:val="28"/>
          <w:szCs w:val="28"/>
          <w:highlight w:val="none"/>
          <w:lang w:eastAsia="zh-CN"/>
        </w:rPr>
        <w:t>本项目不收取履约保证金</w:t>
      </w:r>
    </w:p>
    <w:p w14:paraId="4A0AB883">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val="0"/>
          <w:color w:val="auto"/>
          <w:kern w:val="0"/>
          <w:sz w:val="28"/>
          <w:szCs w:val="28"/>
          <w:highlight w:val="none"/>
        </w:rPr>
      </w:pPr>
      <w:r>
        <w:rPr>
          <w:rFonts w:hint="eastAsia" w:ascii="仿宋" w:hAnsi="仿宋" w:eastAsia="仿宋" w:cs="仿宋"/>
          <w:b/>
          <w:bCs w:val="0"/>
          <w:color w:val="auto"/>
          <w:kern w:val="0"/>
          <w:sz w:val="28"/>
          <w:szCs w:val="28"/>
          <w:highlight w:val="none"/>
          <w:lang w:val="en-US" w:eastAsia="zh-CN"/>
        </w:rPr>
        <w:t>5</w:t>
      </w:r>
      <w:r>
        <w:rPr>
          <w:rFonts w:hint="eastAsia" w:ascii="仿宋" w:hAnsi="仿宋" w:eastAsia="仿宋" w:cs="仿宋"/>
          <w:b/>
          <w:bCs w:val="0"/>
          <w:color w:val="auto"/>
          <w:kern w:val="0"/>
          <w:sz w:val="28"/>
          <w:szCs w:val="28"/>
          <w:highlight w:val="none"/>
        </w:rPr>
        <w:t>.知识产权归属和处理方式：</w:t>
      </w:r>
    </w:p>
    <w:p w14:paraId="2F04B964">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成交供应商保证在项目过程中有可能涉及到的涉密数据、个人隐私数据的安全；最终用户对成交供应商提供的各种形式的相关资料有保密义务，不得提供给与本合同无关的第三方；成交供应商在实施本项目过程中，接处到用户的涉密信息，包括以各种形式存在的国家秘密、工作秘密和商业秘密信息，有保密义务，不得向第三方泄露；未经用户分管领导批准，成交供应商不得持有、保存用户的各种涉密载体。如由于成交供应商不慎泄露涉密数据或隐私数据，由此引发的刑事、民事责任由成交供应商自行承担。</w:t>
      </w:r>
    </w:p>
    <w:p w14:paraId="78C939DC">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6.人员及管理要求：</w:t>
      </w:r>
      <w:r>
        <w:rPr>
          <w:rFonts w:hint="eastAsia" w:ascii="仿宋" w:hAnsi="仿宋" w:eastAsia="仿宋" w:cs="仿宋"/>
          <w:color w:val="auto"/>
          <w:kern w:val="0"/>
          <w:sz w:val="28"/>
          <w:szCs w:val="28"/>
          <w:highlight w:val="none"/>
          <w:lang w:val="en-US" w:eastAsia="zh-CN"/>
        </w:rPr>
        <w:t xml:space="preserve"> </w:t>
      </w:r>
    </w:p>
    <w:p w14:paraId="6EEB553B">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管理要求：本项目需拟派满足项目需要的人员，如人员不足采购人要求成交供应商补充人员，需及时补充，确保项目进度不受影响。</w:t>
      </w:r>
    </w:p>
    <w:p w14:paraId="4D8FA725">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因本项目为户外高山作业，为确保作业安全及人员健康，降低作业风险，所有技术和管理人员年龄须严格控制在 60 周岁以下（不含 60 周岁），保障项目顺利实施及人员安全。</w:t>
      </w:r>
    </w:p>
    <w:p w14:paraId="4DC574F4">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7.采购人不组织踏勘现场：</w:t>
      </w:r>
      <w:r>
        <w:rPr>
          <w:rFonts w:hint="eastAsia" w:ascii="仿宋" w:hAnsi="仿宋" w:eastAsia="仿宋" w:cs="仿宋"/>
          <w:color w:val="auto"/>
          <w:kern w:val="0"/>
          <w:sz w:val="28"/>
          <w:szCs w:val="28"/>
          <w:highlight w:val="none"/>
          <w:lang w:val="en-US" w:eastAsia="zh-CN"/>
        </w:rPr>
        <w:t>供应商应自行安排时间进行实地考察。供应商踏勘现场的费用自理，为投标报价取得依据。一旦成交，不得以不了解现场情况为理由而提出额外费用，采购人将不予考虑。在现场考察过程中，响应供应商如果发生人身伤亡、财务或其它损失，不论何种原因造成，均由供应商自负。</w:t>
      </w:r>
    </w:p>
    <w:p w14:paraId="141253F1">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 xml:space="preserve">8.交货包装： </w:t>
      </w:r>
    </w:p>
    <w:p w14:paraId="6340D7B7">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 xml:space="preserve">1）运输和施工及场地安全由成交供应商全权负责，采购人不提供任何保障。 </w:t>
      </w:r>
    </w:p>
    <w:p w14:paraId="5ED0D836">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2）如果成交供应商没有按照合同规定或采购人同意延长的时间完工，赔偿费应按每迟交一周，按合同总价的 1%计收。但违约赔偿费的最高限额为合同总价的 10%。一周按 7 天计算，不足 7天按一周计算。如果成交供应商在达到最高限额后仍不能完工，采购人可考虑终止合同。因此产生的一切经济损失由成交供应商承担。</w:t>
      </w:r>
    </w:p>
    <w:p w14:paraId="627B7B37">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 xml:space="preserve">9.验收: </w:t>
      </w:r>
    </w:p>
    <w:p w14:paraId="51FBD368">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9.1成交供应商根据采购合同的要求完成所有服务并认为达到交付标准后，由成交供应商提出验收申请，采购单位收到验收申请后，按要求组织完成验收事宜。</w:t>
      </w:r>
    </w:p>
    <w:p w14:paraId="32CE5BA5">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9</w:t>
      </w:r>
      <w:r>
        <w:rPr>
          <w:rFonts w:hint="eastAsia" w:ascii="仿宋" w:hAnsi="仿宋" w:eastAsia="仿宋" w:cs="仿宋"/>
          <w:color w:val="auto"/>
          <w:kern w:val="0"/>
          <w:sz w:val="28"/>
          <w:szCs w:val="28"/>
          <w:highlight w:val="none"/>
        </w:rPr>
        <w:t>.2验收小组依据采购合同约定，对成交供应商履约的每一项技术、服务、安全标准的履约情况进行验收，凡验收不合格的，限期整改；整改不到位的，不予拨付采购资金，并追究该成交供应商相应责任。由此造成的任何损失由成交供应商自行承担。</w:t>
      </w:r>
    </w:p>
    <w:p w14:paraId="34363018">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9</w:t>
      </w:r>
      <w:r>
        <w:rPr>
          <w:rFonts w:hint="eastAsia" w:ascii="仿宋" w:hAnsi="仿宋" w:eastAsia="仿宋" w:cs="仿宋"/>
          <w:color w:val="auto"/>
          <w:kern w:val="0"/>
          <w:sz w:val="28"/>
          <w:szCs w:val="28"/>
          <w:highlight w:val="none"/>
        </w:rPr>
        <w:t>.3所有参与验收人员应当书面签字以示负责。</w:t>
      </w:r>
    </w:p>
    <w:p w14:paraId="76266FE7">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 xml:space="preserve">10、验收结算： </w:t>
      </w:r>
      <w:r>
        <w:rPr>
          <w:rFonts w:hint="eastAsia" w:ascii="仿宋" w:hAnsi="仿宋" w:eastAsia="仿宋" w:cs="仿宋"/>
          <w:color w:val="auto"/>
          <w:kern w:val="0"/>
          <w:sz w:val="28"/>
          <w:szCs w:val="28"/>
          <w:highlight w:val="none"/>
          <w:lang w:val="en-US" w:eastAsia="zh-CN"/>
        </w:rPr>
        <w:t xml:space="preserve">成交供应商必须按作业设计规定的范围、项目、技术要求等进行施工，否则不予以验收结算。 </w:t>
      </w:r>
    </w:p>
    <w:p w14:paraId="45BE6123">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 xml:space="preserve">11、其它要求: </w:t>
      </w:r>
    </w:p>
    <w:p w14:paraId="51D8A57B">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 xml:space="preserve">1）成交供应商应保证采购人在中华人民共和国使用成交供应商所提供的货物或货物的任何一部分时，免受第三方提出的侵犯其专利权、商标权或工业设计权的起诉；如果任何第三方提出侵权指控，成交供应商承担一切与之有关的责任。 </w:t>
      </w:r>
    </w:p>
    <w:p w14:paraId="146677FC">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 xml:space="preserve">2）成交供应商应保证安全文明施工，施工过程中发生的重大人员事故，或因成交供应商管理不善等原因造成人员伤亡等责任事故均由成交供应商负责，采购人不承担任何法律及经济责任。 </w:t>
      </w:r>
    </w:p>
    <w:p w14:paraId="2BAFBB84">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3）如采购人在工程的实施过程中对产品的需求如工程量、规格等有变化，按实际工程量计算，单价则按中标单价计算。</w:t>
      </w:r>
    </w:p>
    <w:p w14:paraId="0E38D27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562" w:firstLineChars="200"/>
        <w:jc w:val="left"/>
        <w:textAlignment w:val="baseline"/>
        <w:rPr>
          <w:rFonts w:hint="eastAsia" w:ascii="仿宋" w:hAnsi="仿宋" w:eastAsia="仿宋" w:cs="仿宋"/>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12</w:t>
      </w:r>
      <w:r>
        <w:rPr>
          <w:rFonts w:hint="eastAsia" w:ascii="仿宋" w:hAnsi="仿宋" w:eastAsia="仿宋" w:cs="仿宋"/>
          <w:b/>
          <w:bCs/>
          <w:color w:val="auto"/>
          <w:kern w:val="0"/>
          <w:sz w:val="28"/>
          <w:szCs w:val="28"/>
          <w:highlight w:val="none"/>
        </w:rPr>
        <w:t>.磋商报价：</w:t>
      </w:r>
      <w:r>
        <w:rPr>
          <w:rFonts w:hint="eastAsia" w:ascii="仿宋" w:hAnsi="仿宋" w:eastAsia="仿宋" w:cs="仿宋"/>
          <w:color w:val="auto"/>
          <w:kern w:val="0"/>
          <w:sz w:val="28"/>
          <w:szCs w:val="28"/>
          <w:highlight w:val="none"/>
        </w:rPr>
        <w:t>包含磋商文件所约定的范围内全部内容价格体现的“交钥匙工程”，</w:t>
      </w:r>
      <w:r>
        <w:rPr>
          <w:rFonts w:hint="eastAsia" w:ascii="仿宋" w:hAnsi="仿宋" w:eastAsia="仿宋" w:cs="仿宋"/>
          <w:color w:val="auto"/>
          <w:kern w:val="0"/>
          <w:sz w:val="28"/>
          <w:szCs w:val="28"/>
          <w:highlight w:val="none"/>
          <w:lang w:val="en-US" w:eastAsia="zh-CN"/>
        </w:rPr>
        <w:t>投标报价包括施工所需全部材料费用、运杂费、保险费、安装调试费（含辅材）、验收费、措施费、规费、税金、管理人工费及电费、机械损耗费以及质保期间的一切可能发生的费用，凡关乎本项目、无论现清单中是否涉及到的设备材料或施工均包括在内验收实际数量结算低于成交金额的按照实际金额结算。</w:t>
      </w:r>
    </w:p>
    <w:p w14:paraId="039B8015">
      <w:r>
        <w:rPr>
          <w:rFonts w:hint="eastAsia" w:ascii="仿宋_GB2312" w:hAnsi="仿宋_GB2312" w:eastAsia="仿宋_GB2312" w:cs="仿宋_GB2312"/>
          <w:b/>
          <w:bCs/>
          <w:i w:val="0"/>
          <w:iCs w:val="0"/>
          <w:caps w:val="0"/>
          <w:color w:val="auto"/>
          <w:spacing w:val="0"/>
          <w:sz w:val="36"/>
          <w:szCs w:val="36"/>
          <w:highlight w:val="none"/>
          <w:lang w:eastAsia="zh-CN"/>
        </w:rPr>
        <w:t>以上</w:t>
      </w:r>
      <w:r>
        <w:rPr>
          <w:rFonts w:hint="eastAsia" w:ascii="仿宋_GB2312" w:hAnsi="仿宋_GB2312" w:eastAsia="仿宋_GB2312" w:cs="仿宋_GB2312"/>
          <w:b/>
          <w:bCs/>
          <w:i w:val="0"/>
          <w:iCs w:val="0"/>
          <w:caps w:val="0"/>
          <w:color w:val="auto"/>
          <w:spacing w:val="0"/>
          <w:sz w:val="36"/>
          <w:szCs w:val="36"/>
          <w:highlight w:val="none"/>
        </w:rPr>
        <w:t>内容只接受无偏离或正偏离（优于竞争性磋商文件要求），若负偏离则视为无效响应。</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roma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0A3991"/>
    <w:multiLevelType w:val="singleLevel"/>
    <w:tmpl w:val="7B0A399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7A77DB"/>
    <w:rsid w:val="0F7A77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spacing w:before="340" w:after="330" w:line="576" w:lineRule="auto"/>
      <w:outlineLvl w:val="0"/>
    </w:pPr>
    <w:rPr>
      <w:b/>
      <w:bCs/>
      <w:kern w:val="44"/>
      <w:sz w:val="44"/>
      <w:szCs w:val="44"/>
      <w:lang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First Indent"/>
    <w:basedOn w:val="3"/>
    <w:unhideWhenUsed/>
    <w:qFormat/>
    <w:uiPriority w:val="0"/>
    <w:pPr>
      <w:ind w:firstLine="420"/>
    </w:pPr>
    <w:rPr>
      <w:szCs w:val="24"/>
      <w:lang w:val="en-US" w:eastAsia="en-US" w:bidi="ar-SA"/>
    </w:rPr>
  </w:style>
  <w:style w:type="paragraph" w:styleId="3">
    <w:name w:val="Body Text"/>
    <w:basedOn w:val="1"/>
    <w:next w:val="1"/>
    <w:unhideWhenUsed/>
    <w:qFormat/>
    <w:uiPriority w:val="0"/>
    <w:pPr>
      <w:spacing w:after="120"/>
    </w:pPr>
    <w:rPr>
      <w:szCs w:val="24"/>
      <w:lang w:val="en-US" w:eastAsia="zh-CN" w:bidi="ar-SA"/>
    </w:rPr>
  </w:style>
  <w:style w:type="paragraph" w:styleId="5">
    <w:name w:val="Normal (Web)"/>
    <w:basedOn w:val="1"/>
    <w:unhideWhenUsed/>
    <w:qFormat/>
    <w:uiPriority w:val="0"/>
    <w:pPr>
      <w:spacing w:before="100" w:beforeAutospacing="1" w:after="100" w:afterAutospacing="1"/>
    </w:pPr>
    <w:rPr>
      <w:rFonts w:ascii="宋体" w:hAnsi="宋体"/>
      <w:sz w:val="24"/>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2026-04-14T08:28:00Z</dcterms:created>
  <dc:creator>Administrator</dc:creator>
  <cp:lastModifiedBy>Administrator</cp:lastModifiedBy>
  <dcterms:modified xsi:type="dcterms:W3CDTF">2026-04-14T08:28:18Z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A28023CF81A84E548DFB5976F008EFF6_11</vt:lpwstr>
  </property>
  <property fmtid="{D5CDD505-2E9C-101B-9397-08002B2CF9AE}" pid="4" name="KSOTemplateDocerSaveRecord">
    <vt:lpwstr>eyJoZGlkIjoiYTk1NTUxOGE3NDIxYTIxYjMyOWYyMGEyY2NhYTA2NzkiLCJ1c2VySWQiOiIyNjMzNzU0NzIifQ==</vt:lpwstr>
  </property>
</Properties>
</file>