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ACEA06">
      <w:pPr>
        <w:pageBreakBefore w:val="0"/>
        <w:widowControl w:val="0"/>
        <w:wordWrap/>
        <w:overflowPunct/>
        <w:topLinePunct w:val="0"/>
        <w:bidi w:val="0"/>
        <w:spacing w:line="258" w:lineRule="auto"/>
        <w:rPr>
          <w:rFonts w:hint="eastAsia" w:ascii="仿宋" w:hAnsi="仿宋" w:eastAsia="仿宋" w:cs="仿宋"/>
          <w:color w:val="auto"/>
          <w:highlight w:val="none"/>
        </w:rPr>
      </w:pPr>
    </w:p>
    <w:p w14:paraId="53AE6A89">
      <w:pPr>
        <w:pageBreakBefore w:val="0"/>
        <w:widowControl w:val="0"/>
        <w:wordWrap/>
        <w:overflowPunct/>
        <w:topLinePunct w:val="0"/>
        <w:bidi w:val="0"/>
        <w:spacing w:before="78" w:line="219" w:lineRule="auto"/>
        <w:rPr>
          <w:rFonts w:hint="eastAsia" w:ascii="仿宋" w:hAnsi="仿宋" w:eastAsia="仿宋" w:cs="仿宋"/>
          <w:color w:val="auto"/>
          <w:sz w:val="24"/>
          <w:szCs w:val="24"/>
          <w:highlight w:val="none"/>
        </w:rPr>
      </w:pPr>
      <w:r>
        <w:rPr>
          <w:rFonts w:hint="eastAsia" w:ascii="仿宋" w:hAnsi="仿宋" w:eastAsia="仿宋" w:cs="仿宋"/>
          <w:color w:val="auto"/>
          <w:spacing w:val="-5"/>
          <w:sz w:val="24"/>
          <w:szCs w:val="24"/>
          <w:highlight w:val="none"/>
        </w:rPr>
        <w:t>（一）</w:t>
      </w:r>
      <w:r>
        <w:rPr>
          <w:rFonts w:hint="eastAsia" w:ascii="仿宋" w:hAnsi="仿宋" w:eastAsia="仿宋" w:cs="仿宋"/>
          <w:color w:val="auto"/>
          <w:spacing w:val="25"/>
          <w:sz w:val="24"/>
          <w:szCs w:val="24"/>
          <w:highlight w:val="none"/>
        </w:rPr>
        <w:t xml:space="preserve"> </w:t>
      </w:r>
      <w:r>
        <w:rPr>
          <w:rFonts w:hint="eastAsia" w:ascii="仿宋" w:hAnsi="仿宋" w:eastAsia="仿宋" w:cs="仿宋"/>
          <w:color w:val="auto"/>
          <w:spacing w:val="-5"/>
          <w:sz w:val="24"/>
          <w:szCs w:val="24"/>
          <w:highlight w:val="none"/>
          <w:lang w:val="en-US" w:eastAsia="zh-CN"/>
        </w:rPr>
        <w:t>服务</w:t>
      </w:r>
      <w:r>
        <w:rPr>
          <w:rFonts w:hint="eastAsia" w:ascii="仿宋" w:hAnsi="仿宋" w:eastAsia="仿宋" w:cs="仿宋"/>
          <w:color w:val="auto"/>
          <w:spacing w:val="-5"/>
          <w:sz w:val="24"/>
          <w:szCs w:val="24"/>
          <w:highlight w:val="none"/>
        </w:rPr>
        <w:t>需求</w:t>
      </w:r>
    </w:p>
    <w:p w14:paraId="3E6B5B6C">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500" w:firstLineChars="200"/>
        <w:textAlignment w:val="baseline"/>
        <w:rPr>
          <w:rFonts w:hint="eastAsia" w:ascii="仿宋" w:hAnsi="仿宋" w:eastAsia="仿宋" w:cs="仿宋"/>
          <w:color w:val="auto"/>
          <w:spacing w:val="5"/>
          <w:sz w:val="24"/>
          <w:szCs w:val="24"/>
        </w:rPr>
      </w:pPr>
    </w:p>
    <w:p w14:paraId="1B56A667">
      <w:pPr>
        <w:keepNext w:val="0"/>
        <w:keepLines w:val="0"/>
        <w:pageBreakBefore w:val="0"/>
        <w:widowControl/>
        <w:numPr>
          <w:ilvl w:val="0"/>
          <w:numId w:val="1"/>
        </w:numPr>
        <w:kinsoku w:val="0"/>
        <w:wordWrap/>
        <w:overflowPunct/>
        <w:topLinePunct w:val="0"/>
        <w:autoSpaceDE w:val="0"/>
        <w:autoSpaceDN w:val="0"/>
        <w:bidi w:val="0"/>
        <w:adjustRightInd w:val="0"/>
        <w:snapToGrid w:val="0"/>
        <w:spacing w:line="500" w:lineRule="exact"/>
        <w:ind w:left="0" w:leftChars="0" w:firstLine="480" w:firstLineChars="200"/>
        <w:textAlignment w:val="baseline"/>
        <w:outlineLvl w:val="0"/>
        <w:rPr>
          <w:rFonts w:hint="eastAsia" w:ascii="仿宋" w:hAnsi="仿宋" w:eastAsia="仿宋" w:cs="仿宋"/>
          <w:color w:val="auto"/>
          <w:sz w:val="24"/>
          <w:szCs w:val="24"/>
        </w:rPr>
      </w:pPr>
      <w:bookmarkStart w:id="0" w:name="_Toc28592"/>
      <w:r>
        <w:rPr>
          <w:rFonts w:hint="eastAsia" w:ascii="仿宋" w:hAnsi="仿宋" w:eastAsia="仿宋" w:cs="仿宋"/>
          <w:color w:val="auto"/>
          <w:sz w:val="24"/>
          <w:szCs w:val="24"/>
        </w:rPr>
        <w:t>项目整体需求</w:t>
      </w:r>
      <w:bookmarkEnd w:id="0"/>
    </w:p>
    <w:p w14:paraId="28A0E4F9">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本</w:t>
      </w:r>
      <w:r>
        <w:rPr>
          <w:rFonts w:hint="eastAsia" w:ascii="仿宋" w:hAnsi="仿宋" w:eastAsia="仿宋" w:cs="仿宋"/>
          <w:color w:val="auto"/>
          <w:sz w:val="24"/>
          <w:szCs w:val="24"/>
        </w:rPr>
        <w:t>服务项目为本地化服务，为全托管式外包，服务外包期间内,</w:t>
      </w:r>
      <w:r>
        <w:rPr>
          <w:rFonts w:hint="eastAsia" w:ascii="仿宋" w:hAnsi="仿宋" w:eastAsia="仿宋" w:cs="仿宋"/>
          <w:color w:val="auto"/>
          <w:sz w:val="24"/>
          <w:szCs w:val="24"/>
          <w:lang w:val="en-US" w:eastAsia="zh-CN"/>
        </w:rPr>
        <w:t>成交</w:t>
      </w:r>
      <w:r>
        <w:rPr>
          <w:rFonts w:hint="eastAsia" w:ascii="仿宋" w:hAnsi="仿宋" w:eastAsia="仿宋" w:cs="仿宋"/>
          <w:color w:val="auto"/>
          <w:sz w:val="24"/>
          <w:szCs w:val="24"/>
        </w:rPr>
        <w:t>供应商承担服务外包项目范围内</w:t>
      </w:r>
      <w:r>
        <w:rPr>
          <w:rFonts w:hint="eastAsia" w:ascii="仿宋" w:hAnsi="仿宋" w:eastAsia="仿宋" w:cs="仿宋"/>
          <w:color w:val="auto"/>
          <w:sz w:val="24"/>
          <w:szCs w:val="24"/>
          <w:lang w:val="en-US" w:eastAsia="zh-CN"/>
        </w:rPr>
        <w:t>的</w:t>
      </w:r>
      <w:r>
        <w:rPr>
          <w:rFonts w:hint="eastAsia" w:ascii="仿宋" w:hAnsi="仿宋" w:eastAsia="仿宋" w:cs="仿宋"/>
          <w:color w:val="auto"/>
          <w:sz w:val="24"/>
          <w:szCs w:val="24"/>
        </w:rPr>
        <w:t>软件维护、硬件的维修及巡检、消耗材料补充等工作内容，并安排专业服</w:t>
      </w:r>
      <w:r>
        <w:rPr>
          <w:rFonts w:hint="eastAsia" w:ascii="仿宋" w:hAnsi="仿宋" w:eastAsia="仿宋" w:cs="仿宋"/>
          <w:color w:val="auto"/>
          <w:sz w:val="24"/>
          <w:szCs w:val="24"/>
          <w:highlight w:val="none"/>
        </w:rPr>
        <w:t>务人员日常值班，安排驻场</w:t>
      </w:r>
      <w:r>
        <w:rPr>
          <w:rFonts w:hint="eastAsia" w:ascii="仿宋" w:hAnsi="仿宋" w:eastAsia="仿宋" w:cs="仿宋"/>
          <w:color w:val="auto"/>
          <w:sz w:val="24"/>
          <w:szCs w:val="24"/>
          <w:highlight w:val="none"/>
          <w:lang w:val="en-US" w:eastAsia="zh-CN"/>
        </w:rPr>
        <w:t>且</w:t>
      </w:r>
      <w:r>
        <w:rPr>
          <w:rFonts w:hint="eastAsia" w:ascii="仿宋" w:hAnsi="仿宋" w:eastAsia="仿宋" w:cs="仿宋"/>
          <w:color w:val="auto"/>
          <w:sz w:val="24"/>
          <w:szCs w:val="24"/>
          <w:highlight w:val="none"/>
        </w:rPr>
        <w:t>服从医院信息科管理。</w:t>
      </w:r>
      <w:r>
        <w:rPr>
          <w:rFonts w:hint="eastAsia" w:ascii="仿宋" w:hAnsi="仿宋" w:eastAsia="仿宋" w:cs="仿宋"/>
          <w:color w:val="auto"/>
          <w:sz w:val="24"/>
          <w:szCs w:val="24"/>
          <w:highlight w:val="none"/>
          <w:lang w:val="en-US" w:eastAsia="zh-CN"/>
        </w:rPr>
        <w:t>成交</w:t>
      </w:r>
      <w:r>
        <w:rPr>
          <w:rFonts w:hint="eastAsia" w:ascii="仿宋" w:hAnsi="仿宋" w:eastAsia="仿宋" w:cs="仿宋"/>
          <w:color w:val="auto"/>
          <w:sz w:val="24"/>
          <w:szCs w:val="24"/>
          <w:highlight w:val="none"/>
        </w:rPr>
        <w:t>供应商应具备专业的软件维护能力和设备维修维护技术能力，同时有充足的备件库和有效的应急方案。应体现专业、及时、高效原则，达到医院提升管理品质和降低医院管理</w:t>
      </w:r>
      <w:r>
        <w:rPr>
          <w:rFonts w:hint="eastAsia" w:ascii="仿宋" w:hAnsi="仿宋" w:eastAsia="仿宋" w:cs="仿宋"/>
          <w:color w:val="auto"/>
          <w:sz w:val="24"/>
          <w:szCs w:val="24"/>
        </w:rPr>
        <w:t>成本的目的。</w:t>
      </w:r>
    </w:p>
    <w:p w14:paraId="34479388">
      <w:pPr>
        <w:keepNext w:val="0"/>
        <w:keepLines w:val="0"/>
        <w:pageBreakBefore w:val="0"/>
        <w:widowControl/>
        <w:numPr>
          <w:ilvl w:val="0"/>
          <w:numId w:val="1"/>
        </w:numPr>
        <w:kinsoku w:val="0"/>
        <w:wordWrap/>
        <w:overflowPunct/>
        <w:topLinePunct w:val="0"/>
        <w:autoSpaceDE w:val="0"/>
        <w:autoSpaceDN w:val="0"/>
        <w:bidi w:val="0"/>
        <w:adjustRightInd w:val="0"/>
        <w:snapToGrid w:val="0"/>
        <w:spacing w:line="500" w:lineRule="exact"/>
        <w:ind w:left="0" w:leftChars="0" w:firstLine="480" w:firstLineChars="200"/>
        <w:textAlignment w:val="baseline"/>
        <w:outlineLvl w:val="0"/>
        <w:rPr>
          <w:rFonts w:hint="eastAsia" w:ascii="仿宋" w:hAnsi="仿宋" w:eastAsia="仿宋" w:cs="仿宋"/>
          <w:color w:val="auto"/>
          <w:sz w:val="24"/>
          <w:szCs w:val="24"/>
        </w:rPr>
      </w:pPr>
      <w:bookmarkStart w:id="1" w:name="_Toc11388"/>
      <w:r>
        <w:rPr>
          <w:rFonts w:hint="eastAsia" w:ascii="仿宋" w:hAnsi="仿宋" w:eastAsia="仿宋" w:cs="仿宋"/>
          <w:color w:val="auto"/>
          <w:sz w:val="24"/>
          <w:szCs w:val="24"/>
        </w:rPr>
        <w:t>项目服务范围</w:t>
      </w:r>
      <w:bookmarkEnd w:id="1"/>
    </w:p>
    <w:p w14:paraId="785DACB4">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strike/>
          <w:color w:val="auto"/>
          <w:sz w:val="24"/>
          <w:szCs w:val="24"/>
        </w:rPr>
      </w:pPr>
      <w:r>
        <w:rPr>
          <w:rFonts w:hint="eastAsia" w:ascii="仿宋" w:hAnsi="仿宋" w:eastAsia="仿宋" w:cs="仿宋"/>
          <w:color w:val="auto"/>
          <w:sz w:val="24"/>
          <w:szCs w:val="24"/>
        </w:rPr>
        <w:t>1、全院所有电脑、打印机、复印机等。</w:t>
      </w:r>
    </w:p>
    <w:p w14:paraId="52AD5BF4">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2、全院各类电脑配件</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如</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扫描枪、读卡器、投影仪、高拍仪等。</w:t>
      </w:r>
    </w:p>
    <w:p w14:paraId="3DC4E5C7">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3、全院弱电线路和线路点位，含</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电话、网络、监控等。</w:t>
      </w:r>
    </w:p>
    <w:p w14:paraId="51AACCE0">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5、全院所有软件系统的安装与故障处理，含</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操作系统、驱动程序、院内业务系统及常用办公软件等。</w:t>
      </w:r>
    </w:p>
    <w:p w14:paraId="51D7C4BD">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7、按</w:t>
      </w:r>
      <w:r>
        <w:rPr>
          <w:rFonts w:hint="eastAsia" w:ascii="仿宋" w:hAnsi="仿宋" w:eastAsia="仿宋" w:cs="仿宋"/>
          <w:color w:val="auto"/>
          <w:sz w:val="24"/>
          <w:szCs w:val="24"/>
          <w:lang w:val="en-US" w:eastAsia="zh-CN"/>
        </w:rPr>
        <w:t>采购人</w:t>
      </w:r>
      <w:r>
        <w:rPr>
          <w:rFonts w:hint="eastAsia" w:ascii="仿宋" w:hAnsi="仿宋" w:eastAsia="仿宋" w:cs="仿宋"/>
          <w:color w:val="auto"/>
          <w:sz w:val="24"/>
          <w:szCs w:val="24"/>
        </w:rPr>
        <w:t>要求完成临时突发性任务，服从信息科安排。</w:t>
      </w:r>
    </w:p>
    <w:p w14:paraId="433E21D0">
      <w:pPr>
        <w:keepNext w:val="0"/>
        <w:keepLines w:val="0"/>
        <w:pageBreakBefore w:val="0"/>
        <w:widowControl/>
        <w:numPr>
          <w:ilvl w:val="0"/>
          <w:numId w:val="1"/>
        </w:numPr>
        <w:kinsoku w:val="0"/>
        <w:wordWrap/>
        <w:overflowPunct/>
        <w:topLinePunct w:val="0"/>
        <w:autoSpaceDE w:val="0"/>
        <w:autoSpaceDN w:val="0"/>
        <w:bidi w:val="0"/>
        <w:adjustRightInd w:val="0"/>
        <w:snapToGrid w:val="0"/>
        <w:spacing w:line="500" w:lineRule="exact"/>
        <w:ind w:left="0" w:leftChars="0" w:firstLine="480" w:firstLineChars="200"/>
        <w:textAlignment w:val="baseline"/>
        <w:outlineLvl w:val="0"/>
        <w:rPr>
          <w:rFonts w:hint="eastAsia" w:ascii="仿宋" w:hAnsi="仿宋" w:eastAsia="仿宋" w:cs="仿宋"/>
          <w:color w:val="auto"/>
          <w:sz w:val="24"/>
          <w:szCs w:val="24"/>
        </w:rPr>
      </w:pPr>
      <w:bookmarkStart w:id="2" w:name="_Toc6795"/>
      <w:r>
        <w:rPr>
          <w:rFonts w:hint="eastAsia" w:ascii="仿宋" w:hAnsi="仿宋" w:eastAsia="仿宋" w:cs="仿宋"/>
          <w:color w:val="auto"/>
          <w:sz w:val="24"/>
          <w:szCs w:val="24"/>
        </w:rPr>
        <w:t>项目服务内容及管理要求</w:t>
      </w:r>
      <w:bookmarkEnd w:id="2"/>
    </w:p>
    <w:p w14:paraId="44B280A1">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1、对全院各类打印设备（包含自助机内打印设备）提供设备维修、耗材更换、备件更换</w:t>
      </w:r>
      <w:r>
        <w:rPr>
          <w:rFonts w:hint="eastAsia" w:ascii="仿宋" w:hAnsi="仿宋" w:eastAsia="仿宋" w:cs="仿宋"/>
          <w:color w:val="auto"/>
          <w:sz w:val="24"/>
          <w:szCs w:val="24"/>
          <w:lang w:val="en-US" w:eastAsia="zh-CN"/>
        </w:rPr>
        <w:t>,</w:t>
      </w:r>
      <w:r>
        <w:rPr>
          <w:rFonts w:hint="eastAsia" w:ascii="仿宋" w:hAnsi="仿宋" w:eastAsia="仿宋" w:cs="仿宋"/>
          <w:color w:val="auto"/>
          <w:sz w:val="24"/>
          <w:szCs w:val="24"/>
        </w:rPr>
        <w:t>数据线、（电源主板）适配器、电源线更换服务，院方</w:t>
      </w:r>
      <w:r>
        <w:rPr>
          <w:rFonts w:hint="eastAsia" w:ascii="仿宋" w:hAnsi="仿宋" w:eastAsia="仿宋" w:cs="仿宋"/>
          <w:color w:val="auto"/>
          <w:sz w:val="24"/>
          <w:szCs w:val="24"/>
          <w:highlight w:val="none"/>
        </w:rPr>
        <w:t>除维保费、耗材费</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硒鼓类</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外</w:t>
      </w:r>
      <w:r>
        <w:rPr>
          <w:rFonts w:hint="eastAsia" w:ascii="仿宋" w:hAnsi="仿宋" w:eastAsia="仿宋" w:cs="仿宋"/>
          <w:color w:val="auto"/>
          <w:sz w:val="24"/>
          <w:szCs w:val="24"/>
        </w:rPr>
        <w:t>不再支付其它费用。打印复印质量需保障字迹色彩清晰、符合科室要求，条码打印机打印出的条码能被全院扫描设备正常识别。</w:t>
      </w:r>
    </w:p>
    <w:p w14:paraId="6484EF6C">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2、对全院扫描枪、读卡器提供维修服务，如无法维修则免费提供不低于原型号配置的新设备，保障程序正常使用。</w:t>
      </w:r>
    </w:p>
    <w:p w14:paraId="4AB9B174">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3、对全院计算机设备提供维保及维修服务（不含人为损坏），</w:t>
      </w:r>
      <w:r>
        <w:rPr>
          <w:rFonts w:hint="eastAsia" w:ascii="仿宋" w:hAnsi="仿宋" w:eastAsia="仿宋" w:cs="仿宋"/>
          <w:b w:val="0"/>
          <w:bCs w:val="0"/>
          <w:color w:val="auto"/>
          <w:sz w:val="24"/>
          <w:szCs w:val="24"/>
          <w:highlight w:val="none"/>
        </w:rPr>
        <w:t>维修</w:t>
      </w:r>
      <w:r>
        <w:rPr>
          <w:rFonts w:hint="eastAsia" w:ascii="仿宋" w:hAnsi="仿宋" w:eastAsia="仿宋" w:cs="仿宋"/>
          <w:b w:val="0"/>
          <w:bCs w:val="0"/>
          <w:color w:val="auto"/>
          <w:sz w:val="24"/>
          <w:szCs w:val="24"/>
          <w:highlight w:val="none"/>
          <w:lang w:val="en-US" w:eastAsia="zh-CN"/>
        </w:rPr>
        <w:t>过程中免费更换同等要求的</w:t>
      </w:r>
      <w:r>
        <w:rPr>
          <w:rFonts w:hint="eastAsia" w:ascii="仿宋" w:hAnsi="仿宋" w:eastAsia="仿宋" w:cs="仿宋"/>
          <w:b w:val="0"/>
          <w:bCs w:val="0"/>
          <w:color w:val="auto"/>
          <w:sz w:val="24"/>
          <w:szCs w:val="24"/>
          <w:highlight w:val="none"/>
        </w:rPr>
        <w:t>配件</w:t>
      </w:r>
      <w:r>
        <w:rPr>
          <w:rFonts w:hint="eastAsia" w:ascii="仿宋" w:hAnsi="仿宋" w:eastAsia="仿宋" w:cs="仿宋"/>
          <w:color w:val="auto"/>
          <w:sz w:val="24"/>
          <w:szCs w:val="24"/>
        </w:rPr>
        <w:t>（包含CPU、电源适配器、内存、硬盘、电源、主板、风扇等），对于台式电脑显示器故障免费维修，如台式电脑显示器故障无法维修则免费提供不低于原显示器配置的新设备</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耗材采购清单》中对应配件</w:t>
      </w:r>
      <w:r>
        <w:rPr>
          <w:rFonts w:hint="eastAsia" w:ascii="仿宋" w:hAnsi="仿宋" w:eastAsia="仿宋" w:cs="仿宋"/>
          <w:b w:val="0"/>
          <w:bCs w:val="0"/>
          <w:color w:val="auto"/>
          <w:sz w:val="24"/>
          <w:szCs w:val="24"/>
          <w:highlight w:val="none"/>
          <w:lang w:val="en-US" w:eastAsia="zh-CN"/>
        </w:rPr>
        <w:t>仅适用于</w:t>
      </w:r>
      <w:r>
        <w:rPr>
          <w:rFonts w:hint="eastAsia" w:ascii="仿宋" w:hAnsi="仿宋" w:eastAsia="仿宋" w:cs="仿宋"/>
          <w:color w:val="auto"/>
          <w:sz w:val="24"/>
          <w:szCs w:val="24"/>
          <w:lang w:val="en-US" w:eastAsia="zh-CN"/>
        </w:rPr>
        <w:t>新增配件，</w:t>
      </w:r>
      <w:r>
        <w:rPr>
          <w:rFonts w:hint="eastAsia" w:ascii="仿宋" w:hAnsi="仿宋" w:eastAsia="仿宋" w:cs="仿宋"/>
          <w:b w:val="0"/>
          <w:bCs w:val="0"/>
          <w:color w:val="auto"/>
          <w:sz w:val="24"/>
          <w:szCs w:val="24"/>
          <w:highlight w:val="none"/>
          <w:lang w:val="en-US" w:eastAsia="zh-CN"/>
        </w:rPr>
        <w:t>不适用于维修过程中需更换的同等要求配件。</w:t>
      </w:r>
    </w:p>
    <w:p w14:paraId="5A3105C2">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4、院内电脑操作系统安装,院内常用软件及各类办公软件的安装、设置、维护等。各类硬件驱动程序安装和升级，院内电脑安装系统补丁，杀毒软件等。</w:t>
      </w:r>
    </w:p>
    <w:p w14:paraId="253DFD77">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5、全院自助设备故障处理及耗材更换，不包含硬件设备的更换。</w:t>
      </w:r>
    </w:p>
    <w:p w14:paraId="49CEB496">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6、各类网络（包括工作间子系统）维护安装。按医院要求完成配线架到终端的网络和网络设备的检测维护、水晶头打线、网络模块安装、网线上配线架、网线固定等工作。</w:t>
      </w:r>
    </w:p>
    <w:p w14:paraId="244F98AE">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7、负责视频监控网络、电话线路（含大对数）、投影仪等设备维修。</w:t>
      </w:r>
    </w:p>
    <w:p w14:paraId="1BA3058B">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8、医院计算机硬件及相关外设的线路整理，保持整洁美观，线路不裸露在外。配合院方6S管理规范。</w:t>
      </w:r>
    </w:p>
    <w:p w14:paraId="5AE5360C">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9、每半年对全院电脑、打印机等设备巡检、保养，并有科室签字确认记录。驻场维护服务人员应制定设备保养任务划分和保养工作分解到每月的计划实施目标考核表，按片区科室合理落实到责任人，同时对责任人的维护保养工作完成量和完成质量要有考核，巡检保养须全覆盖并有纸质文档留存。</w:t>
      </w:r>
    </w:p>
    <w:p w14:paraId="005B695A">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10、服从医院安排的工作，按照要求的时限内完成医院安排的工作任务。</w:t>
      </w:r>
      <w:bookmarkStart w:id="3" w:name="OLE_LINK1"/>
      <w:r>
        <w:rPr>
          <w:rFonts w:hint="eastAsia" w:ascii="仿宋" w:hAnsi="仿宋" w:eastAsia="仿宋" w:cs="仿宋"/>
          <w:color w:val="auto"/>
          <w:sz w:val="24"/>
          <w:szCs w:val="24"/>
        </w:rPr>
        <w:t>驻场人员</w:t>
      </w:r>
      <w:bookmarkEnd w:id="3"/>
      <w:r>
        <w:rPr>
          <w:rFonts w:hint="eastAsia" w:ascii="仿宋" w:hAnsi="仿宋" w:eastAsia="仿宋" w:cs="仿宋"/>
          <w:color w:val="auto"/>
          <w:sz w:val="24"/>
          <w:szCs w:val="24"/>
        </w:rPr>
        <w:t>应确保每件工作任务是有结果或有回复，保证沟通顺畅做到闭环管理。每发生一次任务无结果或无反馈的，经核实后院方可提出处罚。</w:t>
      </w:r>
    </w:p>
    <w:p w14:paraId="70A6E9B9">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11、驻场人员对每日全部任务处理情况提供日报反馈给信息科，内容包含任务内容、完成情况、提出时间、完成时间、故障类型、设备编号,后续可根据实际工作情况进行调整。</w:t>
      </w:r>
    </w:p>
    <w:p w14:paraId="58483DFA">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12、</w:t>
      </w:r>
      <w:r>
        <w:rPr>
          <w:rFonts w:hint="eastAsia" w:ascii="仿宋" w:hAnsi="仿宋" w:eastAsia="仿宋" w:cs="仿宋"/>
          <w:color w:val="auto"/>
          <w:sz w:val="24"/>
          <w:szCs w:val="24"/>
          <w:lang w:eastAsia="zh-CN"/>
        </w:rPr>
        <w:t>成交供应商</w:t>
      </w:r>
      <w:r>
        <w:rPr>
          <w:rFonts w:hint="eastAsia" w:ascii="仿宋" w:hAnsi="仿宋" w:eastAsia="仿宋" w:cs="仿宋"/>
          <w:color w:val="auto"/>
          <w:sz w:val="24"/>
          <w:szCs w:val="24"/>
        </w:rPr>
        <w:t>需派项目经理对每周的同一台设备同一类故障在一周内报修三次以上的情况，进行科室现场调研，降低重复维修率，或者及时向上反应具有普遍性非硬件问题，由信息科统一协调处理，提升使用科室的服务体验。每周提供重复报修统计表，并有调研结论。</w:t>
      </w:r>
    </w:p>
    <w:p w14:paraId="16FDBCAC">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13、</w:t>
      </w:r>
      <w:r>
        <w:rPr>
          <w:rFonts w:hint="eastAsia" w:ascii="仿宋" w:hAnsi="仿宋" w:eastAsia="仿宋" w:cs="仿宋"/>
          <w:color w:val="auto"/>
          <w:sz w:val="24"/>
          <w:szCs w:val="24"/>
          <w:lang w:eastAsia="zh-CN"/>
        </w:rPr>
        <w:t>成交供应商</w:t>
      </w:r>
      <w:r>
        <w:rPr>
          <w:rFonts w:hint="eastAsia" w:ascii="仿宋" w:hAnsi="仿宋" w:eastAsia="仿宋" w:cs="仿宋"/>
          <w:color w:val="auto"/>
          <w:sz w:val="24"/>
          <w:szCs w:val="24"/>
        </w:rPr>
        <w:t>需针对驻场技术服务人员的服务态度、主动服务意识、技术服务流程等方面进行培训和监督考核，形成纸质文档记录。项目经理需每周有计划的下科室进行服务质量监督巡视。项目经理同时做好合同发生金额的每月汇总跟踪，与院方出入库部门协调。</w:t>
      </w:r>
    </w:p>
    <w:p w14:paraId="568B65EC">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14、根据维护服务标准建立维护日常台账并由</w:t>
      </w:r>
      <w:r>
        <w:rPr>
          <w:rFonts w:hint="eastAsia" w:ascii="仿宋" w:hAnsi="仿宋" w:eastAsia="仿宋" w:cs="仿宋"/>
          <w:color w:val="auto"/>
          <w:sz w:val="24"/>
          <w:szCs w:val="24"/>
          <w:lang w:eastAsia="zh-CN"/>
        </w:rPr>
        <w:t>采购人</w:t>
      </w:r>
      <w:r>
        <w:rPr>
          <w:rFonts w:hint="eastAsia" w:ascii="仿宋" w:hAnsi="仿宋" w:eastAsia="仿宋" w:cs="仿宋"/>
          <w:color w:val="auto"/>
          <w:sz w:val="24"/>
          <w:szCs w:val="24"/>
        </w:rPr>
        <w:t>确认维护事项。</w:t>
      </w:r>
    </w:p>
    <w:p w14:paraId="1A28BFA7">
      <w:pPr>
        <w:keepNext w:val="0"/>
        <w:keepLines w:val="0"/>
        <w:pageBreakBefore w:val="0"/>
        <w:widowControl/>
        <w:numPr>
          <w:ilvl w:val="0"/>
          <w:numId w:val="1"/>
        </w:numPr>
        <w:kinsoku w:val="0"/>
        <w:wordWrap/>
        <w:overflowPunct/>
        <w:topLinePunct w:val="0"/>
        <w:autoSpaceDE w:val="0"/>
        <w:autoSpaceDN w:val="0"/>
        <w:bidi w:val="0"/>
        <w:adjustRightInd w:val="0"/>
        <w:snapToGrid w:val="0"/>
        <w:spacing w:line="500" w:lineRule="exact"/>
        <w:ind w:left="0" w:leftChars="0" w:firstLine="480" w:firstLineChars="200"/>
        <w:textAlignment w:val="baseline"/>
        <w:outlineLvl w:val="0"/>
        <w:rPr>
          <w:rFonts w:hint="eastAsia" w:ascii="仿宋" w:hAnsi="仿宋" w:eastAsia="仿宋" w:cs="仿宋"/>
          <w:color w:val="auto"/>
          <w:sz w:val="24"/>
          <w:szCs w:val="24"/>
        </w:rPr>
      </w:pPr>
      <w:bookmarkStart w:id="4" w:name="_Toc32438"/>
      <w:r>
        <w:rPr>
          <w:rFonts w:hint="eastAsia" w:ascii="仿宋" w:hAnsi="仿宋" w:eastAsia="仿宋" w:cs="仿宋"/>
          <w:color w:val="auto"/>
          <w:sz w:val="24"/>
          <w:szCs w:val="24"/>
        </w:rPr>
        <w:t>维修处理标准</w:t>
      </w:r>
      <w:bookmarkEnd w:id="4"/>
    </w:p>
    <w:p w14:paraId="54BC5113">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1、</w:t>
      </w:r>
      <w:r>
        <w:rPr>
          <w:rFonts w:hint="eastAsia" w:ascii="仿宋" w:hAnsi="仿宋" w:eastAsia="仿宋" w:cs="仿宋"/>
          <w:color w:val="auto"/>
          <w:sz w:val="24"/>
          <w:szCs w:val="24"/>
          <w:lang w:val="en-US" w:eastAsia="zh-CN"/>
        </w:rPr>
        <w:t>成交供应商指派</w:t>
      </w:r>
      <w:r>
        <w:rPr>
          <w:rFonts w:hint="eastAsia" w:ascii="仿宋" w:hAnsi="仿宋" w:eastAsia="仿宋" w:cs="仿宋"/>
          <w:color w:val="auto"/>
          <w:sz w:val="24"/>
          <w:szCs w:val="24"/>
        </w:rPr>
        <w:t>至少</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名具有独立工作能力的技术维护人员工作日常驻医院，处理医院各科室的报修任务，服从医院工作安排，周末节假日（全年每天）及上班八小时外实行叫班制，所有维修单必须经过使用科室负责人或值班医生(护士)签字确认；</w:t>
      </w:r>
      <w:r>
        <w:rPr>
          <w:rFonts w:hint="eastAsia" w:ascii="仿宋" w:hAnsi="仿宋" w:eastAsia="仿宋" w:cs="仿宋"/>
          <w:color w:val="auto"/>
          <w:sz w:val="24"/>
          <w:szCs w:val="24"/>
          <w:lang w:val="en-US" w:eastAsia="zh-CN"/>
        </w:rPr>
        <w:t>成交供应商</w:t>
      </w:r>
      <w:r>
        <w:rPr>
          <w:rFonts w:hint="eastAsia" w:ascii="仿宋" w:hAnsi="仿宋" w:eastAsia="仿宋" w:cs="仿宋"/>
          <w:color w:val="auto"/>
          <w:sz w:val="24"/>
          <w:szCs w:val="24"/>
        </w:rPr>
        <w:t>指派1名项目经理负责与医院对接日常送货、工作协调、对账等工作</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项目经理与技术维护人员不能为同一个人</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未经院方同意</w:t>
      </w:r>
      <w:r>
        <w:rPr>
          <w:rFonts w:hint="eastAsia" w:ascii="仿宋" w:hAnsi="仿宋" w:eastAsia="仿宋" w:cs="仿宋"/>
          <w:color w:val="auto"/>
          <w:sz w:val="24"/>
          <w:szCs w:val="24"/>
          <w:lang w:eastAsia="zh-CN"/>
        </w:rPr>
        <w:t>不能随意更换</w:t>
      </w:r>
      <w:r>
        <w:rPr>
          <w:rFonts w:hint="eastAsia" w:ascii="仿宋" w:hAnsi="仿宋" w:eastAsia="仿宋" w:cs="仿宋"/>
          <w:color w:val="auto"/>
          <w:sz w:val="24"/>
          <w:szCs w:val="24"/>
          <w:lang w:val="en-US" w:eastAsia="zh-CN"/>
        </w:rPr>
        <w:t>人员</w:t>
      </w:r>
      <w:r>
        <w:rPr>
          <w:rFonts w:hint="eastAsia" w:ascii="仿宋" w:hAnsi="仿宋" w:eastAsia="仿宋" w:cs="仿宋"/>
          <w:color w:val="auto"/>
          <w:sz w:val="24"/>
          <w:szCs w:val="24"/>
        </w:rPr>
        <w:t>。</w:t>
      </w:r>
    </w:p>
    <w:p w14:paraId="5712578C">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2、</w:t>
      </w:r>
      <w:r>
        <w:rPr>
          <w:rFonts w:hint="eastAsia" w:ascii="仿宋" w:hAnsi="仿宋" w:eastAsia="仿宋" w:cs="仿宋"/>
          <w:color w:val="auto"/>
          <w:sz w:val="24"/>
          <w:szCs w:val="24"/>
          <w:lang w:val="en-US" w:eastAsia="zh-CN"/>
        </w:rPr>
        <w:t>故</w:t>
      </w:r>
      <w:r>
        <w:rPr>
          <w:rFonts w:hint="eastAsia" w:ascii="仿宋" w:hAnsi="仿宋" w:eastAsia="仿宋" w:cs="仿宋"/>
          <w:color w:val="auto"/>
          <w:sz w:val="24"/>
          <w:szCs w:val="24"/>
        </w:rPr>
        <w:t>障报</w:t>
      </w:r>
      <w:r>
        <w:rPr>
          <w:rFonts w:hint="eastAsia" w:ascii="仿宋" w:hAnsi="仿宋" w:eastAsia="仿宋" w:cs="仿宋"/>
          <w:color w:val="auto"/>
          <w:sz w:val="24"/>
          <w:szCs w:val="24"/>
          <w:lang w:val="en-US" w:eastAsia="zh-CN"/>
        </w:rPr>
        <w:t>修</w:t>
      </w:r>
      <w:r>
        <w:rPr>
          <w:rFonts w:hint="eastAsia" w:ascii="仿宋" w:hAnsi="仿宋" w:eastAsia="仿宋" w:cs="仿宋"/>
          <w:color w:val="auto"/>
          <w:sz w:val="24"/>
          <w:szCs w:val="24"/>
        </w:rPr>
        <w:t>按照任务顺序及时进入现场维修，</w:t>
      </w:r>
      <w:r>
        <w:rPr>
          <w:rFonts w:hint="eastAsia" w:ascii="仿宋" w:hAnsi="仿宋" w:eastAsia="仿宋" w:cs="仿宋"/>
          <w:color w:val="auto"/>
          <w:sz w:val="24"/>
          <w:szCs w:val="24"/>
          <w:highlight w:val="none"/>
        </w:rPr>
        <w:t>7*24小时全天20分钟内需到达现场处理（任务高峰期时间可适当延长），如</w:t>
      </w:r>
      <w:r>
        <w:rPr>
          <w:rFonts w:hint="eastAsia" w:ascii="仿宋" w:hAnsi="仿宋" w:eastAsia="仿宋" w:cs="仿宋"/>
          <w:color w:val="auto"/>
          <w:sz w:val="24"/>
          <w:szCs w:val="24"/>
        </w:rPr>
        <w:t>出现短时间内反复报修的情况，若确定是机器的问题，必须和使用科室说明情况，若是其它问题则向信息科反馈，配合信息科协调处理。</w:t>
      </w:r>
    </w:p>
    <w:p w14:paraId="67BD240E">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3、如设备故障现场半小时内无法解决，经使用科室在维修单上签字确认方可</w:t>
      </w:r>
      <w:r>
        <w:rPr>
          <w:rFonts w:hint="eastAsia" w:ascii="仿宋" w:hAnsi="仿宋" w:eastAsia="仿宋" w:cs="仿宋"/>
          <w:color w:val="auto"/>
          <w:sz w:val="24"/>
          <w:szCs w:val="24"/>
          <w:highlight w:val="none"/>
        </w:rPr>
        <w:t>外修</w:t>
      </w:r>
      <w:r>
        <w:rPr>
          <w:rFonts w:hint="eastAsia" w:ascii="仿宋" w:hAnsi="仿宋" w:eastAsia="仿宋" w:cs="仿宋"/>
          <w:color w:val="auto"/>
          <w:sz w:val="24"/>
          <w:szCs w:val="24"/>
        </w:rPr>
        <w:t>，同时要提供备机替换使用。所有外修设备，2个工作日内回复维修情况，需要外修的15天内需维修完成。项目经理负责外修设备和备用设备的跟踪管理登记工作，并有纸质登记表留存。</w:t>
      </w:r>
    </w:p>
    <w:p w14:paraId="60F18588">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lang w:eastAsia="zh-CN"/>
        </w:rPr>
      </w:pPr>
      <w:r>
        <w:rPr>
          <w:rFonts w:hint="eastAsia" w:ascii="仿宋" w:hAnsi="仿宋" w:eastAsia="仿宋" w:cs="仿宋"/>
          <w:color w:val="auto"/>
          <w:sz w:val="24"/>
          <w:szCs w:val="24"/>
        </w:rPr>
        <w:t>4、医院中需要保留各类型</w:t>
      </w:r>
      <w:r>
        <w:rPr>
          <w:rFonts w:hint="eastAsia" w:ascii="仿宋" w:hAnsi="仿宋" w:eastAsia="仿宋" w:cs="仿宋"/>
          <w:color w:val="auto"/>
          <w:sz w:val="24"/>
          <w:szCs w:val="24"/>
          <w:lang w:val="en-US" w:eastAsia="zh-CN"/>
        </w:rPr>
        <w:t>设备</w:t>
      </w:r>
      <w:r>
        <w:rPr>
          <w:rFonts w:hint="eastAsia" w:ascii="仿宋" w:hAnsi="仿宋" w:eastAsia="仿宋" w:cs="仿宋"/>
          <w:color w:val="auto"/>
          <w:sz w:val="24"/>
          <w:szCs w:val="24"/>
        </w:rPr>
        <w:t>的备用机</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备用机预留数量不少于</w:t>
      </w:r>
      <w:r>
        <w:rPr>
          <w:rFonts w:hint="eastAsia" w:ascii="仿宋" w:hAnsi="仿宋" w:eastAsia="仿宋" w:cs="仿宋"/>
          <w:color w:val="auto"/>
          <w:sz w:val="24"/>
          <w:szCs w:val="24"/>
          <w:lang w:eastAsia="zh-CN"/>
        </w:rPr>
        <w:t>：</w:t>
      </w:r>
    </w:p>
    <w:p w14:paraId="5FD53026">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电脑备用机2台，配置不低于十代I5、16G内存；</w:t>
      </w:r>
    </w:p>
    <w:p w14:paraId="44060C83">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2）</w:t>
      </w:r>
      <w:r>
        <w:rPr>
          <w:rFonts w:hint="eastAsia" w:ascii="仿宋" w:hAnsi="仿宋" w:eastAsia="仿宋" w:cs="仿宋"/>
          <w:color w:val="auto"/>
          <w:sz w:val="24"/>
          <w:szCs w:val="24"/>
        </w:rPr>
        <w:t>条码打印机1台</w:t>
      </w:r>
      <w:r>
        <w:rPr>
          <w:rFonts w:hint="eastAsia" w:ascii="仿宋" w:hAnsi="仿宋" w:eastAsia="仿宋" w:cs="仿宋"/>
          <w:color w:val="auto"/>
          <w:sz w:val="24"/>
          <w:szCs w:val="24"/>
          <w:lang w:eastAsia="zh-CN"/>
        </w:rPr>
        <w:t>；</w:t>
      </w:r>
    </w:p>
    <w:p w14:paraId="1DE6DC66">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针式打印机1台</w:t>
      </w:r>
      <w:r>
        <w:rPr>
          <w:rFonts w:hint="eastAsia" w:ascii="仿宋" w:hAnsi="仿宋" w:eastAsia="仿宋" w:cs="仿宋"/>
          <w:color w:val="auto"/>
          <w:sz w:val="24"/>
          <w:szCs w:val="24"/>
          <w:lang w:eastAsia="zh-CN"/>
        </w:rPr>
        <w:t>；</w:t>
      </w:r>
    </w:p>
    <w:p w14:paraId="5CCFE9C3">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4）</w:t>
      </w:r>
      <w:r>
        <w:rPr>
          <w:rFonts w:hint="eastAsia" w:ascii="仿宋" w:hAnsi="仿宋" w:eastAsia="仿宋" w:cs="仿宋"/>
          <w:color w:val="auto"/>
          <w:sz w:val="24"/>
          <w:szCs w:val="24"/>
        </w:rPr>
        <w:t>热敏打印机1台</w:t>
      </w:r>
      <w:r>
        <w:rPr>
          <w:rFonts w:hint="eastAsia" w:ascii="仿宋" w:hAnsi="仿宋" w:eastAsia="仿宋" w:cs="仿宋"/>
          <w:color w:val="auto"/>
          <w:sz w:val="24"/>
          <w:szCs w:val="24"/>
          <w:lang w:eastAsia="zh-CN"/>
        </w:rPr>
        <w:t>；</w:t>
      </w:r>
    </w:p>
    <w:p w14:paraId="1D3CF3D6">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5）</w:t>
      </w:r>
      <w:r>
        <w:rPr>
          <w:rFonts w:hint="eastAsia" w:ascii="仿宋" w:hAnsi="仿宋" w:eastAsia="仿宋" w:cs="仿宋"/>
          <w:color w:val="auto"/>
          <w:sz w:val="24"/>
          <w:szCs w:val="24"/>
        </w:rPr>
        <w:t>激光打印机2台</w:t>
      </w:r>
      <w:r>
        <w:rPr>
          <w:rFonts w:hint="eastAsia" w:ascii="仿宋" w:hAnsi="仿宋" w:eastAsia="仿宋" w:cs="仿宋"/>
          <w:color w:val="auto"/>
          <w:sz w:val="24"/>
          <w:szCs w:val="24"/>
          <w:lang w:eastAsia="zh-CN"/>
        </w:rPr>
        <w:t>；</w:t>
      </w:r>
    </w:p>
    <w:p w14:paraId="10C7BCC4">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6）</w:t>
      </w:r>
      <w:r>
        <w:rPr>
          <w:rFonts w:hint="eastAsia" w:ascii="仿宋" w:hAnsi="仿宋" w:eastAsia="仿宋" w:cs="仿宋"/>
          <w:color w:val="auto"/>
          <w:sz w:val="24"/>
          <w:szCs w:val="24"/>
        </w:rPr>
        <w:t>激光打印复印一体机1台</w:t>
      </w:r>
      <w:r>
        <w:rPr>
          <w:rFonts w:hint="eastAsia" w:ascii="仿宋" w:hAnsi="仿宋" w:eastAsia="仿宋" w:cs="仿宋"/>
          <w:color w:val="auto"/>
          <w:sz w:val="24"/>
          <w:szCs w:val="24"/>
          <w:lang w:eastAsia="zh-CN"/>
        </w:rPr>
        <w:t>；</w:t>
      </w:r>
    </w:p>
    <w:p w14:paraId="199A1D74">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7）</w:t>
      </w:r>
      <w:r>
        <w:rPr>
          <w:rFonts w:hint="eastAsia" w:ascii="仿宋" w:hAnsi="仿宋" w:eastAsia="仿宋" w:cs="仿宋"/>
          <w:color w:val="auto"/>
          <w:sz w:val="24"/>
          <w:szCs w:val="24"/>
        </w:rPr>
        <w:t>彩色打印机1台</w:t>
      </w:r>
      <w:r>
        <w:rPr>
          <w:rFonts w:hint="eastAsia" w:ascii="仿宋" w:hAnsi="仿宋" w:eastAsia="仿宋" w:cs="仿宋"/>
          <w:color w:val="auto"/>
          <w:sz w:val="24"/>
          <w:szCs w:val="24"/>
          <w:lang w:eastAsia="zh-CN"/>
        </w:rPr>
        <w:t>；</w:t>
      </w:r>
    </w:p>
    <w:p w14:paraId="0060CFAB">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备用机能正常使用，达到使用人要求</w:t>
      </w:r>
      <w:r>
        <w:rPr>
          <w:rFonts w:hint="eastAsia" w:ascii="仿宋" w:hAnsi="仿宋" w:eastAsia="仿宋" w:cs="仿宋"/>
          <w:color w:val="auto"/>
          <w:sz w:val="24"/>
          <w:szCs w:val="24"/>
        </w:rPr>
        <w:t>，服务期结束时还存在未修好设备，则免费提供同型号设备使用。</w:t>
      </w:r>
    </w:p>
    <w:p w14:paraId="2A4BAC96">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5、维修的物品要保证半年内无再次损坏（人为原因除外）。在半年之内如因材料或工艺原因导致的损坏需无条件免费返修至合格。</w:t>
      </w:r>
    </w:p>
    <w:p w14:paraId="7D8D7EB4">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outlineLvl w:val="1"/>
        <w:rPr>
          <w:rFonts w:hint="eastAsia" w:ascii="仿宋" w:hAnsi="仿宋" w:eastAsia="仿宋" w:cs="仿宋"/>
          <w:color w:val="auto"/>
          <w:sz w:val="24"/>
          <w:szCs w:val="24"/>
        </w:rPr>
      </w:pPr>
      <w:bookmarkStart w:id="5" w:name="_Toc13344"/>
      <w:r>
        <w:rPr>
          <w:rFonts w:hint="eastAsia" w:ascii="仿宋" w:hAnsi="仿宋" w:eastAsia="仿宋" w:cs="仿宋"/>
          <w:color w:val="auto"/>
          <w:sz w:val="24"/>
          <w:szCs w:val="24"/>
        </w:rPr>
        <w:t>6、各类弱电线路按照国家综合布线标准进行实施维修：</w:t>
      </w:r>
      <w:bookmarkEnd w:id="5"/>
    </w:p>
    <w:p w14:paraId="2A23DF3F">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6.1、室内和室外每个信息点要做标号，标号要求使用机打的不干胶标签（PET材质）粘贴在模块面板上，网络模块按EIA/TIA568B标准，进行正确安装。</w:t>
      </w:r>
    </w:p>
    <w:p w14:paraId="50659CD1">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6.2、机房和弱电井的进线，网线打上配线架模块之前，要求使用机打的防冻阻燃PVC套管做标号，标号套管距离配线架模块10厘米远或在网线理线环、网线理线支架之前，配线架正面，每个端口要贴上与之对应的信息点编号。</w:t>
      </w:r>
    </w:p>
    <w:p w14:paraId="27A34FD9">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6.3、布线中，包含网络跳线、光纤跳线的，需要将跳线插入交换机一端，贴上机打与端口编号一致的不干胶标签。</w:t>
      </w:r>
    </w:p>
    <w:p w14:paraId="6DFEB5A6">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6.4、每条线路要求8芯都通畅，不能有短路、断路，每条线路损耗标准按GB50311-2016标准或能通过福禄克DSX-600测试仪GB/T50312-2016 Cat 5e Ch 和GB/T50312-2016 Cat 6 Ch测试，验收时候要提供福禄克测试通过报告。</w:t>
      </w:r>
    </w:p>
    <w:p w14:paraId="23130C0A">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6.5、布线完成后，所有信息点的点位编号及端口对应关系，需提供EXCEL文档详细标明（包含室内、室外信息点位的地理位置，信息点编号以及室内、室外信息点位与配线架端口标号的对应表）。</w:t>
      </w:r>
    </w:p>
    <w:p w14:paraId="6D7D5746">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7、视频监控网络、电话线路（含大对数）、投影仪等设备维修需保障使用正常且满足使用科室需求。</w:t>
      </w:r>
    </w:p>
    <w:p w14:paraId="43F9B519">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8、根据国家法律法规将更换下来的报废电子产品、硒鼓墨盒等交由有相关资质的企业处理，否则造成的一切后果由</w:t>
      </w:r>
      <w:r>
        <w:rPr>
          <w:rFonts w:hint="eastAsia" w:ascii="仿宋" w:hAnsi="仿宋" w:eastAsia="仿宋" w:cs="仿宋"/>
          <w:color w:val="auto"/>
          <w:sz w:val="24"/>
          <w:szCs w:val="24"/>
          <w:lang w:eastAsia="zh-CN"/>
        </w:rPr>
        <w:t>成交供应商</w:t>
      </w:r>
      <w:r>
        <w:rPr>
          <w:rFonts w:hint="eastAsia" w:ascii="仿宋" w:hAnsi="仿宋" w:eastAsia="仿宋" w:cs="仿宋"/>
          <w:color w:val="auto"/>
          <w:sz w:val="24"/>
          <w:szCs w:val="24"/>
        </w:rPr>
        <w:t>承担。</w:t>
      </w:r>
    </w:p>
    <w:p w14:paraId="6BB9CD09">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9、服务人员带工牌上岗，按医院标准着装整洁，态度和蔼，服务热情，响应及时。</w:t>
      </w:r>
    </w:p>
    <w:p w14:paraId="09BF01CF">
      <w:pPr>
        <w:keepNext w:val="0"/>
        <w:keepLines w:val="0"/>
        <w:pageBreakBefore w:val="0"/>
        <w:widowControl/>
        <w:numPr>
          <w:ilvl w:val="0"/>
          <w:numId w:val="1"/>
        </w:numPr>
        <w:kinsoku w:val="0"/>
        <w:wordWrap/>
        <w:overflowPunct/>
        <w:topLinePunct w:val="0"/>
        <w:autoSpaceDE w:val="0"/>
        <w:autoSpaceDN w:val="0"/>
        <w:bidi w:val="0"/>
        <w:adjustRightInd w:val="0"/>
        <w:snapToGrid w:val="0"/>
        <w:spacing w:line="500" w:lineRule="exact"/>
        <w:ind w:left="0" w:leftChars="0" w:firstLine="480" w:firstLineChars="200"/>
        <w:textAlignment w:val="baseline"/>
        <w:outlineLvl w:val="0"/>
        <w:rPr>
          <w:rFonts w:hint="eastAsia" w:ascii="仿宋" w:hAnsi="仿宋" w:eastAsia="仿宋" w:cs="仿宋"/>
          <w:color w:val="auto"/>
          <w:sz w:val="24"/>
          <w:szCs w:val="24"/>
        </w:rPr>
      </w:pPr>
      <w:bookmarkStart w:id="6" w:name="_Toc26445"/>
      <w:r>
        <w:rPr>
          <w:rFonts w:hint="eastAsia" w:ascii="仿宋" w:hAnsi="仿宋" w:eastAsia="仿宋" w:cs="仿宋"/>
          <w:color w:val="auto"/>
          <w:sz w:val="24"/>
          <w:szCs w:val="24"/>
        </w:rPr>
        <w:t>维护服务标准</w:t>
      </w:r>
      <w:bookmarkEnd w:id="6"/>
    </w:p>
    <w:p w14:paraId="3046A326">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outlineLvl w:val="1"/>
        <w:rPr>
          <w:rFonts w:hint="eastAsia" w:ascii="仿宋" w:hAnsi="仿宋" w:eastAsia="仿宋" w:cs="仿宋"/>
          <w:color w:val="auto"/>
          <w:sz w:val="24"/>
          <w:szCs w:val="24"/>
        </w:rPr>
      </w:pPr>
      <w:bookmarkStart w:id="7" w:name="_Toc10231"/>
      <w:r>
        <w:rPr>
          <w:rFonts w:hint="eastAsia" w:ascii="仿宋" w:hAnsi="仿宋" w:eastAsia="仿宋" w:cs="仿宋"/>
          <w:color w:val="auto"/>
          <w:sz w:val="24"/>
          <w:szCs w:val="24"/>
        </w:rPr>
        <w:t>1、电脑巡检标准</w:t>
      </w:r>
      <w:bookmarkEnd w:id="7"/>
    </w:p>
    <w:p w14:paraId="46FDDF67">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1）硬件排查：电脑有无异响，电脑风扇清灰，存储磁盘的健康检测。电脑及相关外设的线路整理。设备及外设外观的清洁、保养。常备保养工具：毛刷、专业吸尘器、专业清洁剂、清洁海绵。并制定院方认可的保养流程手册</w:t>
      </w:r>
    </w:p>
    <w:p w14:paraId="49644353">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（2）软件检查：操作系统有无异常，比如开机速度、运行情况；杀毒软件、时间同步是否正常；业务系统是否能正常运行。</w:t>
      </w:r>
    </w:p>
    <w:p w14:paraId="0B0E7739">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3）每半年进行一次全院性巡检。对于硬件排查需记录：设备编号、购入时间、有无异响、灰尘清理、线路整理。记录科室全部电脑巡检情况，并有科室负责人签字；对于软件系统排查需记录：院区、楼层、使用部门、所在区域、资产编码、设备类型、品牌型号、操作系统版本、电脑IP、MAC地址、计算机名、网络类型、时间同步、无线网卡、杀毒软件版本、补丁更新，对全院电脑进行排查生成一张总表，由信息科确认。对于具体需巡检和记录的事项后续根据实际工作情况可做修改。</w:t>
      </w:r>
    </w:p>
    <w:p w14:paraId="2F563BD2">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outlineLvl w:val="1"/>
        <w:rPr>
          <w:rFonts w:hint="eastAsia" w:ascii="仿宋" w:hAnsi="仿宋" w:eastAsia="仿宋" w:cs="仿宋"/>
          <w:color w:val="auto"/>
          <w:sz w:val="24"/>
          <w:szCs w:val="24"/>
        </w:rPr>
      </w:pPr>
      <w:bookmarkStart w:id="8" w:name="_Toc6679"/>
      <w:r>
        <w:rPr>
          <w:rFonts w:hint="eastAsia" w:ascii="仿宋" w:hAnsi="仿宋" w:eastAsia="仿宋" w:cs="仿宋"/>
          <w:color w:val="auto"/>
          <w:sz w:val="24"/>
          <w:szCs w:val="24"/>
        </w:rPr>
        <w:t>2、打印机、复印机维护标准</w:t>
      </w:r>
      <w:bookmarkEnd w:id="8"/>
    </w:p>
    <w:p w14:paraId="30CDAA86">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1）硬件维护：机械部件的日常润滑维护：比如针式打印机的字车轴、打印机的传动齿轮的润滑保养；打印时有无异响，走纸通道的清洁保养；打印质量的检测评估，比如针式打印机有无断针；激光打印机的黑边、重影、不清晰；保证条码及热敏打印机打印的条码能够被识别、标签定位准确；复印机成像组件、定影组件检测保养。设备外观的清洁、保养。条码打印机、热敏打印机打印出的条码清晰程度要可被院内全部设备扫描。制定院方认可标准化的激光、针式、喷墨、条码等各类型打印机硬件和驱动软件维护保养工作流程。</w:t>
      </w:r>
    </w:p>
    <w:p w14:paraId="45D180E1">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2）每半年进行一次全院性巡检，记录打印机型号、资产编码、品牌型号、院区、楼层、使用部门、所在区域并绘制一张总表由信息科确认。每半年进行一次维护保养，对维护事项进行记录。由科室负责人签字确认，</w:t>
      </w:r>
    </w:p>
    <w:p w14:paraId="03D8A399">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outlineLvl w:val="1"/>
        <w:rPr>
          <w:rFonts w:hint="eastAsia" w:ascii="仿宋" w:hAnsi="仿宋" w:eastAsia="仿宋" w:cs="仿宋"/>
          <w:color w:val="auto"/>
          <w:sz w:val="24"/>
          <w:szCs w:val="24"/>
        </w:rPr>
      </w:pPr>
      <w:bookmarkStart w:id="9" w:name="_Toc8014"/>
      <w:r>
        <w:rPr>
          <w:rFonts w:hint="eastAsia" w:ascii="仿宋" w:hAnsi="仿宋" w:eastAsia="仿宋" w:cs="仿宋"/>
          <w:color w:val="auto"/>
          <w:sz w:val="24"/>
          <w:szCs w:val="24"/>
        </w:rPr>
        <w:t>3、软件维护标准</w:t>
      </w:r>
      <w:bookmarkEnd w:id="9"/>
    </w:p>
    <w:p w14:paraId="433DFE22">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（1）操作系统及业务软件的安装和版本更新。协同信息科为各科室的软件运行提供维护服务。</w:t>
      </w:r>
    </w:p>
    <w:p w14:paraId="71C6B0F2">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（2）按照信息科要求对软件部分功能进行测试，并截图记录。</w:t>
      </w:r>
    </w:p>
    <w:p w14:paraId="3AA27F1E">
      <w:pPr>
        <w:keepNext w:val="0"/>
        <w:keepLines w:val="0"/>
        <w:pageBreakBefore w:val="0"/>
        <w:widowControl/>
        <w:numPr>
          <w:ilvl w:val="0"/>
          <w:numId w:val="1"/>
        </w:numPr>
        <w:kinsoku w:val="0"/>
        <w:wordWrap/>
        <w:overflowPunct/>
        <w:topLinePunct w:val="0"/>
        <w:autoSpaceDE w:val="0"/>
        <w:autoSpaceDN w:val="0"/>
        <w:bidi w:val="0"/>
        <w:adjustRightInd w:val="0"/>
        <w:snapToGrid w:val="0"/>
        <w:spacing w:line="500" w:lineRule="exact"/>
        <w:ind w:left="0" w:leftChars="0" w:firstLine="480" w:firstLineChars="200"/>
        <w:textAlignment w:val="baseline"/>
        <w:outlineLvl w:val="0"/>
        <w:rPr>
          <w:rFonts w:hint="eastAsia" w:ascii="仿宋" w:hAnsi="仿宋" w:eastAsia="仿宋" w:cs="仿宋"/>
          <w:color w:val="auto"/>
          <w:sz w:val="24"/>
          <w:szCs w:val="24"/>
        </w:rPr>
      </w:pPr>
      <w:bookmarkStart w:id="10" w:name="_Toc21777"/>
      <w:r>
        <w:rPr>
          <w:rFonts w:hint="eastAsia" w:ascii="仿宋" w:hAnsi="仿宋" w:eastAsia="仿宋" w:cs="仿宋"/>
          <w:color w:val="auto"/>
          <w:sz w:val="24"/>
          <w:szCs w:val="24"/>
        </w:rPr>
        <w:t>处罚条款</w:t>
      </w:r>
      <w:bookmarkEnd w:id="10"/>
    </w:p>
    <w:p w14:paraId="06E1F99A">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1、驻场工作人员需要</w:t>
      </w:r>
      <w:r>
        <w:rPr>
          <w:rFonts w:hint="eastAsia" w:ascii="仿宋" w:hAnsi="仿宋" w:eastAsia="仿宋" w:cs="仿宋"/>
          <w:color w:val="auto"/>
          <w:sz w:val="24"/>
          <w:szCs w:val="24"/>
          <w:lang w:val="en-US" w:eastAsia="zh-CN"/>
        </w:rPr>
        <w:t>按时</w:t>
      </w:r>
      <w:r>
        <w:rPr>
          <w:rFonts w:hint="eastAsia" w:ascii="仿宋" w:hAnsi="仿宋" w:eastAsia="仿宋" w:cs="仿宋"/>
          <w:color w:val="auto"/>
          <w:sz w:val="24"/>
          <w:szCs w:val="24"/>
        </w:rPr>
        <w:t>打卡</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可选择院方或者公司自有打卡方式</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，工作时间与院方一致。迟到超过半小时或缺卡则一次扣款</w:t>
      </w:r>
      <w:r>
        <w:rPr>
          <w:rFonts w:hint="eastAsia" w:ascii="仿宋" w:hAnsi="仿宋" w:eastAsia="仿宋" w:cs="仿宋"/>
          <w:color w:val="auto"/>
          <w:sz w:val="24"/>
          <w:szCs w:val="24"/>
          <w:lang w:val="en-US" w:eastAsia="zh-CN"/>
        </w:rPr>
        <w:t>100</w:t>
      </w:r>
      <w:r>
        <w:rPr>
          <w:rFonts w:hint="eastAsia" w:ascii="仿宋" w:hAnsi="仿宋" w:eastAsia="仿宋" w:cs="仿宋"/>
          <w:color w:val="auto"/>
          <w:sz w:val="24"/>
          <w:szCs w:val="24"/>
        </w:rPr>
        <w:t>元。</w:t>
      </w:r>
    </w:p>
    <w:p w14:paraId="21293D9C">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2、当日任务未处理且未说明原因，一次扣款</w:t>
      </w:r>
      <w:r>
        <w:rPr>
          <w:rFonts w:hint="eastAsia" w:ascii="仿宋" w:hAnsi="仿宋" w:eastAsia="仿宋" w:cs="仿宋"/>
          <w:color w:val="auto"/>
          <w:sz w:val="24"/>
          <w:szCs w:val="24"/>
          <w:lang w:val="en-US" w:eastAsia="zh-CN"/>
        </w:rPr>
        <w:t>100</w:t>
      </w:r>
      <w:r>
        <w:rPr>
          <w:rFonts w:hint="eastAsia" w:ascii="仿宋" w:hAnsi="仿宋" w:eastAsia="仿宋" w:cs="仿宋"/>
          <w:color w:val="auto"/>
          <w:sz w:val="24"/>
          <w:szCs w:val="24"/>
        </w:rPr>
        <w:t>元。</w:t>
      </w:r>
    </w:p>
    <w:p w14:paraId="3090DCFD">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、外修设备15天内未外修完成且未提供备用机的，超时一天扣款</w:t>
      </w:r>
      <w:r>
        <w:rPr>
          <w:rFonts w:hint="eastAsia" w:ascii="仿宋" w:hAnsi="仿宋" w:eastAsia="仿宋" w:cs="仿宋"/>
          <w:color w:val="auto"/>
          <w:sz w:val="24"/>
          <w:szCs w:val="24"/>
          <w:lang w:val="en-US" w:eastAsia="zh-CN"/>
        </w:rPr>
        <w:t>2</w:t>
      </w:r>
      <w:r>
        <w:rPr>
          <w:rFonts w:hint="eastAsia" w:ascii="仿宋" w:hAnsi="仿宋" w:eastAsia="仿宋" w:cs="仿宋"/>
          <w:color w:val="auto"/>
          <w:sz w:val="24"/>
          <w:szCs w:val="24"/>
        </w:rPr>
        <w:t>00元，封顶</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000元。</w:t>
      </w:r>
    </w:p>
    <w:p w14:paraId="390B6639">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4</w:t>
      </w:r>
      <w:r>
        <w:rPr>
          <w:rFonts w:hint="eastAsia" w:ascii="仿宋" w:hAnsi="仿宋" w:eastAsia="仿宋" w:cs="仿宋"/>
          <w:color w:val="auto"/>
          <w:sz w:val="24"/>
          <w:szCs w:val="24"/>
        </w:rPr>
        <w:t>、未按合同要求提供服务扣费</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00元/次；遭到</w:t>
      </w:r>
      <w:r>
        <w:rPr>
          <w:rFonts w:hint="eastAsia" w:ascii="仿宋" w:hAnsi="仿宋" w:eastAsia="仿宋" w:cs="仿宋"/>
          <w:color w:val="auto"/>
          <w:sz w:val="24"/>
          <w:szCs w:val="24"/>
          <w:lang w:val="en-US" w:eastAsia="zh-CN"/>
        </w:rPr>
        <w:t>设备使用科室或信息科</w:t>
      </w:r>
      <w:r>
        <w:rPr>
          <w:rFonts w:hint="eastAsia" w:ascii="仿宋" w:hAnsi="仿宋" w:eastAsia="仿宋" w:cs="仿宋"/>
          <w:color w:val="auto"/>
          <w:sz w:val="24"/>
          <w:szCs w:val="24"/>
        </w:rPr>
        <w:t>投诉一次</w:t>
      </w:r>
      <w:r>
        <w:rPr>
          <w:rFonts w:hint="eastAsia" w:ascii="仿宋" w:hAnsi="仿宋" w:eastAsia="仿宋" w:cs="仿宋"/>
          <w:color w:val="auto"/>
          <w:sz w:val="24"/>
          <w:szCs w:val="24"/>
          <w:lang w:val="en-US" w:eastAsia="zh-CN"/>
        </w:rPr>
        <w:t>且成立的</w:t>
      </w:r>
      <w:r>
        <w:rPr>
          <w:rFonts w:hint="eastAsia" w:ascii="仿宋" w:hAnsi="仿宋" w:eastAsia="仿宋" w:cs="仿宋"/>
          <w:color w:val="auto"/>
          <w:sz w:val="24"/>
          <w:szCs w:val="24"/>
        </w:rPr>
        <w:t>，扣费</w:t>
      </w:r>
      <w:r>
        <w:rPr>
          <w:rFonts w:hint="eastAsia" w:ascii="仿宋" w:hAnsi="仿宋" w:eastAsia="仿宋" w:cs="仿宋"/>
          <w:color w:val="auto"/>
          <w:sz w:val="24"/>
          <w:szCs w:val="24"/>
          <w:lang w:val="en-US" w:eastAsia="zh-CN"/>
        </w:rPr>
        <w:t>5</w:t>
      </w:r>
      <w:r>
        <w:rPr>
          <w:rFonts w:hint="eastAsia" w:ascii="仿宋" w:hAnsi="仿宋" w:eastAsia="仿宋" w:cs="仿宋"/>
          <w:color w:val="auto"/>
          <w:sz w:val="24"/>
          <w:szCs w:val="24"/>
        </w:rPr>
        <w:t>00元，在合同期内遭到5次投拆</w:t>
      </w:r>
      <w:r>
        <w:rPr>
          <w:rFonts w:hint="eastAsia" w:ascii="仿宋" w:hAnsi="仿宋" w:eastAsia="仿宋" w:cs="仿宋"/>
          <w:color w:val="auto"/>
          <w:sz w:val="24"/>
          <w:szCs w:val="24"/>
          <w:lang w:val="en-US" w:eastAsia="zh-CN"/>
        </w:rPr>
        <w:t>且成立的</w:t>
      </w:r>
      <w:r>
        <w:rPr>
          <w:rFonts w:hint="eastAsia" w:ascii="仿宋" w:hAnsi="仿宋" w:eastAsia="仿宋" w:cs="仿宋"/>
          <w:color w:val="auto"/>
          <w:sz w:val="24"/>
          <w:szCs w:val="24"/>
        </w:rPr>
        <w:t>，院方有权无条件中止合同。</w:t>
      </w:r>
    </w:p>
    <w:p w14:paraId="01F81F71">
      <w:pPr>
        <w:keepNext w:val="0"/>
        <w:keepLines w:val="0"/>
        <w:pageBreakBefore w:val="0"/>
        <w:widowControl/>
        <w:numPr>
          <w:ilvl w:val="0"/>
          <w:numId w:val="1"/>
        </w:numPr>
        <w:kinsoku w:val="0"/>
        <w:wordWrap/>
        <w:overflowPunct/>
        <w:topLinePunct w:val="0"/>
        <w:autoSpaceDE w:val="0"/>
        <w:autoSpaceDN w:val="0"/>
        <w:bidi w:val="0"/>
        <w:adjustRightInd w:val="0"/>
        <w:snapToGrid w:val="0"/>
        <w:spacing w:line="500" w:lineRule="exact"/>
        <w:ind w:left="0" w:leftChars="0" w:firstLine="480" w:firstLineChars="200"/>
        <w:textAlignment w:val="baseline"/>
        <w:outlineLvl w:val="0"/>
        <w:rPr>
          <w:rFonts w:hint="eastAsia" w:ascii="仿宋" w:hAnsi="仿宋" w:eastAsia="仿宋" w:cs="仿宋"/>
          <w:color w:val="auto"/>
          <w:sz w:val="24"/>
          <w:szCs w:val="24"/>
          <w:lang w:val="en-US" w:eastAsia="zh-CN"/>
        </w:rPr>
      </w:pPr>
      <w:bookmarkStart w:id="11" w:name="_Toc6914"/>
      <w:r>
        <w:rPr>
          <w:rFonts w:hint="eastAsia" w:ascii="仿宋" w:hAnsi="仿宋" w:eastAsia="仿宋" w:cs="仿宋"/>
          <w:color w:val="auto"/>
          <w:sz w:val="24"/>
          <w:szCs w:val="24"/>
          <w:lang w:val="en-US" w:eastAsia="zh-CN"/>
        </w:rPr>
        <w:t>商务条款</w:t>
      </w:r>
      <w:bookmarkEnd w:id="11"/>
    </w:p>
    <w:p w14:paraId="13BCEEDF">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1.服务期：二年，成交供应商接采购人书面入场通知书入场后开始计算服务期。服务期到期或产生费用金额已达合同金额上限。满足任何一个条件则视为合同结束。</w:t>
      </w:r>
    </w:p>
    <w:p w14:paraId="45F4F2EF">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2.服务地点：赣州市第三人民医院（新院、老院）指定地点。</w:t>
      </w:r>
    </w:p>
    <w:p w14:paraId="2CC5E8F3">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 xml:space="preserve">3、履约保证金：合同金额的 5%，成交供应商履约完成后无息返还履约保证金。 </w:t>
      </w:r>
    </w:p>
    <w:p w14:paraId="27498019">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 xml:space="preserve">4、付款方式：每月提供项目材料使用清单，一份总表，一份科室使用表，交由院方确认，费用每月结算一次。 </w:t>
      </w:r>
    </w:p>
    <w:p w14:paraId="59D0F0E4">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 xml:space="preserve">5、项目材料清单中的维保类服务中产生的全部费用不再额外收费（包括但不限于耗材费、配件费、税费等）；耗材费用结算按实际工作使用数量计量、中标价格计价，不得再收取其他任何费用（包括但不限于劳务费、服务费、税费等）。 </w:t>
      </w:r>
    </w:p>
    <w:p w14:paraId="0171F8E3">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 xml:space="preserve">6、成交供应商所承诺的内容视为服务合同不可分割的部分，如成交供应商不能实质性履行服务承诺的，院方可终止服务合同并扣除履约保证金。 </w:t>
      </w:r>
    </w:p>
    <w:p w14:paraId="09F19183">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 xml:space="preserve">7、项目材料清单中单项的数量允许超过预估数量，项目材料清单内的总费用不允许超过合同总金额。 </w:t>
      </w:r>
    </w:p>
    <w:p w14:paraId="7F6FCDAA">
      <w:pPr>
        <w:keepNext w:val="0"/>
        <w:keepLines w:val="0"/>
        <w:pageBreakBefore w:val="0"/>
        <w:widowControl/>
        <w:kinsoku w:val="0"/>
        <w:wordWrap/>
        <w:overflowPunct/>
        <w:topLinePunct w:val="0"/>
        <w:autoSpaceDE w:val="0"/>
        <w:autoSpaceDN w:val="0"/>
        <w:bidi w:val="0"/>
        <w:adjustRightInd w:val="0"/>
        <w:snapToGrid w:val="0"/>
        <w:spacing w:line="500" w:lineRule="exact"/>
        <w:ind w:left="0" w:firstLine="482" w:firstLineChars="200"/>
        <w:textAlignment w:val="baseline"/>
        <w:rPr>
          <w:rFonts w:hint="eastAsia" w:ascii="仿宋" w:hAnsi="仿宋" w:eastAsia="仿宋" w:cs="仿宋"/>
          <w:b/>
          <w:bCs/>
          <w:i w:val="0"/>
          <w:iCs w:val="0"/>
          <w:color w:val="auto"/>
          <w:sz w:val="28"/>
          <w:szCs w:val="28"/>
          <w:u w:val="none"/>
          <w:lang w:val="en-US" w:eastAsia="zh-CN"/>
        </w:rPr>
      </w:pPr>
      <w:r>
        <w:rPr>
          <w:rFonts w:hint="eastAsia" w:ascii="仿宋" w:hAnsi="仿宋" w:eastAsia="仿宋" w:cs="仿宋"/>
          <w:b/>
          <w:bCs/>
          <w:i w:val="0"/>
          <w:iCs w:val="0"/>
          <w:color w:val="auto"/>
          <w:sz w:val="24"/>
          <w:szCs w:val="24"/>
          <w:u w:val="none"/>
          <w:lang w:val="en-US" w:eastAsia="zh-CN"/>
        </w:rPr>
        <w:t>8、本项目采用折扣率报价（本项目折扣率的解释：折</w:t>
      </w:r>
      <w:bookmarkStart w:id="12" w:name="_GoBack"/>
      <w:bookmarkEnd w:id="12"/>
      <w:r>
        <w:rPr>
          <w:rFonts w:hint="eastAsia" w:ascii="仿宋" w:hAnsi="仿宋" w:eastAsia="仿宋" w:cs="仿宋"/>
          <w:b/>
          <w:bCs/>
          <w:i w:val="0"/>
          <w:iCs w:val="0"/>
          <w:color w:val="auto"/>
          <w:sz w:val="24"/>
          <w:szCs w:val="24"/>
          <w:u w:val="none"/>
          <w:lang w:val="en-US" w:eastAsia="zh-CN"/>
        </w:rPr>
        <w:t>扣率等于折扣，如折扣率为95%，即为95折），据实结算，成交金额（合同金额）=预算金额*成交折扣率，成交单价（合同单价）=预算单价*成交折扣率。</w:t>
      </w:r>
    </w:p>
    <w:p w14:paraId="15DCB1F6">
      <w:pPr>
        <w:numPr>
          <w:ilvl w:val="0"/>
          <w:numId w:val="0"/>
        </w:numPr>
        <w:spacing w:line="440" w:lineRule="exact"/>
        <w:ind w:leftChars="0" w:firstLine="482" w:firstLineChars="200"/>
        <w:outlineLvl w:val="0"/>
        <w:rPr>
          <w:rFonts w:hint="default" w:ascii="仿宋" w:hAnsi="仿宋" w:eastAsia="仿宋" w:cs="仿宋"/>
          <w:b/>
          <w:bCs/>
          <w:i w:val="0"/>
          <w:iCs w:val="0"/>
          <w:color w:val="auto"/>
          <w:sz w:val="24"/>
          <w:szCs w:val="24"/>
          <w:u w:val="none"/>
          <w:lang w:val="en-US" w:eastAsia="zh-CN"/>
        </w:rPr>
      </w:pPr>
      <w:r>
        <w:rPr>
          <w:rFonts w:hint="eastAsia" w:ascii="仿宋" w:hAnsi="仿宋" w:eastAsia="仿宋" w:cs="仿宋"/>
          <w:b/>
          <w:bCs/>
          <w:i w:val="0"/>
          <w:iCs w:val="0"/>
          <w:color w:val="auto"/>
          <w:sz w:val="24"/>
          <w:szCs w:val="24"/>
          <w:u w:val="none"/>
          <w:lang w:val="en-US" w:eastAsia="zh-CN"/>
        </w:rPr>
        <w:t>等</w:t>
      </w:r>
      <w:r>
        <w:rPr>
          <w:rFonts w:hint="eastAsia" w:ascii="仿宋" w:hAnsi="仿宋" w:eastAsia="仿宋" w:cs="仿宋"/>
          <w:b/>
          <w:bCs/>
          <w:i w:val="0"/>
          <w:iCs w:val="0"/>
          <w:color w:val="auto"/>
          <w:sz w:val="24"/>
          <w:szCs w:val="24"/>
          <w:u w:val="none"/>
          <w:lang w:val="en-US" w:eastAsia="zh-CN"/>
        </w:rPr>
        <w:t>；</w:t>
      </w:r>
    </w:p>
    <w:p w14:paraId="39113F1A">
      <w:pPr>
        <w:rPr>
          <w:rFonts w:hint="default"/>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8"/>
    <w:family w:val="decorative"/>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2AD0690"/>
    <w:multiLevelType w:val="singleLevel"/>
    <w:tmpl w:val="62AD0690"/>
    <w:lvl w:ilvl="0" w:tentative="0">
      <w:start w:val="1"/>
      <w:numFmt w:val="chineseCounting"/>
      <w:suff w:val="nothing"/>
      <w:lvlText w:val="%1、"/>
      <w:lvlJc w:val="left"/>
      <w:pPr>
        <w:ind w:left="0" w:firstLine="42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00B074E"/>
    <w:rsid w:val="2E266982"/>
    <w:rsid w:val="4A813453"/>
    <w:rsid w:val="500B074E"/>
    <w:rsid w:val="57C93994"/>
    <w:rsid w:val="5CE24CCA"/>
    <w:rsid w:val="65714A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annotation text"/>
    <w:basedOn w:val="1"/>
    <w:qFormat/>
    <w:uiPriority w:val="0"/>
    <w:pPr>
      <w:jc w:val="left"/>
    </w:pPr>
  </w:style>
  <w:style w:type="paragraph" w:styleId="5">
    <w:name w:val="Body Text Indent"/>
    <w:basedOn w:val="1"/>
    <w:next w:val="6"/>
    <w:unhideWhenUsed/>
    <w:qFormat/>
    <w:uiPriority w:val="99"/>
    <w:pPr>
      <w:spacing w:after="120"/>
      <w:ind w:left="420" w:leftChars="200"/>
    </w:pPr>
    <w:rPr>
      <w:rFonts w:eastAsia="微软雅黑"/>
      <w:sz w:val="24"/>
      <w:szCs w:val="20"/>
    </w:rPr>
  </w:style>
  <w:style w:type="paragraph" w:customStyle="1" w:styleId="6">
    <w:name w:val="font5"/>
    <w:basedOn w:val="1"/>
    <w:qFormat/>
    <w:uiPriority w:val="0"/>
    <w:pPr>
      <w:spacing w:beforeAutospacing="1" w:afterAutospacing="1"/>
    </w:pPr>
    <w:rPr>
      <w:rFonts w:hint="eastAsia" w:ascii="宋体" w:hAnsi="宋体"/>
      <w:sz w:val="18"/>
      <w:szCs w:val="18"/>
    </w:rPr>
  </w:style>
  <w:style w:type="paragraph" w:styleId="7">
    <w:name w:val="footer"/>
    <w:basedOn w:val="1"/>
    <w:qFormat/>
    <w:uiPriority w:val="0"/>
    <w:pPr>
      <w:tabs>
        <w:tab w:val="center" w:pos="4153"/>
        <w:tab w:val="right" w:pos="8306"/>
      </w:tabs>
    </w:pPr>
    <w:rPr>
      <w:sz w:val="18"/>
    </w:rPr>
  </w:style>
  <w:style w:type="paragraph" w:styleId="8">
    <w:name w:val="Body Text 2"/>
    <w:basedOn w:val="1"/>
    <w:unhideWhenUsed/>
    <w:qFormat/>
    <w:uiPriority w:val="99"/>
    <w:pPr>
      <w:spacing w:line="480" w:lineRule="atLeast"/>
    </w:pPr>
    <w:rPr>
      <w:rFonts w:hAnsi="Calibri"/>
      <w:sz w:val="28"/>
      <w:szCs w:val="20"/>
    </w:rPr>
  </w:style>
  <w:style w:type="paragraph" w:styleId="9">
    <w:name w:val="Body Text First Indent 2"/>
    <w:basedOn w:val="5"/>
    <w:next w:val="1"/>
    <w:qFormat/>
    <w:uiPriority w:val="0"/>
    <w:pPr>
      <w:ind w:firstLine="420" w:firstLineChars="200"/>
    </w:pPr>
  </w:style>
  <w:style w:type="character" w:customStyle="1" w:styleId="12">
    <w:name w:val="font51"/>
    <w:basedOn w:val="11"/>
    <w:qFormat/>
    <w:uiPriority w:val="0"/>
    <w:rPr>
      <w:rFonts w:hint="eastAsia" w:ascii="仿宋" w:hAnsi="仿宋" w:eastAsia="仿宋" w:cs="仿宋"/>
      <w:color w:val="000000"/>
      <w:sz w:val="21"/>
      <w:szCs w:val="21"/>
      <w:u w:val="none"/>
    </w:rPr>
  </w:style>
  <w:style w:type="character" w:customStyle="1" w:styleId="13">
    <w:name w:val="font61"/>
    <w:basedOn w:val="11"/>
    <w:qFormat/>
    <w:uiPriority w:val="0"/>
    <w:rPr>
      <w:rFonts w:hint="eastAsia" w:ascii="仿宋" w:hAnsi="仿宋" w:eastAsia="仿宋" w:cs="仿宋"/>
      <w:b/>
      <w:bCs/>
      <w:color w:val="333333"/>
      <w:sz w:val="21"/>
      <w:szCs w:val="21"/>
      <w:u w:val="none"/>
    </w:rPr>
  </w:style>
  <w:style w:type="character" w:customStyle="1" w:styleId="14">
    <w:name w:val="font71"/>
    <w:basedOn w:val="11"/>
    <w:qFormat/>
    <w:uiPriority w:val="0"/>
    <w:rPr>
      <w:rFonts w:hint="eastAsia" w:ascii="仿宋" w:hAnsi="仿宋" w:eastAsia="仿宋" w:cs="仿宋"/>
      <w:color w:val="333333"/>
      <w:sz w:val="21"/>
      <w:szCs w:val="21"/>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11172</Words>
  <Characters>14849</Characters>
  <Lines>0</Lines>
  <Paragraphs>0</Paragraphs>
  <TotalTime>0</TotalTime>
  <ScaleCrop>false</ScaleCrop>
  <LinksUpToDate>false</LinksUpToDate>
  <CharactersWithSpaces>15322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2025-10-31T02:51:00Z</dcterms:created>
  <dc:creator>WPS_1645430240</dc:creator>
  <cp:lastModifiedBy>a</cp:lastModifiedBy>
  <dcterms:modified xsi:type="dcterms:W3CDTF">2026-04-20T02:50:29Z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30D6D0ADB82440CFAE7FD11B9326848E_11</vt:lpwstr>
  </property>
  <property fmtid="{D5CDD505-2E9C-101B-9397-08002B2CF9AE}" pid="4" name="KSOTemplateDocerSaveRecord">
    <vt:lpwstr>eyJoZGlkIjoiOTBhNmMzNjQ2MjJiMzRkNDgxY2Q5NjNjNTZjMzcxM2UiLCJ1c2VySWQiOiIxMzM2MDgwNzc2In0=</vt:lpwstr>
  </property>
</Properties>
</file>