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6670D83">
      <w:pPr>
        <w:pageBreakBefore w:val="0"/>
        <w:widowControl w:val="0"/>
        <w:wordWrap/>
        <w:overflowPunct/>
        <w:topLinePunct w:val="0"/>
        <w:bidi w:val="0"/>
        <w:spacing w:before="47" w:line="219" w:lineRule="auto"/>
        <w:jc w:val="center"/>
        <w:outlineLvl w:val="1"/>
        <w:rPr>
          <w:rFonts w:ascii="宋体" w:hAnsi="宋体" w:eastAsia="宋体" w:cs="宋体"/>
          <w:color w:val="000000" w:themeColor="text1"/>
          <w:spacing w:val="0"/>
          <w:w w:val="100"/>
          <w:position w:val="0"/>
          <w:sz w:val="24"/>
          <w:szCs w:val="24"/>
          <w14:textFill>
            <w14:solidFill>
              <w14:schemeClr w14:val="tx1"/>
            </w14:solidFill>
          </w14:textFill>
        </w:rPr>
      </w:pPr>
      <w:bookmarkStart w:id="0" w:name="_GoBack"/>
      <w:bookmarkEnd w:id="0"/>
      <w:r>
        <w:rPr>
          <w:rFonts w:ascii="宋体" w:hAnsi="宋体" w:eastAsia="宋体" w:cs="宋体"/>
          <w:color w:val="000000" w:themeColor="text1"/>
          <w:spacing w:val="0"/>
          <w:w w:val="100"/>
          <w:position w:val="0"/>
          <w:sz w:val="24"/>
          <w:szCs w:val="24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  <w14:textFill>
            <w14:solidFill>
              <w14:schemeClr w14:val="tx1"/>
            </w14:solidFill>
          </w14:textFill>
        </w:rPr>
        <w:t>采购需求</w:t>
      </w:r>
    </w:p>
    <w:p w14:paraId="50EC529F">
      <w:pPr>
        <w:pageBreakBefore w:val="0"/>
        <w:widowControl w:val="0"/>
        <w:wordWrap/>
        <w:overflowPunct/>
        <w:topLinePunct w:val="0"/>
        <w:bidi w:val="0"/>
        <w:spacing w:line="258" w:lineRule="auto"/>
        <w:rPr>
          <w:color w:val="000000" w:themeColor="text1"/>
          <w:spacing w:val="0"/>
          <w:w w:val="100"/>
          <w:position w:val="0"/>
          <w14:textFill>
            <w14:solidFill>
              <w14:schemeClr w14:val="tx1"/>
            </w14:solidFill>
          </w14:textFill>
        </w:rPr>
      </w:pPr>
    </w:p>
    <w:p w14:paraId="79EFFA9B">
      <w:pPr>
        <w:pageBreakBefore w:val="0"/>
        <w:widowControl w:val="0"/>
        <w:wordWrap/>
        <w:overflowPunct/>
        <w:topLinePunct w:val="0"/>
        <w:bidi w:val="0"/>
        <w:spacing w:before="78" w:line="219" w:lineRule="auto"/>
        <w:rPr>
          <w:color w:val="000000" w:themeColor="text1"/>
          <w:spacing w:val="0"/>
          <w:w w:val="100"/>
          <w:position w:val="0"/>
          <w14:textFill>
            <w14:solidFill>
              <w14:schemeClr w14:val="tx1"/>
            </w14:solidFill>
          </w14:textFill>
        </w:rPr>
      </w:pPr>
      <w:r>
        <w:rPr>
          <w:rFonts w:ascii="宋体" w:hAnsi="宋体" w:eastAsia="宋体" w:cs="宋体"/>
          <w:color w:val="000000" w:themeColor="text1"/>
          <w:spacing w:val="0"/>
          <w:w w:val="100"/>
          <w:position w:val="0"/>
          <w:sz w:val="24"/>
          <w:szCs w:val="24"/>
          <w14:textFill>
            <w14:solidFill>
              <w14:schemeClr w14:val="tx1"/>
            </w14:solidFill>
          </w14:textFill>
        </w:rPr>
        <w:t>（一） 技术需求</w:t>
      </w:r>
    </w:p>
    <w:p w14:paraId="16BC38E5">
      <w:pPr>
        <w:spacing w:line="440" w:lineRule="exact"/>
        <w:rPr>
          <w:rFonts w:hint="default" w:ascii="宋体" w:hAnsi="宋体" w:eastAsia="宋体" w:cs="宋体"/>
          <w:b w:val="0"/>
          <w:bCs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 w:val="0"/>
          <w:bCs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1.采购清单</w:t>
      </w:r>
    </w:p>
    <w:tbl>
      <w:tblPr>
        <w:tblStyle w:val="18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0"/>
        <w:gridCol w:w="754"/>
        <w:gridCol w:w="4720"/>
        <w:gridCol w:w="936"/>
        <w:gridCol w:w="1289"/>
        <w:gridCol w:w="1262"/>
      </w:tblGrid>
      <w:tr w14:paraId="0D7154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62" w:hRule="atLeast"/>
        </w:trPr>
        <w:tc>
          <w:tcPr>
            <w:tcW w:w="296" w:type="pct"/>
            <w:vAlign w:val="center"/>
          </w:tcPr>
          <w:p w14:paraId="7D98DE7D">
            <w:pPr>
              <w:widowControl w:val="0"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序号</w:t>
            </w:r>
          </w:p>
        </w:tc>
        <w:tc>
          <w:tcPr>
            <w:tcW w:w="403" w:type="pct"/>
            <w:vAlign w:val="center"/>
          </w:tcPr>
          <w:p w14:paraId="00916CE4">
            <w:pPr>
              <w:widowControl w:val="0"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货物名称</w:t>
            </w:r>
          </w:p>
        </w:tc>
        <w:tc>
          <w:tcPr>
            <w:tcW w:w="2487" w:type="pct"/>
            <w:vAlign w:val="center"/>
          </w:tcPr>
          <w:p w14:paraId="01E945CD">
            <w:pPr>
              <w:widowControl w:val="0"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技术参数要求</w:t>
            </w:r>
          </w:p>
        </w:tc>
        <w:tc>
          <w:tcPr>
            <w:tcW w:w="458" w:type="pct"/>
            <w:vAlign w:val="center"/>
          </w:tcPr>
          <w:p w14:paraId="26648111">
            <w:pPr>
              <w:widowControl w:val="0"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数量</w:t>
            </w:r>
          </w:p>
          <w:p w14:paraId="74BBE764">
            <w:pPr>
              <w:widowControl w:val="0"/>
              <w:spacing w:line="360" w:lineRule="exact"/>
              <w:jc w:val="center"/>
              <w:rPr>
                <w:rFonts w:hint="default" w:asciiTheme="minorEastAsia" w:hAnsiTheme="minorEastAsia" w:eastAsiaTheme="minorEastAsia" w:cstheme="minorEastAsia"/>
                <w:b w:val="0"/>
                <w:bCs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（套）</w:t>
            </w:r>
          </w:p>
        </w:tc>
        <w:tc>
          <w:tcPr>
            <w:tcW w:w="684" w:type="pct"/>
            <w:vAlign w:val="center"/>
          </w:tcPr>
          <w:p w14:paraId="58088B58">
            <w:pPr>
              <w:widowControl w:val="0"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最高限制单价</w:t>
            </w:r>
            <w:r>
              <w:rPr>
                <w:rFonts w:hint="eastAsia" w:asciiTheme="minorEastAsia" w:hAnsiTheme="minorEastAsia" w:eastAsiaTheme="minorEastAsia" w:cstheme="minorEastAsia"/>
                <w:b/>
                <w:bCs w:val="0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（元，不得超过，否则作无效投标）</w:t>
            </w:r>
          </w:p>
        </w:tc>
        <w:tc>
          <w:tcPr>
            <w:tcW w:w="670" w:type="pct"/>
            <w:vAlign w:val="center"/>
          </w:tcPr>
          <w:p w14:paraId="2BDB9342">
            <w:pPr>
              <w:widowControl w:val="0"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备注</w:t>
            </w:r>
          </w:p>
          <w:p w14:paraId="2FE29B57">
            <w:pPr>
              <w:widowControl w:val="0"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（参考</w:t>
            </w:r>
          </w:p>
          <w:p w14:paraId="642F7829">
            <w:pPr>
              <w:widowControl w:val="0"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图片）</w:t>
            </w:r>
          </w:p>
        </w:tc>
      </w:tr>
      <w:tr w14:paraId="797D2D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6" w:type="pct"/>
            <w:vAlign w:val="center"/>
          </w:tcPr>
          <w:p w14:paraId="752EB249">
            <w:pPr>
              <w:widowControl w:val="0"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403" w:type="pct"/>
            <w:vAlign w:val="center"/>
          </w:tcPr>
          <w:p w14:paraId="538E0214">
            <w:pPr>
              <w:widowControl w:val="0"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课桌</w:t>
            </w:r>
          </w:p>
        </w:tc>
        <w:tc>
          <w:tcPr>
            <w:tcW w:w="2487" w:type="pct"/>
            <w:vAlign w:val="center"/>
          </w:tcPr>
          <w:p w14:paraId="0270FD5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0" w:firstLineChars="0"/>
              <w:jc w:val="both"/>
              <w:textAlignment w:val="auto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1.课桌（课桌高度在高度67cm-79cm区间支持≥5档可调节，各档位牢固，须有两斗）</w:t>
            </w:r>
          </w:p>
          <w:p w14:paraId="18A9A59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0" w:firstLineChars="0"/>
              <w:jc w:val="both"/>
              <w:textAlignment w:val="auto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（1）面板</w:t>
            </w:r>
          </w:p>
          <w:p w14:paraId="0799394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0" w:firstLineChars="0"/>
              <w:jc w:val="both"/>
              <w:textAlignment w:val="auto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材质：采用≥18mm厚高密度热压防火板，PP工程塑料注塑一次成型。</w:t>
            </w:r>
          </w:p>
          <w:p w14:paraId="392E913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0" w:firstLineChars="0"/>
              <w:jc w:val="both"/>
              <w:textAlignment w:val="auto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尺寸及功能：桌面板长610mm（±2mm），宽430mm（±2mm），厚度≥18mm，四周采用全新TPU软料或PP料经模具一次注塑封边成型，桌面整体四周圆润平滑，桌面前面，左、右边的塑料封边有4.6mm（±0.2mm）的斜坡，四周包边塑料包入35mm（±0.2mm），注塑包边塑料最高处24mm（±0.2mm），封边的内圈同面板保持水平平面的状态。桌面前方带有宽笔槽，笔槽长宽和深的尺寸分别是250mm（±1mm），28mm（±0.2mm）和8mm（±0.2mm）。桌面靠学生胸部方有内凹设计，凹面的尺寸长为450mm（±2mm），深度为28mm（±0.2mm）。具有良好的抗吸湿性、抗酸碱腐蚀性、抗氧化性。</w:t>
            </w:r>
          </w:p>
          <w:p w14:paraId="136A549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0" w:firstLineChars="0"/>
              <w:jc w:val="both"/>
              <w:textAlignment w:val="auto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（2）书斗</w:t>
            </w:r>
          </w:p>
          <w:p w14:paraId="63B411C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0" w:firstLineChars="0"/>
              <w:jc w:val="both"/>
              <w:textAlignment w:val="auto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上斗长490mm（±2mm）×斗深355mm（±2mm）×斗高155mm（±2mm）×斗厚≥0.6mm，下斗长490mm（±2mm）×斗深250mm（±2mm）×斗高275mm（±2mm）×≥斗厚0.6mm。桌斗板采用≥0.6mm厚的冷轧钢板。斗正前边口卷成圆形状，防止学生使用中刮伤，斗内设有两条加强筋。</w:t>
            </w:r>
          </w:p>
          <w:p w14:paraId="448DC09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0" w:firstLineChars="0"/>
              <w:jc w:val="both"/>
              <w:textAlignment w:val="auto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（3）金属钢制桌架</w:t>
            </w:r>
          </w:p>
          <w:p w14:paraId="70977C8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0" w:firstLineChars="0"/>
              <w:jc w:val="both"/>
              <w:textAlignment w:val="auto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尺寸：桌立柱、桌底脚均采用20（±0.2mm）×49（±0.2mm）×≥0.9mm的椭圆钢管，桌子为双柱双层升降式。</w:t>
            </w:r>
          </w:p>
          <w:p w14:paraId="332A582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0" w:firstLineChars="0"/>
              <w:jc w:val="both"/>
              <w:textAlignment w:val="auto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桌升降片尺寸：总高430mm（±2mm），升降侧板：上宽360mm（±2mm）、下宽255mm（±2mm），调节眼为30mm（±0.2mm）/档，≥五档调节，升降片具有两列调节升降圆形孔，两列孔间距110mm（±1mm），升降片表面平整，加强筋布置在整片侧板上；桌子升降侧板采用≥0.8mm厚的冷轧钢板，受力强度、钢材各项化学成分、屈服点、抗拉强度、延伸率、冷弯实验等指标均符合现行国家标准。（冷轧钢板的厚度≥0.8mm）</w:t>
            </w:r>
          </w:p>
          <w:p w14:paraId="0CC5E3D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0" w:firstLineChars="0"/>
              <w:jc w:val="both"/>
              <w:textAlignment w:val="auto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表面涂装：焊接完成之后的钢管架，需用环氧树脂静电粉末喷涂，再经高温烘烤。</w:t>
            </w:r>
          </w:p>
          <w:p w14:paraId="79F8565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0" w:firstLineChars="0"/>
              <w:jc w:val="both"/>
              <w:textAlignment w:val="auto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（4）脚套（垫）</w:t>
            </w:r>
          </w:p>
          <w:p w14:paraId="6152C5D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0" w:firstLineChars="0"/>
              <w:jc w:val="both"/>
              <w:textAlignment w:val="auto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材质：脚套（垫）采用PE材料一次注塑成型，耐磨、耐老化。脚套与桌椅脚应结合紧密，牢靠，不脱落。</w:t>
            </w:r>
          </w:p>
          <w:p w14:paraId="0904910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0" w:firstLineChars="0"/>
              <w:jc w:val="both"/>
              <w:textAlignment w:val="auto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（5）挂钩</w:t>
            </w:r>
          </w:p>
          <w:p w14:paraId="7EEE1200">
            <w:pPr>
              <w:widowControl w:val="0"/>
              <w:autoSpaceDE/>
              <w:autoSpaceDN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 w:val="0"/>
                <w:bCs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材质：采用PP工程塑料注塑一次成型。</w:t>
            </w:r>
          </w:p>
        </w:tc>
        <w:tc>
          <w:tcPr>
            <w:tcW w:w="458" w:type="pct"/>
            <w:vMerge w:val="restart"/>
            <w:vAlign w:val="center"/>
          </w:tcPr>
          <w:p w14:paraId="6A8C4679">
            <w:pPr>
              <w:widowControl w:val="0"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3010</w:t>
            </w:r>
          </w:p>
        </w:tc>
        <w:tc>
          <w:tcPr>
            <w:tcW w:w="684" w:type="pct"/>
            <w:vMerge w:val="restart"/>
            <w:vAlign w:val="center"/>
          </w:tcPr>
          <w:p w14:paraId="4DBA9ADB">
            <w:pPr>
              <w:widowControl w:val="0"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155</w:t>
            </w:r>
          </w:p>
        </w:tc>
        <w:tc>
          <w:tcPr>
            <w:tcW w:w="670" w:type="pct"/>
            <w:vMerge w:val="restart"/>
            <w:vAlign w:val="center"/>
          </w:tcPr>
          <w:p w14:paraId="4C99F633">
            <w:pPr>
              <w:widowControl w:val="0"/>
              <w:spacing w:line="240" w:lineRule="auto"/>
              <w:jc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585470" cy="598170"/>
                  <wp:effectExtent l="0" t="0" r="5080" b="11430"/>
                  <wp:docPr id="7" name="图片 7" descr="5ee07177ae741fd7447cc488fabf47f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图片 7" descr="5ee07177ae741fd7447cc488fabf47f9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85470" cy="59817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47FEB8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6" w:type="pct"/>
            <w:vAlign w:val="center"/>
          </w:tcPr>
          <w:p w14:paraId="64D2F4B1">
            <w:pPr>
              <w:widowControl w:val="0"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403" w:type="pct"/>
            <w:vAlign w:val="center"/>
          </w:tcPr>
          <w:p w14:paraId="22E9526C">
            <w:pPr>
              <w:widowControl w:val="0"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凳子</w:t>
            </w:r>
          </w:p>
        </w:tc>
        <w:tc>
          <w:tcPr>
            <w:tcW w:w="2487" w:type="pct"/>
            <w:vAlign w:val="center"/>
          </w:tcPr>
          <w:p w14:paraId="648F5C4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0" w:firstLineChars="0"/>
              <w:jc w:val="both"/>
              <w:textAlignment w:val="auto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2.凳子（凳子高度在高度36cm-44cm区间支持≥5档可调节，各档位牢固）</w:t>
            </w:r>
          </w:p>
          <w:p w14:paraId="1E0E697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0" w:firstLineChars="0"/>
              <w:jc w:val="both"/>
              <w:textAlignment w:val="auto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（1）坐垫</w:t>
            </w:r>
          </w:p>
          <w:p w14:paraId="6D20982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0" w:firstLineChars="0"/>
              <w:jc w:val="both"/>
              <w:textAlignment w:val="auto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尺寸：350mm（±2mm）×300mm（±2mm），厚≥18mm。</w:t>
            </w:r>
          </w:p>
          <w:p w14:paraId="726C726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0" w:firstLineChars="0"/>
              <w:jc w:val="both"/>
              <w:textAlignment w:val="auto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材质：采用≥18mm厚高密度板热压防火板，PP工程塑料注塑一次成型。四周为波浪型设计，边缘平整圆滑。</w:t>
            </w:r>
          </w:p>
          <w:p w14:paraId="648F2E4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0" w:firstLineChars="0"/>
              <w:jc w:val="both"/>
              <w:textAlignment w:val="auto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（2）金属钢制椅（凳）架：</w:t>
            </w:r>
          </w:p>
          <w:p w14:paraId="54F82D6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0" w:firstLineChars="0"/>
              <w:jc w:val="both"/>
              <w:textAlignment w:val="auto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材质及尺寸：腿与脚均采用，20（±0.2mm）×50（±0.2mm）×≥0.9mm椭圆管，侧板采用0.8mm厚的冷轧钢板。双柱双层升降式。</w:t>
            </w:r>
          </w:p>
          <w:p w14:paraId="699F5C1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0" w:firstLineChars="0"/>
              <w:jc w:val="both"/>
              <w:textAlignment w:val="auto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（3）脚垫</w:t>
            </w:r>
          </w:p>
          <w:p w14:paraId="45798C65">
            <w:pPr>
              <w:widowControl w:val="0"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 w:val="0"/>
                <w:bCs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材质：脚套采用PE材料一次注塑成型，耐磨、耐老化。脚套与桌椅脚应结合紧密，牢靠，不脱落。</w:t>
            </w:r>
          </w:p>
        </w:tc>
        <w:tc>
          <w:tcPr>
            <w:tcW w:w="458" w:type="pct"/>
            <w:vMerge w:val="continue"/>
            <w:vAlign w:val="center"/>
          </w:tcPr>
          <w:p w14:paraId="0CBCBC80">
            <w:pPr>
              <w:widowControl w:val="0"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84" w:type="pct"/>
            <w:vMerge w:val="continue"/>
            <w:vAlign w:val="center"/>
          </w:tcPr>
          <w:p w14:paraId="2AA6E967">
            <w:pPr>
              <w:widowControl w:val="0"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70" w:type="pct"/>
            <w:vMerge w:val="continue"/>
            <w:vAlign w:val="center"/>
          </w:tcPr>
          <w:p w14:paraId="0F51A7B7">
            <w:pPr>
              <w:widowControl w:val="0"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 w14:paraId="5BF1EB01">
      <w:pPr>
        <w:spacing w:line="440" w:lineRule="exact"/>
        <w:rPr>
          <w:rFonts w:hint="eastAsia" w:ascii="宋体" w:hAnsi="宋体" w:eastAsia="宋体" w:cs="宋体"/>
          <w:b/>
          <w:bCs w:val="0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</w:pPr>
    </w:p>
    <w:p w14:paraId="7A563B2B">
      <w:pPr>
        <w:spacing w:line="440" w:lineRule="exact"/>
        <w:rPr>
          <w:rFonts w:hint="default" w:ascii="宋体" w:hAnsi="宋体" w:eastAsia="宋体" w:cs="宋体"/>
          <w:b/>
          <w:bCs w:val="0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bCs w:val="0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注：以上技术条款需全部满足或优于，否则作无效投标。</w:t>
      </w:r>
    </w:p>
    <w:p w14:paraId="0D67C5A5">
      <w:pPr>
        <w:pageBreakBefore w:val="0"/>
        <w:widowControl w:val="0"/>
        <w:wordWrap/>
        <w:overflowPunct/>
        <w:topLinePunct w:val="0"/>
        <w:bidi w:val="0"/>
        <w:spacing w:before="78" w:line="219" w:lineRule="auto"/>
        <w:rPr>
          <w:rFonts w:ascii="宋体" w:hAnsi="宋体" w:eastAsia="宋体" w:cs="宋体"/>
          <w:b/>
          <w:bCs/>
          <w:color w:val="000000" w:themeColor="text1"/>
          <w:spacing w:val="0"/>
          <w:w w:val="100"/>
          <w:position w:val="0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</w:p>
    <w:p w14:paraId="74FBE158">
      <w:pPr>
        <w:pageBreakBefore w:val="0"/>
        <w:widowControl w:val="0"/>
        <w:wordWrap/>
        <w:overflowPunct/>
        <w:topLinePunct w:val="0"/>
        <w:bidi w:val="0"/>
        <w:spacing w:before="78" w:line="219" w:lineRule="auto"/>
        <w:rPr>
          <w:rFonts w:ascii="宋体" w:hAnsi="宋体" w:eastAsia="宋体" w:cs="宋体"/>
          <w:b/>
          <w:bCs/>
          <w:color w:val="000000" w:themeColor="text1"/>
          <w:spacing w:val="0"/>
          <w:w w:val="100"/>
          <w:position w:val="0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ascii="宋体" w:hAnsi="宋体" w:eastAsia="宋体" w:cs="宋体"/>
          <w:b/>
          <w:bCs/>
          <w:color w:val="000000" w:themeColor="text1"/>
          <w:spacing w:val="0"/>
          <w:w w:val="100"/>
          <w:position w:val="0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（二） 商务条件</w:t>
      </w:r>
    </w:p>
    <w:p w14:paraId="3FF7DFE0">
      <w:pPr>
        <w:spacing w:line="480" w:lineRule="exact"/>
        <w:rPr>
          <w:rFonts w:hint="default" w:asciiTheme="minorEastAsia" w:hAnsiTheme="minorEastAsia" w:eastAsiaTheme="minorEastAsia" w:cstheme="minorEastAsia"/>
          <w:b w:val="0"/>
          <w:bCs/>
          <w:color w:val="000000" w:themeColor="text1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Theme="minorEastAsia" w:hAnsiTheme="minorEastAsia" w:eastAsiaTheme="minorEastAsia" w:cstheme="minorEastAsia"/>
          <w:b/>
          <w:color w:val="000000" w:themeColor="text1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1、</w:t>
      </w:r>
      <w:r>
        <w:rPr>
          <w:rFonts w:hint="eastAsia" w:asciiTheme="minorEastAsia" w:hAnsiTheme="minorEastAsia" w:eastAsiaTheme="minorEastAsia" w:cstheme="minorEastAsia"/>
          <w:b/>
          <w:color w:val="000000" w:themeColor="text1"/>
          <w:sz w:val="24"/>
          <w:szCs w:val="24"/>
          <w:highlight w:val="none"/>
          <w:lang w:eastAsia="zh-CN"/>
          <w14:textFill>
            <w14:solidFill>
              <w14:schemeClr w14:val="tx1"/>
            </w14:solidFill>
          </w14:textFill>
        </w:rPr>
        <w:t>付款方式：</w:t>
      </w:r>
      <w:r>
        <w:rPr>
          <w:rFonts w:hint="eastAsia" w:asciiTheme="minorEastAsia" w:hAnsiTheme="minorEastAsia" w:eastAsiaTheme="minorEastAsia" w:cstheme="minorEastAsia"/>
          <w:b w:val="0"/>
          <w:bCs/>
          <w:color w:val="000000" w:themeColor="text1"/>
          <w:sz w:val="24"/>
          <w:szCs w:val="24"/>
          <w:highlight w:val="none"/>
          <w:lang w:eastAsia="zh-CN"/>
          <w14:textFill>
            <w14:solidFill>
              <w14:schemeClr w14:val="tx1"/>
            </w14:solidFill>
          </w14:textFill>
        </w:rPr>
        <w:t>合同签订后</w:t>
      </w:r>
      <w:r>
        <w:rPr>
          <w:rFonts w:hint="eastAsia" w:asciiTheme="minorEastAsia" w:hAnsiTheme="minorEastAsia" w:eastAsiaTheme="minorEastAsia" w:cstheme="minorEastAsia"/>
          <w:b w:val="0"/>
          <w:bCs/>
          <w:color w:val="000000" w:themeColor="text1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支付合同金额的30%作为预付款，货物验收合格后一次性支付合同金额的70%。</w:t>
      </w:r>
    </w:p>
    <w:p w14:paraId="5EE71A76">
      <w:pPr>
        <w:spacing w:line="480" w:lineRule="exact"/>
        <w:rPr>
          <w:rFonts w:hint="eastAsia" w:asciiTheme="minorEastAsia" w:hAnsiTheme="minorEastAsia" w:eastAsiaTheme="minorEastAsia" w:cstheme="minorEastAsia"/>
          <w:b/>
          <w:color w:val="000000" w:themeColor="text1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Theme="minorEastAsia" w:hAnsiTheme="minorEastAsia" w:eastAsiaTheme="minorEastAsia" w:cstheme="minorEastAsia"/>
          <w:b/>
          <w:color w:val="000000" w:themeColor="text1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2、</w:t>
      </w:r>
      <w:r>
        <w:rPr>
          <w:rFonts w:hint="eastAsia" w:asciiTheme="minorEastAsia" w:hAnsiTheme="minorEastAsia" w:eastAsiaTheme="minorEastAsia" w:cstheme="minorEastAsia"/>
          <w:b/>
          <w:color w:val="000000" w:themeColor="text1"/>
          <w:sz w:val="24"/>
          <w:szCs w:val="24"/>
          <w:highlight w:val="none"/>
          <w:lang w:eastAsia="zh-CN"/>
          <w14:textFill>
            <w14:solidFill>
              <w14:schemeClr w14:val="tx1"/>
            </w14:solidFill>
          </w14:textFill>
        </w:rPr>
        <w:t>交货期：</w:t>
      </w:r>
      <w:r>
        <w:rPr>
          <w:rFonts w:hint="eastAsia" w:asciiTheme="minorEastAsia" w:hAnsiTheme="minorEastAsia" w:eastAsiaTheme="minorEastAsia" w:cstheme="minorEastAsia"/>
          <w:b w:val="0"/>
          <w:bCs/>
          <w:color w:val="000000" w:themeColor="text1"/>
          <w:sz w:val="24"/>
          <w:szCs w:val="24"/>
          <w:highlight w:val="none"/>
          <w:lang w:eastAsia="zh-CN"/>
          <w14:textFill>
            <w14:solidFill>
              <w14:schemeClr w14:val="tx1"/>
            </w14:solidFill>
          </w14:textFill>
        </w:rPr>
        <w:t>接采购人通知后</w:t>
      </w:r>
      <w:r>
        <w:rPr>
          <w:rFonts w:hint="eastAsia" w:asciiTheme="minorEastAsia" w:hAnsiTheme="minorEastAsia" w:eastAsiaTheme="minorEastAsia" w:cstheme="minorEastAsia"/>
          <w:b w:val="0"/>
          <w:bCs/>
          <w:color w:val="000000" w:themeColor="text1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30日内完成交付并验收合格。</w:t>
      </w:r>
    </w:p>
    <w:p w14:paraId="5487FD50">
      <w:pPr>
        <w:spacing w:line="480" w:lineRule="exact"/>
        <w:rPr>
          <w:rFonts w:hint="eastAsia" w:asciiTheme="minorEastAsia" w:hAnsiTheme="minorEastAsia" w:eastAsiaTheme="minorEastAsia" w:cstheme="minorEastAsia"/>
          <w:b/>
          <w:color w:val="000000" w:themeColor="text1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Theme="minorEastAsia" w:hAnsiTheme="minorEastAsia" w:eastAsiaTheme="minorEastAsia" w:cstheme="minorEastAsia"/>
          <w:b/>
          <w:color w:val="000000" w:themeColor="text1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3、交货地点：</w:t>
      </w:r>
      <w:r>
        <w:rPr>
          <w:rFonts w:hint="eastAsia" w:asciiTheme="minorEastAsia" w:hAnsiTheme="minorEastAsia" w:eastAsiaTheme="minorEastAsia" w:cstheme="minorEastAsia"/>
          <w:b w:val="0"/>
          <w:bCs/>
          <w:color w:val="000000" w:themeColor="text1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采购人指定地点。</w:t>
      </w:r>
    </w:p>
    <w:p w14:paraId="643467ED">
      <w:pPr>
        <w:spacing w:line="480" w:lineRule="exact"/>
        <w:rPr>
          <w:rFonts w:hint="eastAsia" w:asciiTheme="minorEastAsia" w:hAnsiTheme="minorEastAsia" w:eastAsiaTheme="minorEastAsia" w:cstheme="minorEastAsia"/>
          <w:b w:val="0"/>
          <w:bCs/>
          <w:color w:val="000000" w:themeColor="text1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Theme="minorEastAsia" w:hAnsiTheme="minorEastAsia" w:eastAsiaTheme="minorEastAsia" w:cstheme="minorEastAsia"/>
          <w:b/>
          <w:color w:val="000000" w:themeColor="text1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4、</w:t>
      </w:r>
      <w:r>
        <w:rPr>
          <w:rFonts w:hint="eastAsia" w:asciiTheme="minorEastAsia" w:hAnsiTheme="minorEastAsia" w:eastAsiaTheme="minorEastAsia" w:cstheme="minorEastAsia"/>
          <w:b/>
          <w:color w:val="000000" w:themeColor="text1"/>
          <w:sz w:val="24"/>
          <w:szCs w:val="24"/>
          <w:highlight w:val="none"/>
          <w:lang w:eastAsia="zh-CN"/>
          <w14:textFill>
            <w14:solidFill>
              <w14:schemeClr w14:val="tx1"/>
            </w14:solidFill>
          </w14:textFill>
        </w:rPr>
        <w:t>质保期：</w:t>
      </w:r>
      <w:r>
        <w:rPr>
          <w:rFonts w:hint="eastAsia" w:asciiTheme="minorEastAsia" w:hAnsiTheme="minorEastAsia" w:eastAsiaTheme="minorEastAsia" w:cstheme="minorEastAsia"/>
          <w:b w:val="0"/>
          <w:bCs/>
          <w:color w:val="000000" w:themeColor="text1"/>
          <w:sz w:val="24"/>
          <w:szCs w:val="24"/>
          <w:highlight w:val="none"/>
          <w:lang w:eastAsia="zh-CN"/>
          <w14:textFill>
            <w14:solidFill>
              <w14:schemeClr w14:val="tx1"/>
            </w14:solidFill>
          </w14:textFill>
        </w:rPr>
        <w:t>整体质保</w:t>
      </w:r>
      <w:r>
        <w:rPr>
          <w:rFonts w:hint="eastAsia" w:asciiTheme="minorEastAsia" w:hAnsiTheme="minorEastAsia" w:eastAsiaTheme="minorEastAsia" w:cstheme="minorEastAsia"/>
          <w:b w:val="0"/>
          <w:bCs/>
          <w:color w:val="000000" w:themeColor="text1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1年。</w:t>
      </w:r>
    </w:p>
    <w:p w14:paraId="333A484C">
      <w:pPr>
        <w:spacing w:line="480" w:lineRule="exact"/>
        <w:rPr>
          <w:rFonts w:hint="eastAsia" w:asciiTheme="minorEastAsia" w:hAnsiTheme="minorEastAsia" w:eastAsiaTheme="minorEastAsia" w:cstheme="minorEastAsia"/>
          <w:b w:val="0"/>
          <w:bCs/>
          <w:color w:val="000000" w:themeColor="text1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Theme="minorEastAsia" w:hAnsiTheme="minorEastAsia" w:eastAsiaTheme="minorEastAsia" w:cstheme="minorEastAsia"/>
          <w:b/>
          <w:color w:val="000000" w:themeColor="text1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5、</w:t>
      </w:r>
      <w:r>
        <w:rPr>
          <w:rFonts w:hint="eastAsia" w:asciiTheme="minorEastAsia" w:hAnsiTheme="minorEastAsia" w:eastAsiaTheme="minorEastAsia" w:cstheme="minorEastAsia"/>
          <w:b/>
          <w:color w:val="000000" w:themeColor="text1"/>
          <w:sz w:val="24"/>
          <w:szCs w:val="24"/>
          <w:highlight w:val="none"/>
          <w:lang w:eastAsia="zh-CN"/>
          <w14:textFill>
            <w14:solidFill>
              <w14:schemeClr w14:val="tx1"/>
            </w14:solidFill>
          </w14:textFill>
        </w:rPr>
        <w:t>售后服务要求：</w:t>
      </w:r>
      <w:r>
        <w:rPr>
          <w:rFonts w:hint="eastAsia" w:asciiTheme="minorEastAsia" w:hAnsiTheme="minorEastAsia" w:eastAsiaTheme="minorEastAsia" w:cstheme="minorEastAsia"/>
          <w:b w:val="0"/>
          <w:bCs/>
          <w:color w:val="000000" w:themeColor="text1"/>
          <w:sz w:val="24"/>
          <w:szCs w:val="24"/>
          <w:highlight w:val="none"/>
          <w:lang w:eastAsia="zh-CN"/>
          <w14:textFill>
            <w14:solidFill>
              <w14:schemeClr w14:val="tx1"/>
            </w14:solidFill>
          </w14:textFill>
        </w:rPr>
        <w:t>质保期内，提供免费维修服务，接采购人通知后，需</w:t>
      </w:r>
      <w:r>
        <w:rPr>
          <w:rFonts w:hint="eastAsia" w:asciiTheme="minorEastAsia" w:hAnsiTheme="minorEastAsia" w:eastAsiaTheme="minorEastAsia" w:cstheme="minorEastAsia"/>
          <w:b w:val="0"/>
          <w:bCs/>
          <w:color w:val="000000" w:themeColor="text1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24小时到达维修现场。如中标人未在规定时间排除故障或更换问题货物，采购人有权委托第三方或自行修理，相关费用由中标人支付。</w:t>
      </w:r>
    </w:p>
    <w:p w14:paraId="0F661B5D">
      <w:pPr>
        <w:numPr>
          <w:ilvl w:val="0"/>
          <w:numId w:val="0"/>
        </w:numPr>
        <w:spacing w:line="480" w:lineRule="exact"/>
        <w:rPr>
          <w:rFonts w:hint="eastAsia" w:asciiTheme="minorEastAsia" w:hAnsiTheme="minorEastAsia" w:eastAsiaTheme="minorEastAsia" w:cstheme="minorEastAsia"/>
          <w:b/>
          <w:color w:val="000000" w:themeColor="text1"/>
          <w:sz w:val="24"/>
          <w:szCs w:val="24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Theme="minorEastAsia" w:hAnsiTheme="minorEastAsia" w:eastAsiaTheme="minorEastAsia" w:cstheme="minorEastAsia"/>
          <w:b/>
          <w:color w:val="000000" w:themeColor="text1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6、验收要求</w:t>
      </w:r>
    </w:p>
    <w:p w14:paraId="61BAA379">
      <w:pPr>
        <w:numPr>
          <w:ilvl w:val="0"/>
          <w:numId w:val="0"/>
        </w:numPr>
        <w:spacing w:line="480" w:lineRule="exact"/>
        <w:rPr>
          <w:rFonts w:hint="eastAsia" w:asciiTheme="minorEastAsia" w:hAnsiTheme="minorEastAsia" w:eastAsiaTheme="minorEastAsia" w:cstheme="minorEastAsia"/>
          <w:b w:val="0"/>
          <w:bCs/>
          <w:color w:val="000000" w:themeColor="text1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Theme="minorEastAsia" w:hAnsiTheme="minorEastAsia" w:eastAsiaTheme="minorEastAsia" w:cstheme="minorEastAsia"/>
          <w:b w:val="0"/>
          <w:bCs/>
          <w:color w:val="000000" w:themeColor="text1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6.1交付验收标准：招标文件、投标文件及相关标准规范；</w:t>
      </w:r>
    </w:p>
    <w:p w14:paraId="46D4B12F">
      <w:pPr>
        <w:numPr>
          <w:ilvl w:val="0"/>
          <w:numId w:val="0"/>
        </w:numPr>
        <w:spacing w:line="480" w:lineRule="exact"/>
        <w:rPr>
          <w:rFonts w:hint="eastAsia" w:asciiTheme="minorEastAsia" w:hAnsiTheme="minorEastAsia" w:eastAsiaTheme="minorEastAsia" w:cstheme="minorEastAsia"/>
          <w:b w:val="0"/>
          <w:bCs/>
          <w:color w:val="000000" w:themeColor="text1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Theme="minorEastAsia" w:hAnsiTheme="minorEastAsia" w:eastAsiaTheme="minorEastAsia" w:cstheme="minorEastAsia"/>
          <w:b w:val="0"/>
          <w:bCs/>
          <w:color w:val="000000" w:themeColor="text1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 xml:space="preserve">6.2货物运抵采购人指定地点后，由采购人和投标人组织相关人员共同对到货货物的数量、型号、外观、包装质量、技术资料等进行检查，双方确认后由投标人提出项目验收申请报告，经采购人验收合格后，双方在验收报告上签字； </w:t>
      </w:r>
    </w:p>
    <w:p w14:paraId="120E168F">
      <w:pPr>
        <w:numPr>
          <w:ilvl w:val="0"/>
          <w:numId w:val="0"/>
        </w:numPr>
        <w:spacing w:line="480" w:lineRule="exact"/>
        <w:rPr>
          <w:rFonts w:hint="eastAsia" w:asciiTheme="minorEastAsia" w:hAnsiTheme="minorEastAsia" w:eastAsiaTheme="minorEastAsia" w:cstheme="minorEastAsia"/>
          <w:b w:val="0"/>
          <w:bCs/>
          <w:color w:val="000000" w:themeColor="text1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Theme="minorEastAsia" w:hAnsiTheme="minorEastAsia" w:eastAsiaTheme="minorEastAsia" w:cstheme="minorEastAsia"/>
          <w:b w:val="0"/>
          <w:bCs/>
          <w:color w:val="000000" w:themeColor="text1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6.3在验收过程中发现数量不足或有质量、技术等问题，投标人应负责按照采购人的要求采取补足、更换或退货等措施妥善处理，并承担由此发生的一切费用和损失；</w:t>
      </w:r>
    </w:p>
    <w:p w14:paraId="045280F6">
      <w:pPr>
        <w:numPr>
          <w:ilvl w:val="0"/>
          <w:numId w:val="0"/>
        </w:numPr>
        <w:spacing w:line="480" w:lineRule="exact"/>
        <w:rPr>
          <w:rFonts w:hint="eastAsia" w:asciiTheme="minorEastAsia" w:hAnsiTheme="minorEastAsia" w:eastAsiaTheme="minorEastAsia" w:cstheme="minorEastAsia"/>
          <w:b w:val="0"/>
          <w:bCs/>
          <w:color w:val="000000" w:themeColor="text1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Theme="minorEastAsia" w:hAnsiTheme="minorEastAsia" w:eastAsiaTheme="minorEastAsia" w:cstheme="minorEastAsia"/>
          <w:b w:val="0"/>
          <w:bCs/>
          <w:color w:val="000000" w:themeColor="text1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6.4因投标人所提供的产品出现质量问题而引起的纠纷，则由具有资质的相关质检机构进行检测，由此而发生的费用由过错方负责。</w:t>
      </w:r>
    </w:p>
    <w:p w14:paraId="39B691A1">
      <w:pPr>
        <w:pageBreakBefore w:val="0"/>
        <w:widowControl w:val="0"/>
        <w:wordWrap/>
        <w:overflowPunct/>
        <w:topLinePunct w:val="0"/>
        <w:bidi w:val="0"/>
        <w:rPr>
          <w:color w:val="000000" w:themeColor="text1"/>
          <w:spacing w:val="0"/>
          <w:w w:val="100"/>
          <w:position w:val="0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bCs w:val="0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注：以上商务条款需全部满足或优于，否则作无效投标。</w:t>
      </w:r>
    </w:p>
    <w:sectPr>
      <w:headerReference r:id="rId3" w:type="default"/>
      <w:footerReference r:id="rId4" w:type="default"/>
      <w:pgSz w:w="11906" w:h="16839"/>
      <w:pgMar w:top="1429" w:right="1304" w:bottom="1156" w:left="1307" w:header="0" w:footer="994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Cambria Math">
    <w:panose1 w:val="02040503050406030204"/>
    <w:charset w:val="00"/>
    <w:family w:val="auto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D0C3AE9">
    <w:pPr>
      <w:pStyle w:val="12"/>
      <w:rPr>
        <w:lang w:eastAsia="zh-CN"/>
      </w:rPr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55" name="文本框 5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79707A0">
                          <w:pPr>
                            <w:pStyle w:val="1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61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279707A0">
                    <w:pPr>
                      <w:pStyle w:val="1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61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F656D81">
    <w:pPr>
      <w:pStyle w:val="13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displayBackgroundShape w:val="1"/>
  <w:embedTrueTypeFonts/>
  <w:saveSubsetFonts/>
  <w:bordersDoNotSurroundHeader w:val="0"/>
  <w:bordersDoNotSurroundFooter w:val="0"/>
  <w:trackRevisions w:val="1"/>
  <w:documentProtection w:enforcement="0"/>
  <w:defaultTabStop w:val="421"/>
  <w:displayHorizontalDrawingGridEvery w:val="1"/>
  <w:displayVerticalDrawingGridEvery w:val="1"/>
  <w:noPunctuationKerning w:val="1"/>
  <w:characterSpacingControl w:val="doNotCompress"/>
  <w:hdrShapeDefaults>
    <o:shapelayout v:ext="edit">
      <o:idmap v:ext="edit" data="2"/>
    </o:shapelayout>
  </w:hdrShapeDefaults>
  <w:compat>
    <w:spaceForUL/>
    <w:ulTrailSpace/>
    <w:doNotExpandShiftReturn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mQ1M2IwZTUyMDQ1NGQwYjA1ZjExM2FlODA3YjQ0MzEifQ=="/>
  </w:docVars>
  <w:rsids>
    <w:rsidRoot w:val="00F72BE7"/>
    <w:rsid w:val="0031198B"/>
    <w:rsid w:val="00412A37"/>
    <w:rsid w:val="006308AB"/>
    <w:rsid w:val="00847DE1"/>
    <w:rsid w:val="00CD47AB"/>
    <w:rsid w:val="00D6521D"/>
    <w:rsid w:val="00F72BE7"/>
    <w:rsid w:val="013D404E"/>
    <w:rsid w:val="014707D5"/>
    <w:rsid w:val="0183453D"/>
    <w:rsid w:val="01E178D6"/>
    <w:rsid w:val="01F176F8"/>
    <w:rsid w:val="02386212"/>
    <w:rsid w:val="0248587B"/>
    <w:rsid w:val="02820AD7"/>
    <w:rsid w:val="02F62DEB"/>
    <w:rsid w:val="03065296"/>
    <w:rsid w:val="035C5A34"/>
    <w:rsid w:val="039753F9"/>
    <w:rsid w:val="03A14F29"/>
    <w:rsid w:val="03A27AFA"/>
    <w:rsid w:val="044D1E30"/>
    <w:rsid w:val="04DE51A5"/>
    <w:rsid w:val="04F64D19"/>
    <w:rsid w:val="04FA5415"/>
    <w:rsid w:val="052B325D"/>
    <w:rsid w:val="05A629A4"/>
    <w:rsid w:val="05F07017"/>
    <w:rsid w:val="0600615C"/>
    <w:rsid w:val="062D088E"/>
    <w:rsid w:val="065779B9"/>
    <w:rsid w:val="066257FB"/>
    <w:rsid w:val="06F21F49"/>
    <w:rsid w:val="07280AA2"/>
    <w:rsid w:val="076566A7"/>
    <w:rsid w:val="079A2F4B"/>
    <w:rsid w:val="07B64740"/>
    <w:rsid w:val="07FC21A6"/>
    <w:rsid w:val="081F5E69"/>
    <w:rsid w:val="08234384"/>
    <w:rsid w:val="08422AE3"/>
    <w:rsid w:val="08D800EA"/>
    <w:rsid w:val="08D86F1C"/>
    <w:rsid w:val="098C4275"/>
    <w:rsid w:val="099C2AD0"/>
    <w:rsid w:val="09F76A86"/>
    <w:rsid w:val="0A5474C3"/>
    <w:rsid w:val="0A5F7AD5"/>
    <w:rsid w:val="0A630BD7"/>
    <w:rsid w:val="0A8A1566"/>
    <w:rsid w:val="0AAA50E9"/>
    <w:rsid w:val="0ABB6AF5"/>
    <w:rsid w:val="0ACF1ECA"/>
    <w:rsid w:val="0BCE5A19"/>
    <w:rsid w:val="0BD25EA5"/>
    <w:rsid w:val="0C027923"/>
    <w:rsid w:val="0C1E16F8"/>
    <w:rsid w:val="0C6B2059"/>
    <w:rsid w:val="0DB63714"/>
    <w:rsid w:val="0DBF7C0D"/>
    <w:rsid w:val="0DD264ED"/>
    <w:rsid w:val="0DD809E2"/>
    <w:rsid w:val="0E045967"/>
    <w:rsid w:val="0E304D8B"/>
    <w:rsid w:val="0E306947"/>
    <w:rsid w:val="0E9A1704"/>
    <w:rsid w:val="0F0E7B3C"/>
    <w:rsid w:val="0F8346BB"/>
    <w:rsid w:val="0FAD17DF"/>
    <w:rsid w:val="0FF52EEC"/>
    <w:rsid w:val="101C46B9"/>
    <w:rsid w:val="107F306E"/>
    <w:rsid w:val="10D80401"/>
    <w:rsid w:val="114948FA"/>
    <w:rsid w:val="119223E6"/>
    <w:rsid w:val="125329BB"/>
    <w:rsid w:val="126757A9"/>
    <w:rsid w:val="1292624E"/>
    <w:rsid w:val="129C0FBA"/>
    <w:rsid w:val="12BD1CEC"/>
    <w:rsid w:val="13247457"/>
    <w:rsid w:val="139F6FB4"/>
    <w:rsid w:val="143E0B0F"/>
    <w:rsid w:val="146F6CB4"/>
    <w:rsid w:val="14B561ED"/>
    <w:rsid w:val="14D27EAB"/>
    <w:rsid w:val="14F13A81"/>
    <w:rsid w:val="1538599A"/>
    <w:rsid w:val="158B0678"/>
    <w:rsid w:val="15C90C81"/>
    <w:rsid w:val="16426169"/>
    <w:rsid w:val="165F5C3E"/>
    <w:rsid w:val="16A356CC"/>
    <w:rsid w:val="16EA0A0B"/>
    <w:rsid w:val="17252E49"/>
    <w:rsid w:val="173418E5"/>
    <w:rsid w:val="17342109"/>
    <w:rsid w:val="17B76D45"/>
    <w:rsid w:val="17D60801"/>
    <w:rsid w:val="182E6B2B"/>
    <w:rsid w:val="18363C5F"/>
    <w:rsid w:val="186009B5"/>
    <w:rsid w:val="18846779"/>
    <w:rsid w:val="18A26578"/>
    <w:rsid w:val="18C97898"/>
    <w:rsid w:val="18E84F59"/>
    <w:rsid w:val="18F643B3"/>
    <w:rsid w:val="19241D0A"/>
    <w:rsid w:val="193E2DCB"/>
    <w:rsid w:val="196206F1"/>
    <w:rsid w:val="19AD2FD4"/>
    <w:rsid w:val="19F33BB6"/>
    <w:rsid w:val="1A1B6B97"/>
    <w:rsid w:val="1A1F0E4F"/>
    <w:rsid w:val="1A551963"/>
    <w:rsid w:val="1AF44F33"/>
    <w:rsid w:val="1B4548E5"/>
    <w:rsid w:val="1B702014"/>
    <w:rsid w:val="1BD47A17"/>
    <w:rsid w:val="1C766D20"/>
    <w:rsid w:val="1C9B22E3"/>
    <w:rsid w:val="1D085BCA"/>
    <w:rsid w:val="1D0D2F40"/>
    <w:rsid w:val="1D74500E"/>
    <w:rsid w:val="1DD800C0"/>
    <w:rsid w:val="1DF86E54"/>
    <w:rsid w:val="1E43791C"/>
    <w:rsid w:val="1E450556"/>
    <w:rsid w:val="1F2952CA"/>
    <w:rsid w:val="1F7C23A6"/>
    <w:rsid w:val="1FAB6CE1"/>
    <w:rsid w:val="206155F1"/>
    <w:rsid w:val="20B54DB2"/>
    <w:rsid w:val="21042B4C"/>
    <w:rsid w:val="213A566A"/>
    <w:rsid w:val="2195298B"/>
    <w:rsid w:val="21CE72BA"/>
    <w:rsid w:val="22072FB3"/>
    <w:rsid w:val="220B02AE"/>
    <w:rsid w:val="22112B50"/>
    <w:rsid w:val="22284619"/>
    <w:rsid w:val="224433AA"/>
    <w:rsid w:val="22791318"/>
    <w:rsid w:val="22A85555"/>
    <w:rsid w:val="22FD3CF7"/>
    <w:rsid w:val="23056708"/>
    <w:rsid w:val="234D0A23"/>
    <w:rsid w:val="23746473"/>
    <w:rsid w:val="237B00EF"/>
    <w:rsid w:val="23C04A55"/>
    <w:rsid w:val="23CE7442"/>
    <w:rsid w:val="240B57D8"/>
    <w:rsid w:val="24457704"/>
    <w:rsid w:val="25533D7B"/>
    <w:rsid w:val="25823163"/>
    <w:rsid w:val="25B23DB8"/>
    <w:rsid w:val="25CB59E7"/>
    <w:rsid w:val="25E2090D"/>
    <w:rsid w:val="25F37706"/>
    <w:rsid w:val="26BE3321"/>
    <w:rsid w:val="2722776F"/>
    <w:rsid w:val="27457A1B"/>
    <w:rsid w:val="274B704D"/>
    <w:rsid w:val="279C2686"/>
    <w:rsid w:val="27EF1D1C"/>
    <w:rsid w:val="280660E7"/>
    <w:rsid w:val="282166A9"/>
    <w:rsid w:val="28706D19"/>
    <w:rsid w:val="28CF7D70"/>
    <w:rsid w:val="28D241FB"/>
    <w:rsid w:val="291F3D28"/>
    <w:rsid w:val="29262738"/>
    <w:rsid w:val="292F5AA7"/>
    <w:rsid w:val="29C7779A"/>
    <w:rsid w:val="2A071140"/>
    <w:rsid w:val="2AC967C3"/>
    <w:rsid w:val="2AFA115F"/>
    <w:rsid w:val="2B0F5B99"/>
    <w:rsid w:val="2B296C56"/>
    <w:rsid w:val="2BDA2720"/>
    <w:rsid w:val="2BE93C1A"/>
    <w:rsid w:val="2BED313B"/>
    <w:rsid w:val="2C695F59"/>
    <w:rsid w:val="2C8B6CDE"/>
    <w:rsid w:val="2CA90A4C"/>
    <w:rsid w:val="2CE41C67"/>
    <w:rsid w:val="2CF55C1F"/>
    <w:rsid w:val="2D665E74"/>
    <w:rsid w:val="2D99286E"/>
    <w:rsid w:val="2DC73BD0"/>
    <w:rsid w:val="2DC82B17"/>
    <w:rsid w:val="2DD921D9"/>
    <w:rsid w:val="2DF41412"/>
    <w:rsid w:val="2E234DC0"/>
    <w:rsid w:val="2E2B0E5E"/>
    <w:rsid w:val="2E575FCC"/>
    <w:rsid w:val="2E693B84"/>
    <w:rsid w:val="2E960B5C"/>
    <w:rsid w:val="2EB108A7"/>
    <w:rsid w:val="2EEB534C"/>
    <w:rsid w:val="2EF51D26"/>
    <w:rsid w:val="2F5F3B7C"/>
    <w:rsid w:val="2F7679A0"/>
    <w:rsid w:val="2FB63E0A"/>
    <w:rsid w:val="2FC17E5A"/>
    <w:rsid w:val="305E1890"/>
    <w:rsid w:val="30EF0166"/>
    <w:rsid w:val="310E0E7D"/>
    <w:rsid w:val="31353885"/>
    <w:rsid w:val="314D409C"/>
    <w:rsid w:val="31526CE7"/>
    <w:rsid w:val="316B62D0"/>
    <w:rsid w:val="31755C41"/>
    <w:rsid w:val="318178A1"/>
    <w:rsid w:val="31AC0DC2"/>
    <w:rsid w:val="31C55E0D"/>
    <w:rsid w:val="31E76326"/>
    <w:rsid w:val="31FE5396"/>
    <w:rsid w:val="321C6AB4"/>
    <w:rsid w:val="3233535A"/>
    <w:rsid w:val="32950EC6"/>
    <w:rsid w:val="329A3D4F"/>
    <w:rsid w:val="32BE2A91"/>
    <w:rsid w:val="33074498"/>
    <w:rsid w:val="33AE791F"/>
    <w:rsid w:val="33F26834"/>
    <w:rsid w:val="3408478C"/>
    <w:rsid w:val="34325184"/>
    <w:rsid w:val="346E1C27"/>
    <w:rsid w:val="34753DC1"/>
    <w:rsid w:val="34DF14AF"/>
    <w:rsid w:val="34F27B67"/>
    <w:rsid w:val="35591BE5"/>
    <w:rsid w:val="36064E50"/>
    <w:rsid w:val="362863AF"/>
    <w:rsid w:val="362E6E61"/>
    <w:rsid w:val="36597105"/>
    <w:rsid w:val="36844F22"/>
    <w:rsid w:val="369A40E1"/>
    <w:rsid w:val="37B87090"/>
    <w:rsid w:val="38740160"/>
    <w:rsid w:val="388C0BF4"/>
    <w:rsid w:val="388E28F1"/>
    <w:rsid w:val="3899102A"/>
    <w:rsid w:val="38D90E24"/>
    <w:rsid w:val="38E452E6"/>
    <w:rsid w:val="391853A7"/>
    <w:rsid w:val="39225E0E"/>
    <w:rsid w:val="399240A1"/>
    <w:rsid w:val="39D96E5F"/>
    <w:rsid w:val="39E651C8"/>
    <w:rsid w:val="3A1B5E20"/>
    <w:rsid w:val="3A5913BB"/>
    <w:rsid w:val="3A6B125E"/>
    <w:rsid w:val="3B163B4E"/>
    <w:rsid w:val="3B7E51F7"/>
    <w:rsid w:val="3B8811A4"/>
    <w:rsid w:val="3BAC10D3"/>
    <w:rsid w:val="3C0F220A"/>
    <w:rsid w:val="3C2264C9"/>
    <w:rsid w:val="3C267544"/>
    <w:rsid w:val="3C8C6D91"/>
    <w:rsid w:val="3CA37266"/>
    <w:rsid w:val="3D36354C"/>
    <w:rsid w:val="3DBB413B"/>
    <w:rsid w:val="3DC93A44"/>
    <w:rsid w:val="3DD11BB1"/>
    <w:rsid w:val="3DED4811"/>
    <w:rsid w:val="3E1E3D08"/>
    <w:rsid w:val="3E1F3CAD"/>
    <w:rsid w:val="3E292C29"/>
    <w:rsid w:val="3E333298"/>
    <w:rsid w:val="3E78615B"/>
    <w:rsid w:val="3E8409D1"/>
    <w:rsid w:val="3E8E35FE"/>
    <w:rsid w:val="3EA54219"/>
    <w:rsid w:val="3F0331A0"/>
    <w:rsid w:val="3F19434D"/>
    <w:rsid w:val="3F36616F"/>
    <w:rsid w:val="3F9162D7"/>
    <w:rsid w:val="3F984C13"/>
    <w:rsid w:val="3FE23C01"/>
    <w:rsid w:val="40F46D4D"/>
    <w:rsid w:val="41015B84"/>
    <w:rsid w:val="428E7BE1"/>
    <w:rsid w:val="42B20B36"/>
    <w:rsid w:val="42FB66C8"/>
    <w:rsid w:val="43192944"/>
    <w:rsid w:val="43394480"/>
    <w:rsid w:val="447255E6"/>
    <w:rsid w:val="44B416B1"/>
    <w:rsid w:val="44CD7E13"/>
    <w:rsid w:val="453A628D"/>
    <w:rsid w:val="454B2248"/>
    <w:rsid w:val="45921C25"/>
    <w:rsid w:val="45A64394"/>
    <w:rsid w:val="45B61DB8"/>
    <w:rsid w:val="45D2152F"/>
    <w:rsid w:val="45E5444B"/>
    <w:rsid w:val="45EE0F95"/>
    <w:rsid w:val="45F42F70"/>
    <w:rsid w:val="45F85626"/>
    <w:rsid w:val="462273F5"/>
    <w:rsid w:val="46515897"/>
    <w:rsid w:val="466556B5"/>
    <w:rsid w:val="46710516"/>
    <w:rsid w:val="4692195B"/>
    <w:rsid w:val="46CB1893"/>
    <w:rsid w:val="470E15D4"/>
    <w:rsid w:val="471548BC"/>
    <w:rsid w:val="47234C6F"/>
    <w:rsid w:val="474665FE"/>
    <w:rsid w:val="47B61937"/>
    <w:rsid w:val="47C91AD2"/>
    <w:rsid w:val="47E36768"/>
    <w:rsid w:val="48347672"/>
    <w:rsid w:val="48643D4D"/>
    <w:rsid w:val="487D7E3E"/>
    <w:rsid w:val="48967192"/>
    <w:rsid w:val="489A6313"/>
    <w:rsid w:val="48A95C04"/>
    <w:rsid w:val="48AF2AAF"/>
    <w:rsid w:val="48CE0A5C"/>
    <w:rsid w:val="4949445D"/>
    <w:rsid w:val="496A50FA"/>
    <w:rsid w:val="49AF1634"/>
    <w:rsid w:val="49B51BAE"/>
    <w:rsid w:val="4A442B3D"/>
    <w:rsid w:val="4A5E47CC"/>
    <w:rsid w:val="4A7E09CA"/>
    <w:rsid w:val="4A884CC6"/>
    <w:rsid w:val="4AA55BC3"/>
    <w:rsid w:val="4ABC7D85"/>
    <w:rsid w:val="4AF313B8"/>
    <w:rsid w:val="4B1B446B"/>
    <w:rsid w:val="4B5005B9"/>
    <w:rsid w:val="4B8D5A9D"/>
    <w:rsid w:val="4B936377"/>
    <w:rsid w:val="4C254B4B"/>
    <w:rsid w:val="4C9A3174"/>
    <w:rsid w:val="4D07114B"/>
    <w:rsid w:val="4D403EDA"/>
    <w:rsid w:val="4D534278"/>
    <w:rsid w:val="4D954046"/>
    <w:rsid w:val="4E202AF3"/>
    <w:rsid w:val="4E6D29C4"/>
    <w:rsid w:val="4E9A0D74"/>
    <w:rsid w:val="4F003F2F"/>
    <w:rsid w:val="4F282F37"/>
    <w:rsid w:val="4F502112"/>
    <w:rsid w:val="4F6B7B6A"/>
    <w:rsid w:val="4F701691"/>
    <w:rsid w:val="4FAA2095"/>
    <w:rsid w:val="4FC60E49"/>
    <w:rsid w:val="4FF52C71"/>
    <w:rsid w:val="503A7A08"/>
    <w:rsid w:val="5055041F"/>
    <w:rsid w:val="509A51EA"/>
    <w:rsid w:val="509E3ED1"/>
    <w:rsid w:val="50CC74DB"/>
    <w:rsid w:val="511950DC"/>
    <w:rsid w:val="514E559A"/>
    <w:rsid w:val="51E92988"/>
    <w:rsid w:val="520E62B8"/>
    <w:rsid w:val="523F41DA"/>
    <w:rsid w:val="52754DA9"/>
    <w:rsid w:val="528312E8"/>
    <w:rsid w:val="529A4BA7"/>
    <w:rsid w:val="52B50FFA"/>
    <w:rsid w:val="52C31E67"/>
    <w:rsid w:val="52C92BAB"/>
    <w:rsid w:val="52DA54E7"/>
    <w:rsid w:val="52E468A6"/>
    <w:rsid w:val="52E8669F"/>
    <w:rsid w:val="531C477E"/>
    <w:rsid w:val="531F42E7"/>
    <w:rsid w:val="53283A63"/>
    <w:rsid w:val="532A5284"/>
    <w:rsid w:val="53D6797D"/>
    <w:rsid w:val="53E775E0"/>
    <w:rsid w:val="53EF4599"/>
    <w:rsid w:val="54BC690A"/>
    <w:rsid w:val="54D375C1"/>
    <w:rsid w:val="54FD5330"/>
    <w:rsid w:val="55132EB9"/>
    <w:rsid w:val="557F7201"/>
    <w:rsid w:val="55E101CF"/>
    <w:rsid w:val="55F00828"/>
    <w:rsid w:val="561B7A15"/>
    <w:rsid w:val="561F7505"/>
    <w:rsid w:val="563711E3"/>
    <w:rsid w:val="56431446"/>
    <w:rsid w:val="56E5591B"/>
    <w:rsid w:val="57631674"/>
    <w:rsid w:val="577D1266"/>
    <w:rsid w:val="5794495B"/>
    <w:rsid w:val="57A500D0"/>
    <w:rsid w:val="57C351F2"/>
    <w:rsid w:val="58532224"/>
    <w:rsid w:val="586903C5"/>
    <w:rsid w:val="58711142"/>
    <w:rsid w:val="58794F18"/>
    <w:rsid w:val="593212FE"/>
    <w:rsid w:val="59590F80"/>
    <w:rsid w:val="59A732EE"/>
    <w:rsid w:val="59C3464B"/>
    <w:rsid w:val="59DE2BBE"/>
    <w:rsid w:val="59E15599"/>
    <w:rsid w:val="5A410A6F"/>
    <w:rsid w:val="5BE24B90"/>
    <w:rsid w:val="5BE80A31"/>
    <w:rsid w:val="5C65447A"/>
    <w:rsid w:val="5C781860"/>
    <w:rsid w:val="5CCD039C"/>
    <w:rsid w:val="5CE05C01"/>
    <w:rsid w:val="5D067F46"/>
    <w:rsid w:val="5DE03A1E"/>
    <w:rsid w:val="5DEA6484"/>
    <w:rsid w:val="5E2A0506"/>
    <w:rsid w:val="5E3F2B2D"/>
    <w:rsid w:val="5F673FB2"/>
    <w:rsid w:val="5F8A2976"/>
    <w:rsid w:val="5F8B5C0B"/>
    <w:rsid w:val="5FB9070F"/>
    <w:rsid w:val="5FE039CC"/>
    <w:rsid w:val="607B4C90"/>
    <w:rsid w:val="60B66CB8"/>
    <w:rsid w:val="60D137C0"/>
    <w:rsid w:val="60E47102"/>
    <w:rsid w:val="611C2FBF"/>
    <w:rsid w:val="613D03AF"/>
    <w:rsid w:val="61FF5DE9"/>
    <w:rsid w:val="62840C9B"/>
    <w:rsid w:val="62DE3E52"/>
    <w:rsid w:val="62E95123"/>
    <w:rsid w:val="63753EA0"/>
    <w:rsid w:val="63923347"/>
    <w:rsid w:val="63A60D41"/>
    <w:rsid w:val="63A86D8C"/>
    <w:rsid w:val="63C45248"/>
    <w:rsid w:val="63C6035F"/>
    <w:rsid w:val="63C84E4B"/>
    <w:rsid w:val="63DC6A36"/>
    <w:rsid w:val="63E14075"/>
    <w:rsid w:val="642121DF"/>
    <w:rsid w:val="64605F0C"/>
    <w:rsid w:val="649A1D1D"/>
    <w:rsid w:val="64E04304"/>
    <w:rsid w:val="65011C71"/>
    <w:rsid w:val="659B691E"/>
    <w:rsid w:val="65C4175C"/>
    <w:rsid w:val="65D242C5"/>
    <w:rsid w:val="65F10142"/>
    <w:rsid w:val="66124991"/>
    <w:rsid w:val="666F4A45"/>
    <w:rsid w:val="66770C98"/>
    <w:rsid w:val="66AE3383"/>
    <w:rsid w:val="66E10C4D"/>
    <w:rsid w:val="67766FAB"/>
    <w:rsid w:val="6796371E"/>
    <w:rsid w:val="685D140B"/>
    <w:rsid w:val="68D15963"/>
    <w:rsid w:val="68D47A7B"/>
    <w:rsid w:val="68DF193E"/>
    <w:rsid w:val="68E84E3F"/>
    <w:rsid w:val="68F76E5C"/>
    <w:rsid w:val="69455133"/>
    <w:rsid w:val="694F7CAA"/>
    <w:rsid w:val="69937B96"/>
    <w:rsid w:val="69C2222A"/>
    <w:rsid w:val="6A3757AC"/>
    <w:rsid w:val="6A701523"/>
    <w:rsid w:val="6AB4645B"/>
    <w:rsid w:val="6AC1406F"/>
    <w:rsid w:val="6AD66997"/>
    <w:rsid w:val="6B4120C8"/>
    <w:rsid w:val="6B596BBE"/>
    <w:rsid w:val="6B8630E6"/>
    <w:rsid w:val="6BDB5E99"/>
    <w:rsid w:val="6BDD42B9"/>
    <w:rsid w:val="6BE84649"/>
    <w:rsid w:val="6C085287"/>
    <w:rsid w:val="6C401523"/>
    <w:rsid w:val="6CD00EA6"/>
    <w:rsid w:val="6CE6131C"/>
    <w:rsid w:val="6D0F4745"/>
    <w:rsid w:val="6D313420"/>
    <w:rsid w:val="6D835473"/>
    <w:rsid w:val="6DDB7D5E"/>
    <w:rsid w:val="6DDD5A51"/>
    <w:rsid w:val="6DE51FC5"/>
    <w:rsid w:val="6EA15698"/>
    <w:rsid w:val="6EA231BA"/>
    <w:rsid w:val="6F482D42"/>
    <w:rsid w:val="6FA523D2"/>
    <w:rsid w:val="6FD37B97"/>
    <w:rsid w:val="6FF27051"/>
    <w:rsid w:val="701045B5"/>
    <w:rsid w:val="703D37EB"/>
    <w:rsid w:val="70692892"/>
    <w:rsid w:val="712D6B22"/>
    <w:rsid w:val="715B4B81"/>
    <w:rsid w:val="717B055E"/>
    <w:rsid w:val="729E26DA"/>
    <w:rsid w:val="72FD5489"/>
    <w:rsid w:val="7301390F"/>
    <w:rsid w:val="730D09BA"/>
    <w:rsid w:val="735C45B6"/>
    <w:rsid w:val="73B07EB2"/>
    <w:rsid w:val="73ED585D"/>
    <w:rsid w:val="741E6BF6"/>
    <w:rsid w:val="742B7A65"/>
    <w:rsid w:val="747607E0"/>
    <w:rsid w:val="74885165"/>
    <w:rsid w:val="757A7E5C"/>
    <w:rsid w:val="75D27861"/>
    <w:rsid w:val="76065B94"/>
    <w:rsid w:val="767A3148"/>
    <w:rsid w:val="768C7E47"/>
    <w:rsid w:val="76D56593"/>
    <w:rsid w:val="77846DA4"/>
    <w:rsid w:val="77C678A9"/>
    <w:rsid w:val="77DF59B7"/>
    <w:rsid w:val="77F04406"/>
    <w:rsid w:val="787F7958"/>
    <w:rsid w:val="78AE6557"/>
    <w:rsid w:val="78CA2EA9"/>
    <w:rsid w:val="78CD0901"/>
    <w:rsid w:val="794B57C1"/>
    <w:rsid w:val="797016D8"/>
    <w:rsid w:val="79762737"/>
    <w:rsid w:val="79817C2A"/>
    <w:rsid w:val="798312C8"/>
    <w:rsid w:val="79AA4E00"/>
    <w:rsid w:val="79AC5213"/>
    <w:rsid w:val="79DC16E1"/>
    <w:rsid w:val="79FE1404"/>
    <w:rsid w:val="7A043533"/>
    <w:rsid w:val="7A4B1055"/>
    <w:rsid w:val="7A7B02C9"/>
    <w:rsid w:val="7ADC47C3"/>
    <w:rsid w:val="7AF00555"/>
    <w:rsid w:val="7B4B6523"/>
    <w:rsid w:val="7B8F0A21"/>
    <w:rsid w:val="7BB37959"/>
    <w:rsid w:val="7BD07335"/>
    <w:rsid w:val="7BD227A0"/>
    <w:rsid w:val="7C1E59E5"/>
    <w:rsid w:val="7C2D5E41"/>
    <w:rsid w:val="7C6720F7"/>
    <w:rsid w:val="7CA010C3"/>
    <w:rsid w:val="7CA34E54"/>
    <w:rsid w:val="7CAB5BD2"/>
    <w:rsid w:val="7CCE6A29"/>
    <w:rsid w:val="7CF33270"/>
    <w:rsid w:val="7D02603F"/>
    <w:rsid w:val="7D2C2B03"/>
    <w:rsid w:val="7D4A280A"/>
    <w:rsid w:val="7DA3197A"/>
    <w:rsid w:val="7E0C5BC7"/>
    <w:rsid w:val="7E146C66"/>
    <w:rsid w:val="7E1D3989"/>
    <w:rsid w:val="7ED61979"/>
    <w:rsid w:val="7F051133"/>
    <w:rsid w:val="7F150C8C"/>
    <w:rsid w:val="7F61079B"/>
    <w:rsid w:val="7F7B2A17"/>
    <w:rsid w:val="7F9E2466"/>
    <w:rsid w:val="7FB81C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99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qFormat="1" w:unhideWhenUsed="0" w:uiPriority="0" w:semiHidden="0" w:name="envelope return"/>
    <w:lsdException w:unhideWhenUsed="0" w:uiPriority="0" w:semiHidden="0" w:name="footnote reference"/>
    <w:lsdException w:qFormat="1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qFormat="1" w:unhideWhenUsed="0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widowControl w:val="0"/>
      <w:spacing w:before="340" w:after="330" w:line="578" w:lineRule="auto"/>
      <w:ind w:left="0" w:right="0"/>
      <w:jc w:val="both"/>
      <w:outlineLvl w:val="0"/>
    </w:pPr>
    <w:rPr>
      <w:rFonts w:ascii="Times New Roman" w:hAnsi="Times New Roman" w:eastAsia="宋体" w:cs="Times New Roman"/>
      <w:b/>
      <w:bCs/>
      <w:kern w:val="44"/>
      <w:sz w:val="44"/>
      <w:szCs w:val="24"/>
      <w:lang w:bidi="ar-SA"/>
    </w:rPr>
  </w:style>
  <w:style w:type="paragraph" w:styleId="3">
    <w:name w:val="heading 2"/>
    <w:basedOn w:val="1"/>
    <w:next w:val="1"/>
    <w:qFormat/>
    <w:uiPriority w:val="0"/>
    <w:pPr>
      <w:keepNext/>
      <w:keepLines/>
      <w:spacing w:before="260" w:after="260" w:line="413" w:lineRule="auto"/>
      <w:outlineLvl w:val="1"/>
    </w:pPr>
    <w:rPr>
      <w:rFonts w:ascii="Arial" w:hAnsi="Arial" w:eastAsia="黑体"/>
      <w:b/>
      <w:bCs/>
      <w:sz w:val="32"/>
      <w:szCs w:val="32"/>
    </w:rPr>
  </w:style>
  <w:style w:type="paragraph" w:styleId="4">
    <w:name w:val="heading 4"/>
    <w:basedOn w:val="1"/>
    <w:next w:val="1"/>
    <w:link w:val="30"/>
    <w:semiHidden/>
    <w:unhideWhenUsed/>
    <w:qFormat/>
    <w:uiPriority w:val="0"/>
    <w:pPr>
      <w:keepNext/>
      <w:keepLines/>
      <w:spacing w:before="280" w:beforeLines="0" w:beforeAutospacing="0" w:after="290" w:afterLines="0" w:afterAutospacing="0" w:line="372" w:lineRule="auto"/>
      <w:outlineLvl w:val="3"/>
    </w:pPr>
    <w:rPr>
      <w:rFonts w:ascii="Arial" w:hAnsi="Arial" w:eastAsia="黑体"/>
      <w:b/>
      <w:sz w:val="28"/>
    </w:rPr>
  </w:style>
  <w:style w:type="character" w:default="1" w:styleId="19">
    <w:name w:val="Default Paragraph Font"/>
    <w:semiHidden/>
    <w:unhideWhenUsed/>
    <w:qFormat/>
    <w:uiPriority w:val="1"/>
  </w:style>
  <w:style w:type="table" w:default="1" w:styleId="1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Normal Indent"/>
    <w:basedOn w:val="1"/>
    <w:qFormat/>
    <w:uiPriority w:val="99"/>
    <w:pPr>
      <w:widowControl w:val="0"/>
      <w:autoSpaceDE w:val="0"/>
      <w:autoSpaceDN w:val="0"/>
      <w:snapToGrid/>
      <w:ind w:firstLine="630"/>
      <w:jc w:val="both"/>
    </w:pPr>
    <w:rPr>
      <w:rFonts w:ascii="Times New Roman" w:hAnsi="Times New Roman"/>
      <w:sz w:val="32"/>
      <w:szCs w:val="20"/>
    </w:rPr>
  </w:style>
  <w:style w:type="paragraph" w:styleId="6">
    <w:name w:val="annotation text"/>
    <w:basedOn w:val="1"/>
    <w:qFormat/>
    <w:uiPriority w:val="0"/>
    <w:pPr>
      <w:jc w:val="left"/>
    </w:pPr>
  </w:style>
  <w:style w:type="paragraph" w:styleId="7">
    <w:name w:val="Body Text"/>
    <w:basedOn w:val="1"/>
    <w:next w:val="8"/>
    <w:qFormat/>
    <w:uiPriority w:val="0"/>
    <w:rPr>
      <w:rFonts w:ascii="仿宋" w:hAnsi="仿宋" w:eastAsia="仿宋" w:cs="仿宋"/>
      <w:sz w:val="30"/>
      <w:szCs w:val="30"/>
    </w:rPr>
  </w:style>
  <w:style w:type="paragraph" w:styleId="8">
    <w:name w:val="Body Text First Indent"/>
    <w:basedOn w:val="7"/>
    <w:qFormat/>
    <w:uiPriority w:val="0"/>
    <w:pPr>
      <w:ind w:firstLine="420" w:firstLineChars="100"/>
    </w:pPr>
  </w:style>
  <w:style w:type="paragraph" w:styleId="9">
    <w:name w:val="Body Text Indent"/>
    <w:basedOn w:val="1"/>
    <w:next w:val="10"/>
    <w:unhideWhenUsed/>
    <w:qFormat/>
    <w:uiPriority w:val="99"/>
    <w:pPr>
      <w:spacing w:after="120"/>
      <w:ind w:left="420" w:leftChars="200"/>
    </w:pPr>
    <w:rPr>
      <w:rFonts w:eastAsia="微软雅黑"/>
      <w:kern w:val="0"/>
      <w:sz w:val="24"/>
      <w:szCs w:val="20"/>
    </w:rPr>
  </w:style>
  <w:style w:type="paragraph" w:styleId="10">
    <w:name w:val="envelope return"/>
    <w:basedOn w:val="1"/>
    <w:qFormat/>
    <w:uiPriority w:val="0"/>
    <w:pPr>
      <w:widowControl/>
      <w:adjustRightInd w:val="0"/>
      <w:snapToGrid w:val="0"/>
      <w:spacing w:after="200"/>
      <w:jc w:val="left"/>
    </w:pPr>
    <w:rPr>
      <w:rFonts w:ascii="Arial" w:hAnsi="Arial" w:eastAsia="微软雅黑"/>
      <w:kern w:val="0"/>
      <w:sz w:val="22"/>
      <w:szCs w:val="22"/>
    </w:rPr>
  </w:style>
  <w:style w:type="paragraph" w:styleId="11">
    <w:name w:val="Plain Text"/>
    <w:basedOn w:val="1"/>
    <w:next w:val="1"/>
    <w:qFormat/>
    <w:uiPriority w:val="0"/>
    <w:rPr>
      <w:rFonts w:ascii="宋体" w:hAnsi="Courier New"/>
      <w:kern w:val="0"/>
      <w:sz w:val="20"/>
      <w:szCs w:val="21"/>
    </w:rPr>
  </w:style>
  <w:style w:type="paragraph" w:styleId="12">
    <w:name w:val="footer"/>
    <w:basedOn w:val="1"/>
    <w:qFormat/>
    <w:uiPriority w:val="0"/>
    <w:pPr>
      <w:tabs>
        <w:tab w:val="center" w:pos="4153"/>
        <w:tab w:val="right" w:pos="8306"/>
      </w:tabs>
    </w:pPr>
    <w:rPr>
      <w:sz w:val="18"/>
    </w:rPr>
  </w:style>
  <w:style w:type="paragraph" w:styleId="1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jc w:val="both"/>
    </w:pPr>
    <w:rPr>
      <w:sz w:val="18"/>
    </w:rPr>
  </w:style>
  <w:style w:type="paragraph" w:styleId="14">
    <w:name w:val="Subtitle"/>
    <w:basedOn w:val="1"/>
    <w:next w:val="1"/>
    <w:qFormat/>
    <w:uiPriority w:val="0"/>
    <w:pPr>
      <w:spacing w:before="240" w:after="60" w:line="312" w:lineRule="auto"/>
      <w:jc w:val="center"/>
      <w:outlineLvl w:val="1"/>
    </w:pPr>
    <w:rPr>
      <w:rFonts w:ascii="Cambria" w:hAnsi="Cambria"/>
      <w:b/>
      <w:bCs/>
      <w:kern w:val="28"/>
      <w:sz w:val="32"/>
      <w:szCs w:val="32"/>
    </w:rPr>
  </w:style>
  <w:style w:type="paragraph" w:styleId="15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</w:rPr>
  </w:style>
  <w:style w:type="paragraph" w:styleId="16">
    <w:name w:val="Body Text First Indent 2"/>
    <w:basedOn w:val="9"/>
    <w:next w:val="1"/>
    <w:qFormat/>
    <w:uiPriority w:val="99"/>
    <w:pPr>
      <w:ind w:firstLine="420"/>
    </w:pPr>
    <w:rPr>
      <w:rFonts w:ascii="Times New Roman" w:eastAsia="宋体"/>
      <w:sz w:val="21"/>
    </w:rPr>
  </w:style>
  <w:style w:type="table" w:styleId="18">
    <w:name w:val="Table Grid"/>
    <w:basedOn w:val="17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20">
    <w:name w:val="Strong"/>
    <w:basedOn w:val="19"/>
    <w:qFormat/>
    <w:uiPriority w:val="0"/>
    <w:rPr>
      <w:b/>
    </w:rPr>
  </w:style>
  <w:style w:type="character" w:styleId="21">
    <w:name w:val="Emphasis"/>
    <w:qFormat/>
    <w:uiPriority w:val="0"/>
  </w:style>
  <w:style w:type="character" w:styleId="22">
    <w:name w:val="Hyperlink"/>
    <w:basedOn w:val="19"/>
    <w:qFormat/>
    <w:uiPriority w:val="0"/>
    <w:rPr>
      <w:color w:val="0000FF"/>
      <w:u w:val="single"/>
    </w:rPr>
  </w:style>
  <w:style w:type="character" w:styleId="23">
    <w:name w:val="annotation reference"/>
    <w:unhideWhenUsed/>
    <w:qFormat/>
    <w:uiPriority w:val="0"/>
    <w:rPr>
      <w:sz w:val="21"/>
      <w:szCs w:val="21"/>
    </w:rPr>
  </w:style>
  <w:style w:type="paragraph" w:customStyle="1" w:styleId="24">
    <w:name w:val="Normal Indent"/>
    <w:basedOn w:val="1"/>
    <w:qFormat/>
    <w:uiPriority w:val="0"/>
    <w:pPr>
      <w:widowControl/>
      <w:ind w:firstLine="420" w:firstLineChars="200"/>
    </w:pPr>
  </w:style>
  <w:style w:type="table" w:customStyle="1" w:styleId="2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26">
    <w:name w:val="Table Text"/>
    <w:basedOn w:val="1"/>
    <w:semiHidden/>
    <w:qFormat/>
    <w:uiPriority w:val="0"/>
  </w:style>
  <w:style w:type="paragraph" w:customStyle="1" w:styleId="27">
    <w:name w:val="Heading #2|1"/>
    <w:basedOn w:val="1"/>
    <w:qFormat/>
    <w:uiPriority w:val="0"/>
    <w:pPr>
      <w:widowControl w:val="0"/>
      <w:shd w:val="clear" w:color="auto" w:fill="auto"/>
      <w:spacing w:after="580" w:line="634" w:lineRule="exact"/>
      <w:jc w:val="center"/>
      <w:outlineLvl w:val="1"/>
    </w:pPr>
    <w:rPr>
      <w:rFonts w:ascii="宋体" w:hAnsi="宋体" w:eastAsia="宋体" w:cs="宋体"/>
      <w:sz w:val="44"/>
      <w:szCs w:val="44"/>
      <w:u w:val="none"/>
      <w:shd w:val="clear" w:color="auto" w:fill="auto"/>
      <w:lang w:val="zh-TW" w:eastAsia="zh-TW" w:bidi="zh-TW"/>
    </w:rPr>
  </w:style>
  <w:style w:type="paragraph" w:customStyle="1" w:styleId="28">
    <w:name w:val="Body text|1"/>
    <w:basedOn w:val="1"/>
    <w:qFormat/>
    <w:uiPriority w:val="0"/>
    <w:pPr>
      <w:widowControl w:val="0"/>
      <w:shd w:val="clear" w:color="auto" w:fill="auto"/>
      <w:spacing w:line="432" w:lineRule="auto"/>
      <w:ind w:firstLine="400"/>
    </w:pPr>
    <w:rPr>
      <w:rFonts w:ascii="宋体" w:hAnsi="宋体" w:eastAsia="宋体" w:cs="宋体"/>
      <w:sz w:val="30"/>
      <w:szCs w:val="30"/>
      <w:u w:val="none"/>
      <w:shd w:val="clear" w:color="auto" w:fill="auto"/>
      <w:lang w:val="zh-TW" w:eastAsia="zh-TW" w:bidi="zh-TW"/>
    </w:rPr>
  </w:style>
  <w:style w:type="paragraph" w:customStyle="1" w:styleId="29">
    <w:name w:val="Body text|2"/>
    <w:basedOn w:val="1"/>
    <w:qFormat/>
    <w:uiPriority w:val="0"/>
    <w:pPr>
      <w:widowControl w:val="0"/>
      <w:shd w:val="clear" w:color="auto" w:fill="auto"/>
    </w:pPr>
    <w:rPr>
      <w:rFonts w:ascii="宋体" w:hAnsi="宋体" w:eastAsia="宋体" w:cs="宋体"/>
      <w:sz w:val="26"/>
      <w:szCs w:val="26"/>
      <w:u w:val="none"/>
      <w:shd w:val="clear" w:color="auto" w:fill="auto"/>
      <w:lang w:val="zh-TW" w:eastAsia="zh-TW" w:bidi="zh-TW"/>
    </w:rPr>
  </w:style>
  <w:style w:type="character" w:customStyle="1" w:styleId="30">
    <w:name w:val="标题 4 Char"/>
    <w:link w:val="4"/>
    <w:qFormat/>
    <w:uiPriority w:val="0"/>
    <w:rPr>
      <w:rFonts w:ascii="Arial" w:hAnsi="Arial" w:eastAsia="黑体"/>
      <w:b/>
      <w:sz w:val="28"/>
    </w:rPr>
  </w:style>
  <w:style w:type="paragraph" w:customStyle="1" w:styleId="31">
    <w:name w:val="正文_0_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paragraph" w:customStyle="1" w:styleId="32">
    <w:name w:val="样式1"/>
    <w:basedOn w:val="2"/>
    <w:qFormat/>
    <w:uiPriority w:val="0"/>
    <w:pPr>
      <w:spacing w:before="240" w:after="240" w:line="440" w:lineRule="exact"/>
      <w:ind w:firstLine="0" w:firstLineChars="0"/>
      <w:jc w:val="center"/>
    </w:pPr>
    <w:rPr>
      <w:rFonts w:eastAsia="楷体"/>
      <w:sz w:val="36"/>
      <w:szCs w:val="28"/>
    </w:rPr>
  </w:style>
  <w:style w:type="character" w:customStyle="1" w:styleId="33">
    <w:name w:val="font31"/>
    <w:qFormat/>
    <w:uiPriority w:val="0"/>
    <w:rPr>
      <w:rFonts w:hint="eastAsia" w:ascii="宋体" w:hAnsi="宋体" w:eastAsia="宋体" w:cs="宋体"/>
      <w:color w:val="000000"/>
      <w:sz w:val="21"/>
      <w:szCs w:val="21"/>
      <w:u w:val="none"/>
    </w:rPr>
  </w:style>
  <w:style w:type="paragraph" w:customStyle="1" w:styleId="34">
    <w:name w:val="Default"/>
    <w:qFormat/>
    <w:uiPriority w:val="0"/>
    <w:pPr>
      <w:widowControl w:val="0"/>
      <w:autoSpaceDE w:val="0"/>
      <w:autoSpaceDN w:val="0"/>
      <w:adjustRightInd w:val="0"/>
    </w:pPr>
    <w:rPr>
      <w:rFonts w:ascii="Times New Roman" w:hAnsi="Times New Roman" w:eastAsia="宋体" w:cs="Times New Roman"/>
      <w:color w:val="00000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30747</Words>
  <Characters>32797</Characters>
  <Lines>230</Lines>
  <Paragraphs>64</Paragraphs>
  <TotalTime>7</TotalTime>
  <ScaleCrop>false</ScaleCrop>
  <LinksUpToDate>false</LinksUpToDate>
  <CharactersWithSpaces>35301</CharactersWithSpaces>
  <Application>WPS Office_12.8.2.18913_F1E327BC-269C-435d-A152-05C5408002CA</Application>
  <DocSecurity>4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2023-09-05T04:49:00Z</dcterms:created>
  <dc:creator>hxw</dc:creator>
  <cp:lastModifiedBy>Lenovo</cp:lastModifiedBy>
  <cp:lastPrinted>2026-05-07T01:20:00Z</cp:lastPrinted>
  <dcterms:modified xsi:type="dcterms:W3CDTF">2026-05-09T09:30:06Z</dcterms:modified>
  <dc:title>政府采购招标文件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wqlLaW5nc29mdCBQREYgdG8gV1BTIDkw</vt:lpwstr>
  </property>
  <property fmtid="{D5CDD505-2E9C-101B-9397-08002B2CF9AE}" pid="3" name="Created">
    <vt:filetime>2023-09-01T08:44:53Z</vt:filetime>
  </property>
  <property fmtid="{D5CDD505-2E9C-101B-9397-08002B2CF9AE}" pid="4" name="KSOProductBuildVer">
    <vt:lpwstr>2052-12.8.2.18913</vt:lpwstr>
  </property>
  <property fmtid="{D5CDD505-2E9C-101B-9397-08002B2CF9AE}" pid="5" name="ICV">
    <vt:lpwstr>EB2C10519A084CDFBA7CF4A57BDEBF99_13</vt:lpwstr>
  </property>
  <property fmtid="{D5CDD505-2E9C-101B-9397-08002B2CF9AE}" pid="6" name="KSOTemplateDocerSaveRecord">
    <vt:lpwstr>eyJoZGlkIjoiODEzNDhjN2NmMDk5YWYxNjFlNDAxOTZkMTg3ZWYwMGYiLCJ1c2VySWQiOiIxMTQ0NDY0OTQ3In0=</vt:lpwstr>
  </property>
</Properties>
</file>