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879E73">
      <w:pPr>
        <w:widowControl w:val="0"/>
        <w:spacing w:before="78" w:after="240" w:afterLines="100" w:line="220" w:lineRule="auto"/>
        <w:jc w:val="center"/>
        <w:outlineLvl w:val="1"/>
        <w:rPr>
          <w:rFonts w:ascii="宋体" w:hAnsi="宋体" w:eastAsia="宋体" w:cs="宋体"/>
          <w:color w:val="auto"/>
          <w:spacing w:val="-2"/>
          <w:sz w:val="32"/>
          <w:szCs w:val="32"/>
          <w:lang w:eastAsia="zh-CN"/>
        </w:rPr>
      </w:pPr>
      <w:r>
        <w:rPr>
          <w:rFonts w:hint="eastAsia" w:ascii="宋体" w:hAnsi="宋体" w:eastAsia="宋体" w:cs="宋体"/>
          <w:color w:val="auto"/>
          <w:spacing w:val="-2"/>
          <w:sz w:val="32"/>
          <w:szCs w:val="32"/>
          <w:lang w:eastAsia="zh-CN"/>
        </w:rPr>
        <w:t>采购要求</w:t>
      </w:r>
    </w:p>
    <w:p w14:paraId="79F6DAC2">
      <w:pPr>
        <w:spacing w:line="460" w:lineRule="exact"/>
        <w:jc w:val="center"/>
        <w:rPr>
          <w:rFonts w:ascii="宋体" w:hAnsi="宋体" w:eastAsia="宋体"/>
          <w:bCs/>
          <w:color w:val="auto"/>
          <w:sz w:val="30"/>
          <w:szCs w:val="30"/>
          <w:lang w:eastAsia="zh-CN"/>
        </w:rPr>
      </w:pPr>
      <w:bookmarkStart w:id="0" w:name="bookmark82"/>
      <w:bookmarkEnd w:id="0"/>
      <w:r>
        <w:rPr>
          <w:rFonts w:hint="eastAsia" w:ascii="宋体" w:hAnsi="宋体" w:eastAsia="宋体"/>
          <w:bCs/>
          <w:color w:val="auto"/>
          <w:sz w:val="30"/>
          <w:szCs w:val="30"/>
          <w:lang w:eastAsia="zh-CN"/>
        </w:rPr>
        <w:t>（一）技术要求</w:t>
      </w:r>
    </w:p>
    <w:p w14:paraId="6E9C5B8B">
      <w:pPr>
        <w:spacing w:line="460" w:lineRule="exact"/>
        <w:ind w:firstLine="482" w:firstLineChars="200"/>
        <w:rPr>
          <w:rFonts w:ascii="宋体" w:hAnsi="宋体" w:eastAsia="宋体" w:cs="华文中宋"/>
          <w:b/>
          <w:snapToGrid/>
          <w:color w:val="auto"/>
          <w:kern w:val="2"/>
          <w:sz w:val="24"/>
          <w:szCs w:val="24"/>
          <w:lang w:eastAsia="zh-CN"/>
        </w:rPr>
      </w:pPr>
    </w:p>
    <w:p w14:paraId="28201AD7">
      <w:pPr>
        <w:spacing w:line="360" w:lineRule="auto"/>
        <w:rPr>
          <w:rFonts w:ascii="宋体" w:hAnsi="宋体" w:eastAsia="宋体"/>
          <w:b/>
          <w:color w:val="auto"/>
          <w:sz w:val="28"/>
          <w:szCs w:val="28"/>
          <w:lang w:eastAsia="zh-CN"/>
        </w:rPr>
      </w:pPr>
      <w:r>
        <w:rPr>
          <w:rFonts w:hint="eastAsia" w:ascii="宋体" w:hAnsi="宋体" w:eastAsia="宋体"/>
          <w:b/>
          <w:color w:val="auto"/>
          <w:sz w:val="28"/>
          <w:szCs w:val="28"/>
          <w:lang w:eastAsia="zh-CN"/>
        </w:rPr>
        <w:t>1、工程概况及工程建设内容</w:t>
      </w:r>
    </w:p>
    <w:p w14:paraId="6BC056AD">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1）项目名称：江西水利电力大学水利部野外站金溪灌溉试验站建设工程项目</w:t>
      </w:r>
    </w:p>
    <w:p w14:paraId="2EA41C79">
      <w:pPr>
        <w:widowControl w:val="0"/>
        <w:kinsoku/>
        <w:autoSpaceDE/>
        <w:autoSpaceDN/>
        <w:adjustRightInd/>
        <w:snapToGrid/>
        <w:spacing w:line="360" w:lineRule="auto"/>
        <w:ind w:firstLine="424" w:firstLineChars="177"/>
        <w:jc w:val="both"/>
        <w:textAlignment w:val="auto"/>
        <w:rPr>
          <w:rFonts w:hint="eastAsia"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2）建设单位：江西水利电力大学</w:t>
      </w:r>
    </w:p>
    <w:p w14:paraId="54511056">
      <w:pPr>
        <w:widowControl w:val="0"/>
        <w:kinsoku/>
        <w:autoSpaceDE/>
        <w:autoSpaceDN/>
        <w:adjustRightInd/>
        <w:snapToGrid/>
        <w:spacing w:line="360" w:lineRule="auto"/>
        <w:ind w:firstLine="424" w:firstLineChars="177"/>
        <w:jc w:val="both"/>
        <w:textAlignment w:val="auto"/>
        <w:rPr>
          <w:rFonts w:hint="eastAsia"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3）工程地点：江西省抚州市金溪县秀谷镇里吴村</w:t>
      </w:r>
    </w:p>
    <w:p w14:paraId="6ED61E42">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4）工程建设内容：场地平整27.32亩（试验区及气象场）、灌溉与排水工程、道路工程、其他设施等（最终以工程量清单和设计图纸为准）。</w:t>
      </w:r>
    </w:p>
    <w:p w14:paraId="7B7DB999">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5）现场自然条件</w:t>
      </w:r>
      <w:r>
        <w:rPr>
          <w:rFonts w:ascii="宋体" w:hAnsi="宋体" w:eastAsia="宋体" w:cs="华文中宋"/>
          <w:snapToGrid/>
          <w:color w:val="auto"/>
          <w:kern w:val="2"/>
          <w:sz w:val="24"/>
          <w:szCs w:val="24"/>
          <w:lang w:eastAsia="zh-CN"/>
        </w:rPr>
        <w:t>:</w:t>
      </w:r>
      <w:r>
        <w:rPr>
          <w:rFonts w:hint="eastAsia" w:ascii="宋体" w:hAnsi="宋体" w:eastAsia="宋体" w:cs="华文中宋"/>
          <w:snapToGrid/>
          <w:color w:val="auto"/>
          <w:kern w:val="2"/>
          <w:sz w:val="24"/>
          <w:szCs w:val="24"/>
          <w:lang w:eastAsia="zh-CN"/>
        </w:rPr>
        <w:t>供应商自行踏勘现场获取。</w:t>
      </w:r>
    </w:p>
    <w:p w14:paraId="0F9AA404">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ascii="宋体" w:hAnsi="宋体" w:eastAsia="宋体" w:cs="华文中宋"/>
          <w:snapToGrid/>
          <w:color w:val="auto"/>
          <w:kern w:val="2"/>
          <w:sz w:val="24"/>
          <w:szCs w:val="24"/>
          <w:lang w:eastAsia="zh-CN"/>
        </w:rPr>
        <w:t>(</w:t>
      </w:r>
      <w:r>
        <w:rPr>
          <w:rFonts w:hint="eastAsia" w:ascii="宋体" w:hAnsi="宋体" w:eastAsia="宋体" w:cs="华文中宋"/>
          <w:snapToGrid/>
          <w:color w:val="auto"/>
          <w:kern w:val="2"/>
          <w:sz w:val="24"/>
          <w:szCs w:val="24"/>
          <w:lang w:eastAsia="zh-CN"/>
        </w:rPr>
        <w:t>包括</w:t>
      </w:r>
      <w:r>
        <w:rPr>
          <w:rFonts w:ascii="宋体" w:hAnsi="宋体" w:eastAsia="宋体" w:cs="华文中宋"/>
          <w:snapToGrid/>
          <w:color w:val="auto"/>
          <w:kern w:val="2"/>
          <w:sz w:val="24"/>
          <w:szCs w:val="24"/>
          <w:lang w:eastAsia="zh-CN"/>
        </w:rPr>
        <w:t>:</w:t>
      </w:r>
      <w:r>
        <w:rPr>
          <w:rFonts w:hint="eastAsia" w:ascii="宋体" w:hAnsi="宋体" w:eastAsia="宋体" w:cs="华文中宋"/>
          <w:snapToGrid/>
          <w:color w:val="auto"/>
          <w:kern w:val="2"/>
          <w:sz w:val="24"/>
          <w:szCs w:val="24"/>
          <w:lang w:eastAsia="zh-CN"/>
        </w:rPr>
        <w:t>现场环境、地形、地貌、地质、水文及气温、雨雪量、风向、风力等</w:t>
      </w:r>
      <w:r>
        <w:rPr>
          <w:rFonts w:ascii="宋体" w:hAnsi="宋体" w:eastAsia="宋体" w:cs="华文中宋"/>
          <w:snapToGrid/>
          <w:color w:val="auto"/>
          <w:kern w:val="2"/>
          <w:sz w:val="24"/>
          <w:szCs w:val="24"/>
          <w:lang w:eastAsia="zh-CN"/>
        </w:rPr>
        <w:t>)</w:t>
      </w:r>
    </w:p>
    <w:p w14:paraId="1C80ABEC">
      <w:pPr>
        <w:spacing w:line="360" w:lineRule="auto"/>
        <w:rPr>
          <w:rFonts w:ascii="宋体" w:hAnsi="宋体" w:eastAsia="宋体"/>
          <w:b/>
          <w:color w:val="auto"/>
          <w:sz w:val="28"/>
          <w:szCs w:val="28"/>
          <w:lang w:eastAsia="zh-CN"/>
        </w:rPr>
      </w:pPr>
      <w:r>
        <w:rPr>
          <w:rFonts w:hint="eastAsia" w:ascii="宋体" w:hAnsi="宋体" w:eastAsia="宋体"/>
          <w:b/>
          <w:color w:val="auto"/>
          <w:sz w:val="28"/>
          <w:szCs w:val="28"/>
          <w:lang w:eastAsia="zh-CN"/>
        </w:rPr>
        <w:t>2、报价编制依据及要求</w:t>
      </w:r>
    </w:p>
    <w:p w14:paraId="54938F18">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2.1编制依据:</w:t>
      </w:r>
    </w:p>
    <w:p w14:paraId="311E7B03">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ascii="宋体" w:hAnsi="宋体" w:eastAsia="宋体" w:cs="华文中宋"/>
          <w:snapToGrid/>
          <w:color w:val="auto"/>
          <w:kern w:val="2"/>
          <w:sz w:val="24"/>
          <w:szCs w:val="24"/>
          <w:lang w:eastAsia="zh-CN"/>
        </w:rPr>
        <w:t>1</w:t>
      </w:r>
      <w:r>
        <w:rPr>
          <w:rFonts w:hint="eastAsia" w:ascii="宋体" w:hAnsi="宋体" w:eastAsia="宋体" w:cs="华文中宋"/>
          <w:snapToGrid/>
          <w:color w:val="auto"/>
          <w:kern w:val="2"/>
          <w:sz w:val="24"/>
          <w:szCs w:val="24"/>
          <w:lang w:eastAsia="zh-CN"/>
        </w:rPr>
        <w:t>）设计图图纸，说明和有关技术资料。</w:t>
      </w:r>
    </w:p>
    <w:p w14:paraId="1BE76B16">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ascii="宋体" w:hAnsi="宋体" w:eastAsia="宋体" w:cs="华文中宋"/>
          <w:snapToGrid/>
          <w:color w:val="auto"/>
          <w:kern w:val="2"/>
          <w:sz w:val="24"/>
          <w:szCs w:val="24"/>
          <w:lang w:eastAsia="zh-CN"/>
        </w:rPr>
        <w:t>2</w:t>
      </w:r>
      <w:r>
        <w:rPr>
          <w:rFonts w:hint="eastAsia" w:ascii="宋体" w:hAnsi="宋体" w:eastAsia="宋体" w:cs="华文中宋"/>
          <w:snapToGrid/>
          <w:color w:val="auto"/>
          <w:kern w:val="2"/>
          <w:sz w:val="24"/>
          <w:szCs w:val="24"/>
          <w:lang w:eastAsia="zh-CN"/>
        </w:rPr>
        <w:t xml:space="preserve">）《建设工程工程量清单计价规范 GB50500-2013》、2022年江西省水利水电工程预算定额及相应的费用定额及政府相关文件进行编制； </w:t>
      </w:r>
    </w:p>
    <w:p w14:paraId="50C4428F">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ascii="宋体" w:hAnsi="宋体" w:eastAsia="宋体" w:cs="华文中宋"/>
          <w:snapToGrid/>
          <w:color w:val="auto"/>
          <w:kern w:val="2"/>
          <w:sz w:val="24"/>
          <w:szCs w:val="24"/>
          <w:lang w:eastAsia="zh-CN"/>
        </w:rPr>
        <w:t>3</w:t>
      </w:r>
      <w:r>
        <w:rPr>
          <w:rFonts w:hint="eastAsia" w:ascii="宋体" w:hAnsi="宋体" w:eastAsia="宋体" w:cs="华文中宋"/>
          <w:snapToGrid/>
          <w:color w:val="auto"/>
          <w:kern w:val="2"/>
          <w:sz w:val="24"/>
          <w:szCs w:val="24"/>
          <w:lang w:eastAsia="zh-CN"/>
        </w:rPr>
        <w:t>）人工费按赣水规范文【2022】2号文；</w:t>
      </w:r>
    </w:p>
    <w:p w14:paraId="5C4BD856">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 xml:space="preserve">4）增值税税率按赣建价[2019]1号的规定9%执行。 </w:t>
      </w:r>
    </w:p>
    <w:p w14:paraId="61AF7F16">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 xml:space="preserve">5）其他相关法律、法规及规定。 </w:t>
      </w:r>
    </w:p>
    <w:p w14:paraId="7F4BC002">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 xml:space="preserve">2.2编制情况说明： </w:t>
      </w:r>
    </w:p>
    <w:p w14:paraId="70A5225E">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1）材料价格参照2025年第9期《南昌市工程造价信息》发布的材料价格并结合市场价（不含税）计取；</w:t>
      </w:r>
    </w:p>
    <w:p w14:paraId="39D411BE">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2）其他项目费：设置暂列金计111000元；</w:t>
      </w:r>
    </w:p>
    <w:p w14:paraId="5F4C7F83">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3）其他未尽说明，详见预算书。</w:t>
      </w:r>
    </w:p>
    <w:p w14:paraId="46945458">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2.3设计图及工程量清单</w:t>
      </w:r>
    </w:p>
    <w:p w14:paraId="2889091D">
      <w:pPr>
        <w:widowControl w:val="0"/>
        <w:kinsoku/>
        <w:autoSpaceDE/>
        <w:autoSpaceDN/>
        <w:adjustRightInd/>
        <w:snapToGrid/>
        <w:spacing w:line="360" w:lineRule="auto"/>
        <w:ind w:firstLine="426" w:firstLineChars="177"/>
        <w:jc w:val="both"/>
        <w:textAlignment w:val="auto"/>
        <w:rPr>
          <w:rFonts w:ascii="宋体" w:hAnsi="宋体" w:eastAsia="宋体" w:cs="华文中宋"/>
          <w:b/>
          <w:snapToGrid/>
          <w:color w:val="auto"/>
          <w:kern w:val="2"/>
          <w:sz w:val="24"/>
          <w:szCs w:val="24"/>
          <w:lang w:eastAsia="zh-CN"/>
        </w:rPr>
      </w:pPr>
      <w:r>
        <w:rPr>
          <w:rFonts w:hint="eastAsia" w:ascii="宋体" w:hAnsi="宋体" w:eastAsia="宋体" w:cs="华文中宋"/>
          <w:b/>
          <w:snapToGrid/>
          <w:color w:val="auto"/>
          <w:kern w:val="2"/>
          <w:sz w:val="24"/>
          <w:szCs w:val="24"/>
          <w:lang w:eastAsia="zh-CN"/>
        </w:rPr>
        <w:t>（文件另附）-自行下载</w:t>
      </w:r>
    </w:p>
    <w:p w14:paraId="215686DA">
      <w:pPr>
        <w:spacing w:line="360" w:lineRule="auto"/>
        <w:rPr>
          <w:rFonts w:ascii="宋体" w:hAnsi="宋体" w:eastAsia="宋体"/>
          <w:b/>
          <w:color w:val="auto"/>
          <w:sz w:val="28"/>
          <w:szCs w:val="28"/>
          <w:lang w:eastAsia="zh-CN"/>
        </w:rPr>
      </w:pPr>
      <w:r>
        <w:rPr>
          <w:rFonts w:hint="eastAsia" w:ascii="宋体" w:hAnsi="宋体" w:eastAsia="宋体"/>
          <w:b/>
          <w:color w:val="auto"/>
          <w:sz w:val="28"/>
          <w:szCs w:val="28"/>
          <w:lang w:eastAsia="zh-CN"/>
        </w:rPr>
        <w:t>3、工程量清单说明</w:t>
      </w:r>
    </w:p>
    <w:p w14:paraId="570E21A2">
      <w:pPr>
        <w:spacing w:line="360" w:lineRule="auto"/>
        <w:ind w:firstLine="426" w:firstLineChars="177"/>
        <w:rPr>
          <w:rFonts w:ascii="宋体" w:hAnsi="宋体" w:eastAsia="宋体"/>
          <w:b/>
          <w:color w:val="auto"/>
          <w:sz w:val="24"/>
          <w:szCs w:val="24"/>
          <w:lang w:eastAsia="zh-CN"/>
        </w:rPr>
      </w:pPr>
      <w:r>
        <w:rPr>
          <w:rFonts w:hint="eastAsia" w:ascii="宋体" w:hAnsi="宋体" w:eastAsia="宋体"/>
          <w:b/>
          <w:color w:val="auto"/>
          <w:sz w:val="24"/>
          <w:szCs w:val="24"/>
          <w:lang w:eastAsia="zh-CN"/>
        </w:rPr>
        <w:t>（1）说明</w:t>
      </w:r>
    </w:p>
    <w:p w14:paraId="7E4F8CF1">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本合同为固定单价合同。</w:t>
      </w:r>
    </w:p>
    <w:p w14:paraId="5777C9A0">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工程量清单应与合同条款、技术条款和图纸等谈判文件一起参照阅读。本工程不考虑工程量增减对综合单价的影响，不因工程投资增减而调增或调减工程量清单中的措施项目费用。投标单位应充分考虑项目因政策性变化、方案调整等风险因素。</w:t>
      </w:r>
    </w:p>
    <w:p w14:paraId="313C281F">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（2）</w:t>
      </w:r>
      <w:r>
        <w:rPr>
          <w:rFonts w:ascii="宋体" w:hAnsi="宋体" w:eastAsia="宋体" w:cs="华文中宋"/>
          <w:snapToGrid/>
          <w:color w:val="auto"/>
          <w:kern w:val="2"/>
          <w:sz w:val="24"/>
          <w:szCs w:val="24"/>
          <w:lang w:eastAsia="zh-CN"/>
        </w:rPr>
        <w:t xml:space="preserve"> </w:t>
      </w:r>
      <w:r>
        <w:rPr>
          <w:rFonts w:hint="eastAsia" w:ascii="宋体" w:hAnsi="宋体" w:eastAsia="宋体" w:cs="华文中宋"/>
          <w:snapToGrid/>
          <w:color w:val="auto"/>
          <w:kern w:val="2"/>
          <w:sz w:val="24"/>
          <w:szCs w:val="24"/>
          <w:lang w:eastAsia="zh-CN"/>
        </w:rPr>
        <w:t>工程量清单中的工程量是用作投标报价的估算工程量，不作为最终结算的工程量，用于结算的工程量是承包人实际完成的，并按有关计量规定计量的工程量。</w:t>
      </w:r>
    </w:p>
    <w:p w14:paraId="1CFD182D">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（3）除合同另有规定外，工程量清单中的单价和合价包括由承包人承担的直接费、间接费、其它费用、税金等全部费用和要求获得的利润以及应由承包人承担的义务、责任和风险所发生的一切费用。</w:t>
      </w:r>
    </w:p>
    <w:p w14:paraId="5F872EAE">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（4）</w:t>
      </w:r>
      <w:r>
        <w:rPr>
          <w:rFonts w:ascii="宋体" w:hAnsi="宋体" w:eastAsia="宋体" w:cs="华文中宋"/>
          <w:snapToGrid/>
          <w:color w:val="auto"/>
          <w:kern w:val="2"/>
          <w:sz w:val="24"/>
          <w:szCs w:val="24"/>
          <w:lang w:eastAsia="zh-CN"/>
        </w:rPr>
        <w:t xml:space="preserve"> </w:t>
      </w:r>
      <w:r>
        <w:rPr>
          <w:rFonts w:hint="eastAsia" w:ascii="宋体" w:hAnsi="宋体" w:eastAsia="宋体" w:cs="华文中宋"/>
          <w:snapToGrid/>
          <w:color w:val="auto"/>
          <w:kern w:val="2"/>
          <w:sz w:val="24"/>
          <w:szCs w:val="24"/>
          <w:lang w:eastAsia="zh-CN"/>
        </w:rPr>
        <w:t>供应商投标（响应）时，保险费由承包人自行测算。</w:t>
      </w:r>
    </w:p>
    <w:p w14:paraId="5FBD4C75">
      <w:pPr>
        <w:widowControl w:val="0"/>
        <w:kinsoku/>
        <w:autoSpaceDE/>
        <w:autoSpaceDN/>
        <w:adjustRightInd/>
        <w:snapToGrid/>
        <w:spacing w:line="360" w:lineRule="auto"/>
        <w:ind w:firstLine="424" w:firstLineChars="177"/>
        <w:jc w:val="both"/>
        <w:textAlignment w:val="auto"/>
        <w:rPr>
          <w:rFonts w:ascii="宋体" w:hAnsi="宋体" w:eastAsia="宋体"/>
          <w:b/>
          <w:color w:val="auto"/>
          <w:sz w:val="28"/>
          <w:szCs w:val="28"/>
          <w:lang w:eastAsia="zh-CN"/>
        </w:rPr>
      </w:pPr>
      <w:r>
        <w:rPr>
          <w:rFonts w:hint="eastAsia" w:ascii="宋体" w:hAnsi="宋体" w:eastAsia="宋体" w:cs="华文中宋"/>
          <w:snapToGrid/>
          <w:color w:val="auto"/>
          <w:kern w:val="2"/>
          <w:sz w:val="24"/>
          <w:szCs w:val="24"/>
          <w:lang w:eastAsia="zh-CN"/>
        </w:rPr>
        <w:t>（5）符合合同规定的全部费用和利润都应包括在工程量清单所列的各项目中，合同规定应由承包人承担而在工程量清单中未详细列出的项目，其费用和利润应认为已包括在其它有关项目的单价和合价中。供应商不应在工程量清单中自行增加新的项目或修改项目名称。供应商应充分考虑与本合同实施有关的档案整理、检查、验收等的费用。亦应充分考虑因施工原因产生的矛盾协调处理费用。</w:t>
      </w:r>
    </w:p>
    <w:p w14:paraId="3CBC881B">
      <w:pPr>
        <w:spacing w:line="360" w:lineRule="auto"/>
        <w:rPr>
          <w:rFonts w:ascii="宋体" w:hAnsi="宋体" w:eastAsia="宋体"/>
          <w:b/>
          <w:color w:val="auto"/>
          <w:sz w:val="28"/>
          <w:szCs w:val="28"/>
          <w:lang w:eastAsia="zh-CN"/>
        </w:rPr>
      </w:pPr>
      <w:r>
        <w:rPr>
          <w:rFonts w:hint="eastAsia" w:ascii="宋体" w:hAnsi="宋体" w:eastAsia="宋体"/>
          <w:b/>
          <w:color w:val="auto"/>
          <w:sz w:val="28"/>
          <w:szCs w:val="28"/>
          <w:lang w:eastAsia="zh-CN"/>
        </w:rPr>
        <w:t>4、施工要求</w:t>
      </w:r>
    </w:p>
    <w:p w14:paraId="057B3B25">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应严格按照施工设计图纸施工。图纸上不详尽之处，按设计图纸的指引，按国家规定的图集施工。本工程按国家有关规范施工，为合格并要做到交钥匙工程。</w:t>
      </w:r>
    </w:p>
    <w:p w14:paraId="07BD28C7">
      <w:pPr>
        <w:spacing w:line="360" w:lineRule="auto"/>
        <w:rPr>
          <w:rFonts w:ascii="宋体" w:hAnsi="宋体" w:eastAsia="宋体"/>
          <w:b/>
          <w:color w:val="auto"/>
          <w:sz w:val="28"/>
          <w:szCs w:val="28"/>
          <w:lang w:eastAsia="zh-CN"/>
        </w:rPr>
      </w:pPr>
      <w:r>
        <w:rPr>
          <w:rFonts w:hint="eastAsia" w:ascii="宋体" w:hAnsi="宋体" w:eastAsia="宋体"/>
          <w:b/>
          <w:color w:val="auto"/>
          <w:sz w:val="28"/>
          <w:szCs w:val="28"/>
          <w:lang w:eastAsia="zh-CN"/>
        </w:rPr>
        <w:t>5、拟投入人员要求</w:t>
      </w:r>
    </w:p>
    <w:p w14:paraId="18775172">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项目负责人及项目组成员每天须在工地现场，如有特殊情况无法到达工地现场，须提前向采购人申请，获采购人同意后方可请假；不在工地现场的累计天数（含旷工、请假等）超过合同工期1/10的，每旷工或请假一天，将扣除合同价格0.3%。</w:t>
      </w:r>
    </w:p>
    <w:p w14:paraId="19417671">
      <w:pPr>
        <w:kinsoku/>
        <w:autoSpaceDE/>
        <w:autoSpaceDN/>
        <w:adjustRightInd/>
        <w:snapToGrid/>
        <w:textAlignment w:val="auto"/>
        <w:rPr>
          <w:rFonts w:ascii="宋体" w:hAnsi="宋体" w:eastAsia="宋体" w:cs="华文中宋"/>
          <w:snapToGrid/>
          <w:color w:val="auto"/>
          <w:kern w:val="2"/>
          <w:sz w:val="24"/>
          <w:szCs w:val="24"/>
          <w:lang w:eastAsia="zh-CN"/>
        </w:rPr>
      </w:pPr>
      <w:r>
        <w:rPr>
          <w:rFonts w:ascii="宋体" w:hAnsi="宋体" w:eastAsia="宋体" w:cs="华文中宋"/>
          <w:snapToGrid/>
          <w:color w:val="auto"/>
          <w:kern w:val="2"/>
          <w:sz w:val="24"/>
          <w:szCs w:val="24"/>
          <w:lang w:eastAsia="zh-CN"/>
        </w:rPr>
        <w:br w:type="page"/>
      </w:r>
    </w:p>
    <w:p w14:paraId="07E5406E">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p>
    <w:p w14:paraId="7D6B2A11">
      <w:pPr>
        <w:spacing w:line="360" w:lineRule="auto"/>
        <w:rPr>
          <w:rFonts w:ascii="宋体" w:hAnsi="宋体" w:eastAsia="宋体"/>
          <w:b/>
          <w:color w:val="auto"/>
          <w:sz w:val="28"/>
          <w:szCs w:val="28"/>
          <w:lang w:eastAsia="zh-CN"/>
        </w:rPr>
      </w:pPr>
      <w:r>
        <w:rPr>
          <w:rFonts w:hint="eastAsia" w:ascii="宋体" w:hAnsi="宋体" w:eastAsia="宋体"/>
          <w:b/>
          <w:color w:val="auto"/>
          <w:sz w:val="28"/>
          <w:szCs w:val="28"/>
          <w:lang w:eastAsia="zh-CN"/>
        </w:rPr>
        <w:t>6、工程质量及安全要求</w:t>
      </w:r>
    </w:p>
    <w:p w14:paraId="3838E2B8">
      <w:pPr>
        <w:widowControl w:val="0"/>
        <w:kinsoku/>
        <w:autoSpaceDE/>
        <w:autoSpaceDN/>
        <w:adjustRightInd/>
        <w:snapToGrid/>
        <w:spacing w:line="360" w:lineRule="auto"/>
        <w:ind w:firstLine="424" w:firstLineChars="177"/>
        <w:jc w:val="both"/>
        <w:textAlignment w:val="auto"/>
        <w:rPr>
          <w:rFonts w:ascii="宋体" w:hAnsi="宋体" w:eastAsia="宋体" w:cs="华文中宋"/>
          <w:b/>
          <w:snapToGrid/>
          <w:color w:val="auto"/>
          <w:kern w:val="2"/>
          <w:sz w:val="24"/>
          <w:szCs w:val="24"/>
          <w:lang w:eastAsia="zh-CN"/>
        </w:rPr>
      </w:pPr>
      <w:r>
        <w:rPr>
          <w:rFonts w:hint="eastAsia" w:ascii="宋体" w:hAnsi="宋体" w:eastAsia="宋体" w:cs="华文中宋"/>
          <w:snapToGrid/>
          <w:color w:val="auto"/>
          <w:kern w:val="2"/>
          <w:sz w:val="24"/>
          <w:szCs w:val="24"/>
          <w:lang w:eastAsia="zh-CN"/>
        </w:rPr>
        <w:t>（1）</w:t>
      </w:r>
      <w:r>
        <w:rPr>
          <w:rFonts w:hint="eastAsia" w:ascii="宋体" w:hAnsi="宋体" w:eastAsia="宋体" w:cs="华文中宋"/>
          <w:b/>
          <w:snapToGrid/>
          <w:color w:val="auto"/>
          <w:kern w:val="2"/>
          <w:sz w:val="24"/>
          <w:szCs w:val="24"/>
          <w:lang w:eastAsia="zh-CN"/>
        </w:rPr>
        <w:t>必须符合国家有关的技术规范、质量标准、环保标准及相关标准，达到合格工程。</w:t>
      </w:r>
    </w:p>
    <w:p w14:paraId="2FDD692E">
      <w:pPr>
        <w:widowControl w:val="0"/>
        <w:kinsoku/>
        <w:autoSpaceDE/>
        <w:autoSpaceDN/>
        <w:adjustRightInd/>
        <w:snapToGrid/>
        <w:spacing w:line="360" w:lineRule="auto"/>
        <w:ind w:firstLine="424" w:firstLineChars="177"/>
        <w:jc w:val="both"/>
        <w:textAlignment w:val="auto"/>
        <w:rPr>
          <w:rFonts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2）如工程质量达不到约定条件的部分，一经发现，可要求供应商返工，直至达到合同约定条件，并由供应商承担因返工产生的全部费用。返工后仍达不到约定条件，应继续返工到约定条件或合格标准。供应商承诺的质量等级达不到约定条件应承担违约责任，并按合同金额的5%支付违约金，赔偿采购人全部经济损失。</w:t>
      </w:r>
    </w:p>
    <w:p w14:paraId="236E8E70">
      <w:pPr>
        <w:widowControl w:val="0"/>
        <w:kinsoku/>
        <w:autoSpaceDE/>
        <w:autoSpaceDN/>
        <w:adjustRightInd/>
        <w:snapToGrid/>
        <w:spacing w:line="360" w:lineRule="auto"/>
        <w:ind w:firstLine="424" w:firstLineChars="177"/>
        <w:jc w:val="both"/>
        <w:textAlignment w:val="auto"/>
        <w:rPr>
          <w:rFonts w:hint="eastAsia" w:ascii="宋体" w:hAnsi="宋体" w:eastAsia="宋体" w:cs="华文中宋"/>
          <w:snapToGrid/>
          <w:color w:val="auto"/>
          <w:kern w:val="2"/>
          <w:sz w:val="24"/>
          <w:szCs w:val="24"/>
          <w:lang w:eastAsia="zh-CN"/>
        </w:rPr>
      </w:pPr>
      <w:r>
        <w:rPr>
          <w:rFonts w:hint="eastAsia" w:ascii="宋体" w:hAnsi="宋体" w:eastAsia="宋体" w:cs="华文中宋"/>
          <w:snapToGrid/>
          <w:color w:val="auto"/>
          <w:kern w:val="2"/>
          <w:sz w:val="24"/>
          <w:szCs w:val="24"/>
          <w:lang w:eastAsia="zh-CN"/>
        </w:rPr>
        <w:t>（3）供应商在施工中如果存在工程质量不符合国家相关规范和谈判文件要求的有关规定情况，采购人要求停工或返工时，供应商须无条件执行并承担由此产生的各种费用，工期不予顺延。</w:t>
      </w:r>
    </w:p>
    <w:p w14:paraId="443CB3D9">
      <w:pPr>
        <w:spacing w:line="360" w:lineRule="auto"/>
        <w:rPr>
          <w:rFonts w:ascii="宋体" w:hAnsi="宋体" w:eastAsia="宋体" w:cs="华文中宋"/>
          <w:snapToGrid/>
          <w:color w:val="auto"/>
          <w:kern w:val="2"/>
          <w:sz w:val="24"/>
          <w:szCs w:val="24"/>
          <w:lang w:eastAsia="zh-CN"/>
        </w:rPr>
      </w:pPr>
    </w:p>
    <w:p w14:paraId="75331E0D">
      <w:r>
        <w:rPr>
          <w:rFonts w:hint="eastAsia" w:ascii="宋体" w:hAnsi="宋体" w:eastAsia="宋体"/>
          <w:b/>
          <w:color w:val="auto"/>
          <w:w w:val="90"/>
          <w:sz w:val="24"/>
          <w:szCs w:val="24"/>
          <w:lang w:eastAsia="zh-CN"/>
        </w:rPr>
        <w:t>注：以上技术条款为必须满足或优于项，否则作无效谈判响应处理。</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中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AF7A35"/>
    <w:rsid w:val="6FAF7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2025-12-19T03:49:00Z</dcterms:created>
  <dc:creator>a</dc:creator>
  <cp:lastModifiedBy>a</cp:lastModifiedBy>
  <dcterms:modified xsi:type="dcterms:W3CDTF">2025-12-19T03:49:45Z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57800D5837404F819876C26236679036_11</vt:lpwstr>
  </property>
  <property fmtid="{D5CDD505-2E9C-101B-9397-08002B2CF9AE}" pid="4" name="KSOTemplateDocerSaveRecord">
    <vt:lpwstr>eyJoZGlkIjoiMGE5MmMzMjVmNmQ5ZDM5ZDg3YjMyMmNjZDlhNmZlM2UiLCJ1c2VySWQiOiI1OTEyMDM3OTQifQ==</vt:lpwstr>
  </property>
</Properties>
</file>