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B0A9AB">
      <w:pPr>
        <w:pageBreakBefore w:val="0"/>
        <w:widowControl w:val="0"/>
        <w:wordWrap/>
        <w:overflowPunct/>
        <w:topLinePunct w:val="0"/>
        <w:bidi w:val="0"/>
        <w:spacing w:before="63" w:line="224" w:lineRule="auto"/>
        <w:jc w:val="center"/>
        <w:outlineLvl w:val="0"/>
        <w:rPr>
          <w:rFonts w:hint="eastAsia" w:asciiTheme="minorEastAsia" w:hAnsiTheme="minorEastAsia" w:eastAsiaTheme="minorEastAsia" w:cstheme="minorEastAsia"/>
          <w:color w:val="auto"/>
          <w:sz w:val="31"/>
          <w:szCs w:val="31"/>
          <w:highlight w:val="none"/>
          <w:lang w:eastAsia="zh-CN"/>
        </w:rPr>
      </w:pPr>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Theme="minorEastAsia" w:hAnsiTheme="minorEastAsia" w:eastAsiaTheme="minorEastAsia" w:cstheme="minorEastAsia"/>
          <w:color w:val="auto"/>
          <w:spacing w:val="9"/>
          <w:sz w:val="31"/>
          <w:szCs w:val="31"/>
          <w:highlight w:val="none"/>
          <w:lang w:eastAsia="zh-CN"/>
        </w:rPr>
        <w:t xml:space="preserve">  </w:t>
      </w:r>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7A4F626C">
      <w:pPr>
        <w:pageBreakBefore w:val="0"/>
        <w:widowControl w:val="0"/>
        <w:wordWrap/>
        <w:overflowPunct/>
        <w:topLinePunct w:val="0"/>
        <w:bidi w:val="0"/>
        <w:spacing w:line="309" w:lineRule="auto"/>
        <w:jc w:val="center"/>
        <w:outlineLvl w:val="9"/>
        <w:rPr>
          <w:rFonts w:hint="eastAsia" w:asciiTheme="minorEastAsia" w:hAnsiTheme="minorEastAsia" w:eastAsiaTheme="minorEastAsia" w:cstheme="minorEastAsia"/>
          <w:color w:val="auto"/>
          <w:highlight w:val="none"/>
          <w:lang w:eastAsia="zh-CN"/>
        </w:rPr>
      </w:pPr>
    </w:p>
    <w:p w14:paraId="08BFB0F4">
      <w:pPr>
        <w:pageBreakBefore w:val="0"/>
        <w:widowControl w:val="0"/>
        <w:wordWrap/>
        <w:overflowPunct/>
        <w:topLinePunct w:val="0"/>
        <w:bidi w:val="0"/>
        <w:spacing w:before="78" w:line="220" w:lineRule="auto"/>
        <w:jc w:val="both"/>
        <w:outlineLvl w:val="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Theme="minorEastAsia" w:hAnsiTheme="minorEastAsia" w:eastAsiaTheme="minorEastAsia" w:cstheme="minorEastAsia"/>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Theme="minorEastAsia" w:hAnsiTheme="minorEastAsia" w:eastAsiaTheme="minorEastAsia" w:cstheme="minorEastAsia"/>
          <w:color w:val="auto"/>
          <w:spacing w:val="-2"/>
          <w:sz w:val="24"/>
          <w:szCs w:val="24"/>
          <w:highlight w:val="none"/>
          <w14:textOutline w14:w="4356" w14:cap="sq" w14:cmpd="sng" w14:algn="ctr">
            <w14:solidFill>
              <w14:srgbClr w14:val="000000"/>
            </w14:solidFill>
            <w14:prstDash w14:val="solid"/>
            <w14:bevel/>
          </w14:textOutline>
        </w:rPr>
        <w:t>需求表</w:t>
      </w:r>
    </w:p>
    <w:p w14:paraId="13AA3CEF">
      <w:pPr>
        <w:pageBreakBefore w:val="0"/>
        <w:widowControl w:val="0"/>
        <w:wordWrap/>
        <w:overflowPunct/>
        <w:topLinePunct w:val="0"/>
        <w:bidi w:val="0"/>
        <w:spacing w:before="64"/>
        <w:outlineLvl w:val="9"/>
        <w:rPr>
          <w:rFonts w:hint="eastAsia" w:asciiTheme="minorEastAsia" w:hAnsiTheme="minorEastAsia" w:eastAsiaTheme="minorEastAsia" w:cstheme="minorEastAsia"/>
          <w:color w:val="auto"/>
          <w:highlight w:val="none"/>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BB98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2" w:hRule="atLeast"/>
        </w:trPr>
        <w:tc>
          <w:tcPr>
            <w:tcW w:w="2048" w:type="dxa"/>
            <w:tcBorders>
              <w:right w:val="nil"/>
            </w:tcBorders>
          </w:tcPr>
          <w:p w14:paraId="7610B890">
            <w:pPr>
              <w:pageBreakBefore w:val="0"/>
              <w:widowControl w:val="0"/>
              <w:wordWrap/>
              <w:overflowPunct/>
              <w:topLinePunct w:val="0"/>
              <w:bidi w:val="0"/>
              <w:spacing w:before="183" w:line="223" w:lineRule="auto"/>
              <w:ind w:left="1091"/>
              <w:outlineLvl w:val="9"/>
              <w:rPr>
                <w:rFonts w:hint="eastAsia" w:asciiTheme="minorEastAsia" w:hAnsiTheme="minorEastAsia" w:eastAsiaTheme="minorEastAsia" w:cstheme="minorEastAsia"/>
                <w:color w:val="auto"/>
                <w:sz w:val="24"/>
                <w:szCs w:val="24"/>
                <w:highlight w:val="none"/>
              </w:rPr>
            </w:pPr>
            <w:bookmarkStart w:id="1" w:name="_GoBack"/>
            <w:r>
              <w:rPr>
                <w:rFonts w:hint="eastAsia" w:asciiTheme="minorEastAsia" w:hAnsiTheme="minorEastAsia" w:eastAsiaTheme="minorEastAsia" w:cstheme="minorEastAsia"/>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795780" cy="1304290"/>
                  <wp:effectExtent l="0" t="0" r="7620" b="381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95780" cy="1304290"/>
                          </a:xfrm>
                          <a:prstGeom prst="rect">
                            <a:avLst/>
                          </a:prstGeom>
                        </pic:spPr>
                      </pic:pic>
                    </a:graphicData>
                  </a:graphic>
                </wp:anchor>
              </w:drawing>
            </w:r>
            <w:bookmarkEnd w:id="1"/>
            <w:r>
              <w:rPr>
                <w:rFonts w:hint="eastAsia" w:asciiTheme="minorEastAsia" w:hAnsiTheme="minorEastAsia" w:eastAsiaTheme="minorEastAsia" w:cstheme="minorEastAsia"/>
                <w:color w:val="auto"/>
                <w:sz w:val="24"/>
                <w:szCs w:val="24"/>
                <w:highlight w:val="none"/>
              </w:rPr>
              <w:t>名</w:t>
            </w:r>
          </w:p>
          <w:p w14:paraId="399F3D26">
            <w:pPr>
              <w:pStyle w:val="7"/>
              <w:pageBreakBefore w:val="0"/>
              <w:widowControl w:val="0"/>
              <w:wordWrap/>
              <w:overflowPunct/>
              <w:topLinePunct w:val="0"/>
              <w:bidi w:val="0"/>
              <w:spacing w:line="245" w:lineRule="auto"/>
              <w:outlineLvl w:val="9"/>
              <w:rPr>
                <w:rFonts w:hint="eastAsia" w:asciiTheme="minorEastAsia" w:hAnsiTheme="minorEastAsia" w:eastAsiaTheme="minorEastAsia" w:cstheme="minorEastAsia"/>
                <w:color w:val="auto"/>
                <w:highlight w:val="none"/>
              </w:rPr>
            </w:pPr>
          </w:p>
          <w:p w14:paraId="32730FC4">
            <w:pPr>
              <w:pStyle w:val="7"/>
              <w:pageBreakBefore w:val="0"/>
              <w:widowControl w:val="0"/>
              <w:wordWrap/>
              <w:overflowPunct/>
              <w:topLinePunct w:val="0"/>
              <w:bidi w:val="0"/>
              <w:spacing w:line="246" w:lineRule="auto"/>
              <w:outlineLvl w:val="9"/>
              <w:rPr>
                <w:rFonts w:hint="eastAsia" w:asciiTheme="minorEastAsia" w:hAnsiTheme="minorEastAsia" w:eastAsiaTheme="minorEastAsia" w:cstheme="minorEastAsia"/>
                <w:color w:val="auto"/>
                <w:highlight w:val="none"/>
              </w:rPr>
            </w:pPr>
          </w:p>
          <w:p w14:paraId="45869C23">
            <w:pPr>
              <w:pageBreakBefore w:val="0"/>
              <w:widowControl w:val="0"/>
              <w:wordWrap/>
              <w:overflowPunct/>
              <w:topLinePunct w:val="0"/>
              <w:bidi w:val="0"/>
              <w:spacing w:before="78" w:line="219" w:lineRule="auto"/>
              <w:ind w:left="48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内</w:t>
            </w:r>
          </w:p>
          <w:p w14:paraId="356ABB10">
            <w:pPr>
              <w:pStyle w:val="7"/>
              <w:pageBreakBefore w:val="0"/>
              <w:widowControl w:val="0"/>
              <w:wordWrap/>
              <w:overflowPunct/>
              <w:topLinePunct w:val="0"/>
              <w:bidi w:val="0"/>
              <w:spacing w:line="338" w:lineRule="auto"/>
              <w:outlineLvl w:val="9"/>
              <w:rPr>
                <w:rFonts w:hint="eastAsia" w:asciiTheme="minorEastAsia" w:hAnsiTheme="minorEastAsia" w:eastAsiaTheme="minorEastAsia" w:cstheme="minorEastAsia"/>
                <w:color w:val="auto"/>
                <w:highlight w:val="none"/>
              </w:rPr>
            </w:pPr>
          </w:p>
          <w:p w14:paraId="30309811">
            <w:pPr>
              <w:pageBreakBefore w:val="0"/>
              <w:widowControl w:val="0"/>
              <w:wordWrap/>
              <w:overflowPunct/>
              <w:topLinePunct w:val="0"/>
              <w:bidi w:val="0"/>
              <w:spacing w:before="78" w:line="220" w:lineRule="auto"/>
              <w:ind w:left="131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容</w:t>
            </w:r>
          </w:p>
        </w:tc>
        <w:tc>
          <w:tcPr>
            <w:tcW w:w="817" w:type="dxa"/>
            <w:tcBorders>
              <w:left w:val="nil"/>
            </w:tcBorders>
          </w:tcPr>
          <w:p w14:paraId="29B1EEF2">
            <w:pPr>
              <w:pStyle w:val="7"/>
              <w:pageBreakBefore w:val="0"/>
              <w:widowControl w:val="0"/>
              <w:wordWrap/>
              <w:overflowPunct/>
              <w:topLinePunct w:val="0"/>
              <w:bidi w:val="0"/>
              <w:spacing w:line="263" w:lineRule="auto"/>
              <w:outlineLvl w:val="9"/>
              <w:rPr>
                <w:rFonts w:hint="eastAsia" w:asciiTheme="minorEastAsia" w:hAnsiTheme="minorEastAsia" w:eastAsiaTheme="minorEastAsia" w:cstheme="minorEastAsia"/>
                <w:color w:val="auto"/>
                <w:highlight w:val="none"/>
              </w:rPr>
            </w:pPr>
          </w:p>
          <w:p w14:paraId="67AA8592">
            <w:pPr>
              <w:pStyle w:val="7"/>
              <w:pageBreakBefore w:val="0"/>
              <w:widowControl w:val="0"/>
              <w:wordWrap/>
              <w:overflowPunct/>
              <w:topLinePunct w:val="0"/>
              <w:bidi w:val="0"/>
              <w:spacing w:line="263" w:lineRule="auto"/>
              <w:outlineLvl w:val="9"/>
              <w:rPr>
                <w:rFonts w:hint="eastAsia" w:asciiTheme="minorEastAsia" w:hAnsiTheme="minorEastAsia" w:eastAsiaTheme="minorEastAsia" w:cstheme="minorEastAsia"/>
                <w:color w:val="auto"/>
                <w:highlight w:val="none"/>
              </w:rPr>
            </w:pPr>
          </w:p>
          <w:p w14:paraId="65BFC94F">
            <w:pPr>
              <w:pStyle w:val="7"/>
              <w:pageBreakBefore w:val="0"/>
              <w:widowControl w:val="0"/>
              <w:wordWrap/>
              <w:overflowPunct/>
              <w:topLinePunct w:val="0"/>
              <w:bidi w:val="0"/>
              <w:spacing w:line="264" w:lineRule="auto"/>
              <w:outlineLvl w:val="9"/>
              <w:rPr>
                <w:rFonts w:hint="eastAsia" w:asciiTheme="minorEastAsia" w:hAnsiTheme="minorEastAsia" w:eastAsiaTheme="minorEastAsia" w:cstheme="minorEastAsia"/>
                <w:color w:val="auto"/>
                <w:highlight w:val="none"/>
              </w:rPr>
            </w:pPr>
          </w:p>
          <w:p w14:paraId="6CADFB77">
            <w:pPr>
              <w:pageBreakBefore w:val="0"/>
              <w:widowControl w:val="0"/>
              <w:wordWrap/>
              <w:overflowPunct/>
              <w:topLinePunct w:val="0"/>
              <w:bidi w:val="0"/>
              <w:spacing w:before="78" w:line="221" w:lineRule="auto"/>
              <w:ind w:left="192"/>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称</w:t>
            </w:r>
          </w:p>
        </w:tc>
        <w:tc>
          <w:tcPr>
            <w:tcW w:w="6150" w:type="dxa"/>
            <w:vAlign w:val="center"/>
          </w:tcPr>
          <w:p w14:paraId="7C37AF79">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rPr>
            </w:pPr>
            <w:r>
              <w:rPr>
                <w:rFonts w:hint="eastAsia" w:asciiTheme="minorEastAsia" w:hAnsiTheme="minorEastAsia" w:eastAsiaTheme="minorEastAsia" w:cstheme="minorEastAsia"/>
                <w:color w:val="auto"/>
                <w:sz w:val="28"/>
                <w:szCs w:val="28"/>
                <w:highlight w:val="none"/>
              </w:rPr>
              <w:t>婺源博物馆保洁服务采购项目</w:t>
            </w:r>
          </w:p>
        </w:tc>
      </w:tr>
      <w:tr w14:paraId="35728F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DDE9F22">
            <w:pPr>
              <w:pageBreakBefore w:val="0"/>
              <w:widowControl w:val="0"/>
              <w:wordWrap/>
              <w:overflowPunct/>
              <w:topLinePunct w:val="0"/>
              <w:bidi w:val="0"/>
              <w:spacing w:before="253" w:line="219" w:lineRule="auto"/>
              <w:ind w:left="1188"/>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6"/>
                <w:sz w:val="24"/>
                <w:szCs w:val="24"/>
                <w:highlight w:val="none"/>
              </w:rPr>
              <w:t>数量</w:t>
            </w:r>
          </w:p>
        </w:tc>
        <w:tc>
          <w:tcPr>
            <w:tcW w:w="6150" w:type="dxa"/>
            <w:vAlign w:val="center"/>
          </w:tcPr>
          <w:p w14:paraId="09FF8F9C">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r>
      <w:tr w14:paraId="485B9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0EC9A387">
            <w:pPr>
              <w:pageBreakBefore w:val="0"/>
              <w:widowControl w:val="0"/>
              <w:wordWrap/>
              <w:overflowPunct/>
              <w:topLinePunct w:val="0"/>
              <w:bidi w:val="0"/>
              <w:spacing w:before="253" w:line="219" w:lineRule="auto"/>
              <w:ind w:left="107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5"/>
                <w:sz w:val="24"/>
                <w:szCs w:val="24"/>
                <w:highlight w:val="none"/>
                <w:lang w:val="en-US" w:eastAsia="zh-CN"/>
              </w:rPr>
              <w:t>服务</w:t>
            </w:r>
            <w:r>
              <w:rPr>
                <w:rFonts w:hint="eastAsia" w:asciiTheme="minorEastAsia" w:hAnsiTheme="minorEastAsia" w:eastAsiaTheme="minorEastAsia" w:cstheme="minorEastAsia"/>
                <w:color w:val="auto"/>
                <w:spacing w:val="-5"/>
                <w:sz w:val="24"/>
                <w:szCs w:val="24"/>
                <w:highlight w:val="none"/>
              </w:rPr>
              <w:t>期</w:t>
            </w:r>
          </w:p>
        </w:tc>
        <w:tc>
          <w:tcPr>
            <w:tcW w:w="6150" w:type="dxa"/>
            <w:vAlign w:val="center"/>
          </w:tcPr>
          <w:p w14:paraId="0CD5D14F">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sz w:val="24"/>
                <w:szCs w:val="24"/>
                <w:highlight w:val="none"/>
                <w:lang w:val="en-US" w:eastAsia="zh-CN"/>
              </w:rPr>
            </w:pPr>
            <w:r>
              <w:rPr>
                <w:rFonts w:hint="eastAsia" w:ascii="宋体" w:hAnsi="宋体" w:eastAsia="宋体" w:cs="宋体"/>
                <w:color w:val="auto"/>
                <w:sz w:val="24"/>
                <w:szCs w:val="24"/>
                <w:shd w:val="clear" w:color="auto" w:fill="FFFFFF"/>
                <w:lang w:val="en-US" w:eastAsia="zh-CN"/>
              </w:rPr>
              <w:t>2年</w:t>
            </w:r>
          </w:p>
        </w:tc>
      </w:tr>
      <w:tr w14:paraId="6F32B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50851E3">
            <w:pPr>
              <w:pageBreakBefore w:val="0"/>
              <w:widowControl w:val="0"/>
              <w:wordWrap/>
              <w:overflowPunct/>
              <w:topLinePunct w:val="0"/>
              <w:bidi w:val="0"/>
              <w:spacing w:before="256" w:line="219" w:lineRule="auto"/>
              <w:ind w:left="951"/>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4"/>
                <w:sz w:val="24"/>
                <w:szCs w:val="24"/>
                <w:highlight w:val="none"/>
                <w:lang w:val="en-US" w:eastAsia="zh-CN"/>
              </w:rPr>
              <w:t>服务</w:t>
            </w:r>
            <w:r>
              <w:rPr>
                <w:rFonts w:hint="eastAsia" w:asciiTheme="minorEastAsia" w:hAnsiTheme="minorEastAsia" w:eastAsiaTheme="minorEastAsia" w:cstheme="minorEastAsia"/>
                <w:color w:val="auto"/>
                <w:spacing w:val="-4"/>
                <w:sz w:val="24"/>
                <w:szCs w:val="24"/>
                <w:highlight w:val="none"/>
              </w:rPr>
              <w:t>地点</w:t>
            </w:r>
          </w:p>
        </w:tc>
        <w:tc>
          <w:tcPr>
            <w:tcW w:w="6150" w:type="dxa"/>
            <w:vAlign w:val="center"/>
          </w:tcPr>
          <w:p w14:paraId="3618AC8E">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江西省上饶市婺源县文公北路255号（</w:t>
            </w:r>
            <w:r>
              <w:rPr>
                <w:rFonts w:hint="eastAsia" w:asciiTheme="minorEastAsia" w:hAnsiTheme="minorEastAsia" w:eastAsiaTheme="minorEastAsia" w:cstheme="minorEastAsia"/>
                <w:color w:val="auto"/>
                <w:sz w:val="28"/>
                <w:szCs w:val="28"/>
                <w:highlight w:val="none"/>
              </w:rPr>
              <w:t>婺源博物馆</w:t>
            </w:r>
            <w:r>
              <w:rPr>
                <w:rFonts w:hint="eastAsia" w:asciiTheme="minorEastAsia" w:hAnsiTheme="minorEastAsia" w:eastAsiaTheme="minorEastAsia" w:cstheme="minorEastAsia"/>
                <w:color w:val="auto"/>
                <w:sz w:val="28"/>
                <w:szCs w:val="28"/>
                <w:highlight w:val="none"/>
                <w:lang w:val="en-US" w:eastAsia="zh-CN"/>
              </w:rPr>
              <w:t>内）</w:t>
            </w:r>
          </w:p>
        </w:tc>
      </w:tr>
      <w:tr w14:paraId="12E26E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4598AE59">
            <w:pPr>
              <w:pageBreakBefore w:val="0"/>
              <w:widowControl w:val="0"/>
              <w:wordWrap/>
              <w:overflowPunct/>
              <w:topLinePunct w:val="0"/>
              <w:bidi w:val="0"/>
              <w:spacing w:before="256" w:line="221" w:lineRule="auto"/>
              <w:ind w:left="1189"/>
              <w:outlineLvl w:val="9"/>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7"/>
                <w:sz w:val="24"/>
                <w:szCs w:val="24"/>
                <w:highlight w:val="none"/>
              </w:rPr>
              <w:t>备注</w:t>
            </w:r>
          </w:p>
        </w:tc>
        <w:tc>
          <w:tcPr>
            <w:tcW w:w="6150" w:type="dxa"/>
            <w:vAlign w:val="center"/>
          </w:tcPr>
          <w:p w14:paraId="6D379FF6">
            <w:pPr>
              <w:pStyle w:val="7"/>
              <w:pageBreakBefore w:val="0"/>
              <w:widowControl w:val="0"/>
              <w:wordWrap/>
              <w:overflowPunct/>
              <w:topLinePunct w:val="0"/>
              <w:bidi w:val="0"/>
              <w:jc w:val="center"/>
              <w:outlineLvl w:val="9"/>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无</w:t>
            </w:r>
          </w:p>
        </w:tc>
      </w:tr>
    </w:tbl>
    <w:p w14:paraId="5FB4D035">
      <w:pPr>
        <w:pageBreakBefore w:val="0"/>
        <w:widowControl w:val="0"/>
        <w:wordWrap/>
        <w:overflowPunct/>
        <w:topLinePunct w:val="0"/>
        <w:bidi w:val="0"/>
        <w:outlineLvl w:val="9"/>
        <w:rPr>
          <w:rFonts w:hint="eastAsia" w:asciiTheme="minorEastAsia" w:hAnsiTheme="minorEastAsia" w:eastAsiaTheme="minorEastAsia" w:cstheme="minorEastAsia"/>
          <w:color w:val="auto"/>
          <w:highlight w:val="none"/>
        </w:rPr>
      </w:pPr>
    </w:p>
    <w:p w14:paraId="0CE8A803">
      <w:pPr>
        <w:pageBreakBefore w:val="0"/>
        <w:widowControl w:val="0"/>
        <w:wordWrap/>
        <w:overflowPunct/>
        <w:topLinePunct w:val="0"/>
        <w:bidi w:val="0"/>
        <w:outlineLvl w:val="9"/>
        <w:rPr>
          <w:rFonts w:hint="eastAsia" w:asciiTheme="minorEastAsia" w:hAnsiTheme="minorEastAsia" w:eastAsiaTheme="minorEastAsia" w:cstheme="minorEastAsia"/>
          <w:color w:val="auto"/>
          <w:highlight w:val="none"/>
        </w:rPr>
        <w:sectPr>
          <w:footerReference r:id="rId3" w:type="default"/>
          <w:pgSz w:w="11906" w:h="16839"/>
          <w:pgMar w:top="1232" w:right="1786" w:bottom="1156" w:left="1786" w:header="0" w:footer="994" w:gutter="0"/>
          <w:pgNumType w:fmt="decimal"/>
          <w:cols w:space="720" w:num="1"/>
        </w:sectPr>
      </w:pPr>
    </w:p>
    <w:p w14:paraId="07EFAC96">
      <w:pPr>
        <w:spacing w:after="0" w:line="520" w:lineRule="exact"/>
        <w:ind w:firstLine="900" w:firstLineChars="250"/>
        <w:jc w:val="center"/>
        <w:rPr>
          <w:rFonts w:hint="default" w:ascii="黑体" w:hAnsi="黑体" w:eastAsia="黑体" w:cs="黑体"/>
          <w:bCs/>
          <w:color w:val="auto"/>
          <w:sz w:val="40"/>
          <w:szCs w:val="40"/>
          <w:lang w:val="en-US" w:eastAsia="zh-CN"/>
        </w:rPr>
      </w:pPr>
      <w:bookmarkStart w:id="0" w:name="bookmark81"/>
      <w:bookmarkEnd w:id="0"/>
      <w:r>
        <w:rPr>
          <w:rFonts w:hint="eastAsia" w:ascii="黑体" w:hAnsi="黑体" w:eastAsia="黑体" w:cs="黑体"/>
          <w:bCs/>
          <w:color w:val="auto"/>
          <w:sz w:val="36"/>
          <w:szCs w:val="36"/>
          <w:lang w:val="en-US" w:eastAsia="zh-CN"/>
        </w:rPr>
        <w:t>二、采购要求</w:t>
      </w:r>
    </w:p>
    <w:p w14:paraId="2A96B60C">
      <w:pPr>
        <w:keepLines w:val="0"/>
        <w:pageBreakBefore w:val="0"/>
        <w:widowControl w:val="0"/>
        <w:kinsoku/>
        <w:wordWrap/>
        <w:overflowPunct/>
        <w:topLinePunct w:val="0"/>
        <w:bidi w:val="0"/>
        <w:spacing w:after="0" w:line="480" w:lineRule="exact"/>
        <w:ind w:firstLine="321" w:firstLineChars="100"/>
        <w:jc w:val="both"/>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一、项目情况介绍</w:t>
      </w:r>
    </w:p>
    <w:p w14:paraId="62B39C43">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Cs/>
          <w:color w:val="auto"/>
          <w:sz w:val="32"/>
          <w:szCs w:val="32"/>
          <w:highlight w:val="red"/>
        </w:rPr>
      </w:pPr>
      <w:r>
        <w:rPr>
          <w:rFonts w:hint="eastAsia" w:ascii="仿宋_GB2312" w:hAnsi="仿宋_GB2312" w:eastAsia="仿宋_GB2312" w:cs="仿宋_GB2312"/>
          <w:b w:val="0"/>
          <w:bCs w:val="0"/>
          <w:color w:val="auto"/>
          <w:sz w:val="32"/>
          <w:szCs w:val="32"/>
        </w:rPr>
        <w:t>（一）预算费用：</w:t>
      </w:r>
      <w:r>
        <w:rPr>
          <w:rFonts w:hint="eastAsia" w:ascii="仿宋_GB2312" w:hAnsi="仿宋_GB2312" w:eastAsia="仿宋_GB2312" w:cs="仿宋_GB2312"/>
          <w:b w:val="0"/>
          <w:bCs w:val="0"/>
          <w:color w:val="auto"/>
          <w:sz w:val="32"/>
          <w:szCs w:val="32"/>
          <w:highlight w:val="none"/>
          <w:lang w:val="en-US" w:eastAsia="zh-CN"/>
        </w:rPr>
        <w:t>476590.03万</w:t>
      </w:r>
      <w:r>
        <w:rPr>
          <w:rFonts w:hint="eastAsia" w:ascii="仿宋_GB2312" w:hAnsi="仿宋_GB2312" w:eastAsia="仿宋_GB2312" w:cs="仿宋_GB2312"/>
          <w:bCs/>
          <w:color w:val="auto"/>
          <w:sz w:val="32"/>
          <w:szCs w:val="32"/>
          <w:highlight w:val="none"/>
        </w:rPr>
        <w:t>元/年，服务期</w:t>
      </w:r>
      <w:r>
        <w:rPr>
          <w:rFonts w:hint="eastAsia" w:ascii="仿宋_GB2312" w:hAnsi="仿宋_GB2312" w:eastAsia="仿宋_GB2312" w:cs="仿宋_GB2312"/>
          <w:bCs/>
          <w:color w:val="auto"/>
          <w:sz w:val="32"/>
          <w:szCs w:val="32"/>
          <w:highlight w:val="none"/>
          <w:lang w:val="en-US" w:eastAsia="zh-CN"/>
        </w:rPr>
        <w:t>2</w:t>
      </w:r>
      <w:r>
        <w:rPr>
          <w:rFonts w:hint="eastAsia" w:ascii="仿宋_GB2312" w:hAnsi="仿宋_GB2312" w:eastAsia="仿宋_GB2312" w:cs="仿宋_GB2312"/>
          <w:bCs/>
          <w:color w:val="auto"/>
          <w:sz w:val="32"/>
          <w:szCs w:val="32"/>
          <w:highlight w:val="none"/>
        </w:rPr>
        <w:t>年，共计</w:t>
      </w:r>
      <w:r>
        <w:rPr>
          <w:rFonts w:hint="eastAsia" w:ascii="仿宋_GB2312" w:hAnsi="仿宋_GB2312" w:eastAsia="仿宋_GB2312" w:cs="仿宋_GB2312"/>
          <w:bCs/>
          <w:color w:val="auto"/>
          <w:sz w:val="32"/>
          <w:szCs w:val="32"/>
          <w:highlight w:val="none"/>
          <w:lang w:val="en-US" w:eastAsia="zh-CN"/>
        </w:rPr>
        <w:t>953180.06</w:t>
      </w:r>
      <w:r>
        <w:rPr>
          <w:rFonts w:hint="eastAsia" w:ascii="仿宋_GB2312" w:hAnsi="仿宋_GB2312" w:eastAsia="仿宋_GB2312" w:cs="仿宋_GB2312"/>
          <w:bCs/>
          <w:color w:val="auto"/>
          <w:sz w:val="32"/>
          <w:szCs w:val="32"/>
          <w:highlight w:val="none"/>
        </w:rPr>
        <w:t>万元。</w:t>
      </w:r>
    </w:p>
    <w:p w14:paraId="1BF37FC7">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预算费用包括以下内容：</w:t>
      </w:r>
      <w:r>
        <w:rPr>
          <w:rFonts w:hint="default" w:ascii="仿宋_GB2312" w:hAnsi="仿宋_GB2312" w:eastAsia="仿宋_GB2312" w:cs="仿宋_GB2312"/>
          <w:color w:val="auto"/>
          <w:sz w:val="32"/>
          <w:szCs w:val="32"/>
          <w:vertAlign w:val="baseline"/>
          <w:lang w:val="en-US" w:eastAsia="zh-CN"/>
        </w:rPr>
        <w:t>人</w:t>
      </w:r>
      <w:r>
        <w:rPr>
          <w:rFonts w:hint="eastAsia" w:ascii="仿宋_GB2312" w:hAnsi="仿宋_GB2312" w:eastAsia="仿宋_GB2312" w:cs="仿宋_GB2312"/>
          <w:color w:val="auto"/>
          <w:sz w:val="32"/>
          <w:szCs w:val="32"/>
          <w:vertAlign w:val="baseline"/>
          <w:lang w:val="en-US" w:eastAsia="zh-CN"/>
        </w:rPr>
        <w:t>工费（基本</w:t>
      </w:r>
      <w:r>
        <w:rPr>
          <w:rFonts w:hint="eastAsia" w:ascii="仿宋_GB2312" w:hAnsi="仿宋_GB2312" w:eastAsia="仿宋_GB2312" w:cs="仿宋_GB2312"/>
          <w:color w:val="auto"/>
          <w:sz w:val="32"/>
          <w:szCs w:val="32"/>
        </w:rPr>
        <w:t>工资、社会保险费、</w:t>
      </w:r>
      <w:r>
        <w:rPr>
          <w:rFonts w:hint="eastAsia" w:ascii="仿宋_GB2312" w:hAnsi="仿宋_GB2312" w:eastAsia="仿宋_GB2312" w:cs="仿宋_GB2312"/>
          <w:color w:val="auto"/>
          <w:sz w:val="32"/>
          <w:szCs w:val="32"/>
          <w:lang w:val="en-US" w:eastAsia="zh-CN"/>
        </w:rPr>
        <w:t>加班费</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福利费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机械设备费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服务耗材费、</w:t>
      </w:r>
      <w:r>
        <w:rPr>
          <w:rFonts w:hint="eastAsia" w:ascii="仿宋_GB2312" w:hAnsi="仿宋_GB2312" w:eastAsia="仿宋_GB2312" w:cs="仿宋_GB2312"/>
          <w:color w:val="auto"/>
          <w:sz w:val="32"/>
          <w:szCs w:val="32"/>
          <w:lang w:val="en-US" w:eastAsia="zh-CN"/>
        </w:rPr>
        <w:t>其他费用(</w:t>
      </w:r>
      <w:r>
        <w:rPr>
          <w:rFonts w:hint="eastAsia" w:ascii="仿宋_GB2312" w:hAnsi="仿宋_GB2312" w:eastAsia="仿宋_GB2312" w:cs="仿宋_GB2312"/>
          <w:color w:val="auto"/>
          <w:sz w:val="32"/>
          <w:szCs w:val="32"/>
        </w:rPr>
        <w:t>行政办公费、管理费、利润</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税费及采购文件中约定应由</w:t>
      </w:r>
      <w:r>
        <w:rPr>
          <w:rFonts w:hint="eastAsia" w:ascii="仿宋_GB2312" w:hAnsi="仿宋_GB2312" w:eastAsia="仿宋_GB2312" w:cs="仿宋_GB2312"/>
          <w:color w:val="auto"/>
          <w:sz w:val="32"/>
          <w:szCs w:val="32"/>
          <w:lang w:val="en-US" w:eastAsia="zh-CN"/>
        </w:rPr>
        <w:t>投标人</w:t>
      </w:r>
      <w:r>
        <w:rPr>
          <w:rFonts w:hint="eastAsia" w:ascii="仿宋_GB2312" w:hAnsi="仿宋_GB2312" w:eastAsia="仿宋_GB2312" w:cs="仿宋_GB2312"/>
          <w:color w:val="auto"/>
          <w:sz w:val="32"/>
          <w:szCs w:val="32"/>
        </w:rPr>
        <w:t>完成的本项目全部服务内容所需全部费用。</w:t>
      </w:r>
    </w:p>
    <w:p w14:paraId="6667E18B">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（二）项目概况</w:t>
      </w:r>
    </w:p>
    <w:p w14:paraId="15CBE1BA">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（1）服务区域范围</w:t>
      </w:r>
    </w:p>
    <w:p w14:paraId="7429CB4E">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总建筑面积：</w:t>
      </w:r>
      <w:r>
        <w:rPr>
          <w:rFonts w:hint="eastAsia" w:ascii="仿宋_GB2312" w:hAnsi="仿宋_GB2312" w:eastAsia="仿宋_GB2312" w:cs="仿宋_GB2312"/>
          <w:color w:val="auto"/>
          <w:sz w:val="32"/>
          <w:szCs w:val="32"/>
          <w:lang w:val="en-US" w:eastAsia="zh-CN"/>
        </w:rPr>
        <w:t>20603.1</w:t>
      </w:r>
      <w:r>
        <w:rPr>
          <w:rFonts w:hint="eastAsia" w:ascii="仿宋_GB2312" w:hAnsi="仿宋_GB2312" w:eastAsia="仿宋_GB2312" w:cs="仿宋_GB2312"/>
          <w:color w:val="auto"/>
          <w:sz w:val="32"/>
          <w:szCs w:val="32"/>
        </w:rPr>
        <w:t>平方米；绿化面积：</w:t>
      </w:r>
      <w:r>
        <w:rPr>
          <w:rFonts w:hint="eastAsia" w:ascii="仿宋_GB2312" w:hAnsi="仿宋_GB2312" w:eastAsia="仿宋_GB2312" w:cs="仿宋_GB2312"/>
          <w:color w:val="auto"/>
          <w:sz w:val="32"/>
          <w:szCs w:val="32"/>
          <w:lang w:val="en-US" w:eastAsia="zh-CN"/>
        </w:rPr>
        <w:t>7000</w:t>
      </w:r>
      <w:r>
        <w:rPr>
          <w:rFonts w:hint="eastAsia" w:ascii="仿宋_GB2312" w:hAnsi="仿宋_GB2312" w:eastAsia="仿宋_GB2312" w:cs="仿宋_GB2312"/>
          <w:color w:val="auto"/>
          <w:sz w:val="32"/>
          <w:szCs w:val="32"/>
        </w:rPr>
        <w:t>平方米；保洁面积：</w:t>
      </w:r>
      <w:r>
        <w:rPr>
          <w:rFonts w:hint="eastAsia" w:ascii="仿宋_GB2312" w:hAnsi="仿宋_GB2312" w:eastAsia="仿宋_GB2312" w:cs="仿宋_GB2312"/>
          <w:color w:val="auto"/>
          <w:sz w:val="32"/>
          <w:szCs w:val="32"/>
          <w:lang w:val="en-US" w:eastAsia="zh-CN"/>
        </w:rPr>
        <w:t>66190</w:t>
      </w:r>
      <w:r>
        <w:rPr>
          <w:rFonts w:hint="eastAsia" w:ascii="仿宋_GB2312" w:hAnsi="仿宋_GB2312" w:eastAsia="仿宋_GB2312" w:cs="仿宋_GB2312"/>
          <w:color w:val="auto"/>
          <w:sz w:val="32"/>
          <w:szCs w:val="32"/>
        </w:rPr>
        <w:t>平方米(其中</w:t>
      </w:r>
      <w:r>
        <w:rPr>
          <w:rFonts w:hint="eastAsia" w:ascii="仿宋_GB2312" w:hAnsi="仿宋_GB2312" w:eastAsia="仿宋_GB2312" w:cs="仿宋_GB2312"/>
          <w:color w:val="auto"/>
          <w:sz w:val="32"/>
          <w:szCs w:val="32"/>
          <w:lang w:val="en-US" w:eastAsia="zh-CN"/>
        </w:rPr>
        <w:t>包括公区、</w:t>
      </w:r>
      <w:r>
        <w:rPr>
          <w:rFonts w:hint="eastAsia" w:ascii="仿宋_GB2312" w:hAnsi="仿宋_GB2312" w:eastAsia="仿宋_GB2312" w:cs="仿宋_GB2312"/>
          <w:sz w:val="32"/>
          <w:szCs w:val="32"/>
          <w:lang w:val="en-US" w:eastAsia="zh-CN"/>
        </w:rPr>
        <w:t>陈列楼、库房楼、办公楼及室内所有区域</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w:t>
      </w:r>
    </w:p>
    <w:p w14:paraId="36EA631B">
      <w:pPr>
        <w:keepLines w:val="0"/>
        <w:pageBreakBefore w:val="0"/>
        <w:widowControl w:val="0"/>
        <w:kinsoku/>
        <w:wordWrap/>
        <w:overflowPunct/>
        <w:topLinePunct w:val="0"/>
        <w:autoSpaceDE w:val="0"/>
        <w:autoSpaceDN w:val="0"/>
        <w:bidi w:val="0"/>
        <w:spacing w:after="0" w:line="480" w:lineRule="exact"/>
        <w:ind w:firstLine="643" w:firstLineChars="200"/>
        <w:jc w:val="both"/>
        <w:textAlignment w:val="auto"/>
        <w:outlineLvl w:val="1"/>
        <w:rPr>
          <w:rFonts w:hint="eastAsia" w:ascii="方正楷体_GB2312" w:hAnsi="方正楷体_GB2312" w:eastAsia="方正楷体_GB2312" w:cs="方正楷体_GB2312"/>
          <w:b/>
          <w:bCs/>
          <w:color w:val="auto"/>
          <w:sz w:val="32"/>
          <w:szCs w:val="32"/>
        </w:rPr>
      </w:pPr>
      <w:r>
        <w:rPr>
          <w:rFonts w:hint="eastAsia" w:ascii="方正楷体_GB2312" w:hAnsi="方正楷体_GB2312" w:eastAsia="方正楷体_GB2312" w:cs="方正楷体_GB2312"/>
          <w:b/>
          <w:bCs/>
          <w:color w:val="auto"/>
          <w:sz w:val="32"/>
          <w:szCs w:val="32"/>
        </w:rPr>
        <w:t>二、服务需求</w:t>
      </w:r>
    </w:p>
    <w:p w14:paraId="5C1260D9">
      <w:pPr>
        <w:keepLines w:val="0"/>
        <w:pageBreakBefore w:val="0"/>
        <w:widowControl w:val="0"/>
        <w:kinsoku/>
        <w:wordWrap/>
        <w:overflowPunct/>
        <w:topLinePunct w:val="0"/>
        <w:autoSpaceDE w:val="0"/>
        <w:autoSpaceDN w:val="0"/>
        <w:bidi w:val="0"/>
        <w:spacing w:after="0" w:line="480" w:lineRule="exact"/>
        <w:ind w:firstLine="321" w:firstLineChars="100"/>
        <w:jc w:val="both"/>
        <w:textAlignment w:val="auto"/>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（一）服务范围及内容：</w:t>
      </w:r>
    </w:p>
    <w:p w14:paraId="53DE0653">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.卫生保洁服务：日常公共区域</w:t>
      </w:r>
      <w:r>
        <w:rPr>
          <w:rFonts w:hint="eastAsia" w:ascii="仿宋_GB2312" w:hAnsi="仿宋_GB2312" w:eastAsia="仿宋_GB2312" w:cs="仿宋_GB2312"/>
          <w:color w:val="auto"/>
          <w:sz w:val="32"/>
          <w:szCs w:val="32"/>
          <w:lang w:val="en-US" w:eastAsia="zh-CN"/>
        </w:rPr>
        <w:t>及室内</w:t>
      </w:r>
      <w:r>
        <w:rPr>
          <w:rFonts w:hint="eastAsia" w:ascii="仿宋_GB2312" w:hAnsi="仿宋_GB2312" w:eastAsia="仿宋_GB2312" w:cs="仿宋_GB2312"/>
          <w:color w:val="auto"/>
          <w:sz w:val="32"/>
          <w:szCs w:val="32"/>
        </w:rPr>
        <w:t>卫生保洁，包括地面、楼道、天面</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卫生间</w:t>
      </w:r>
      <w:r>
        <w:rPr>
          <w:rFonts w:hint="eastAsia" w:ascii="仿宋_GB2312" w:hAnsi="仿宋_GB2312" w:eastAsia="仿宋_GB2312" w:cs="仿宋_GB2312"/>
          <w:color w:val="auto"/>
          <w:sz w:val="32"/>
          <w:szCs w:val="32"/>
        </w:rPr>
        <w:t>等清扫保洁；设备设施清抹；垃圾收集外运</w:t>
      </w:r>
      <w:r>
        <w:rPr>
          <w:rFonts w:hint="eastAsia" w:ascii="仿宋_GB2312" w:hAnsi="仿宋_GB2312" w:eastAsia="仿宋_GB2312" w:cs="仿宋_GB2312"/>
          <w:color w:val="auto"/>
          <w:sz w:val="32"/>
          <w:szCs w:val="32"/>
          <w:lang w:val="en-US" w:eastAsia="zh-CN"/>
        </w:rPr>
        <w:t>至垃圾投放点</w:t>
      </w:r>
      <w:r>
        <w:rPr>
          <w:rFonts w:hint="eastAsia" w:ascii="仿宋_GB2312" w:hAnsi="仿宋_GB2312" w:eastAsia="仿宋_GB2312" w:cs="仿宋_GB2312"/>
          <w:color w:val="auto"/>
          <w:sz w:val="32"/>
          <w:szCs w:val="32"/>
          <w:lang w:eastAsia="zh-CN"/>
        </w:rPr>
        <w:t>。</w:t>
      </w:r>
    </w:p>
    <w:p w14:paraId="6499C768">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.绿化养护服务：日常绿植养护，包括施肥、病虫害防治、修剪、浇水、枯枝杂草清理等。</w:t>
      </w:r>
      <w:r>
        <w:rPr>
          <w:rFonts w:hint="eastAsia" w:ascii="仿宋_GB2312" w:hAnsi="仿宋_GB2312" w:eastAsia="仿宋_GB2312" w:cs="仿宋_GB2312"/>
          <w:sz w:val="32"/>
          <w:szCs w:val="32"/>
          <w:lang w:val="en-US" w:eastAsia="zh-CN"/>
        </w:rPr>
        <w:t>按年度绿化保养计划和植物属性每年进行定期养护</w:t>
      </w:r>
    </w:p>
    <w:p w14:paraId="7119149D">
      <w:pPr>
        <w:pStyle w:val="8"/>
        <w:keepLines w:val="0"/>
        <w:pageBreakBefore w:val="0"/>
        <w:widowControl w:val="0"/>
        <w:kinsoku/>
        <w:wordWrap/>
        <w:overflowPunct/>
        <w:topLinePunct w:val="0"/>
        <w:bidi w:val="0"/>
        <w:spacing w:after="0" w:line="480" w:lineRule="exact"/>
        <w:ind w:left="0" w:leftChars="0" w:firstLine="321" w:firstLineChars="100"/>
        <w:jc w:val="both"/>
        <w:textAlignment w:val="auto"/>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（二）服务要求标准</w:t>
      </w:r>
    </w:p>
    <w:p w14:paraId="085CDD1D">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1、卫生保洁服务</w:t>
      </w:r>
    </w:p>
    <w:p w14:paraId="5BBE706B">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1.1 建立环境卫生管理制度并认真落实，垃圾日产日清；跟踪保洁；</w:t>
      </w:r>
    </w:p>
    <w:p w14:paraId="72DB5C7A">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1.2 建筑外墙、屋面、室外场地、道路、等保持清洁无积尘，无纸屑、树叶、烟头等杂物；</w:t>
      </w:r>
    </w:p>
    <w:p w14:paraId="4B2A947E">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1.3 室内保洁业主单位指定责任区域的室内公共区域及开水间、卫生间，做到顶面、墙面、地面、玻璃等清洁无尘印，无蜘蛛网、无积水；室内设施表面、门窗等无灰尘；定期灭鼠、消杀除；</w:t>
      </w:r>
    </w:p>
    <w:p w14:paraId="60966E4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1.4 室内外金属护栏、把手和电梯轿厢定期擦拭保养，确保无锈迹、污渍、汗渍；</w:t>
      </w:r>
    </w:p>
    <w:p w14:paraId="32E0AFBD">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1.5 照明灯、牌匾、宣传栏牢固、安全、美观、整洁，无乱贴乱画现象；</w:t>
      </w:r>
    </w:p>
    <w:p w14:paraId="53CE750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1.6 公共区域玻璃门、窗、玻璃隔断保持无污迹、灰尘；玻璃幕墙根据需要清洗；</w:t>
      </w:r>
    </w:p>
    <w:p w14:paraId="0372E8FF">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1.7 单位专用停车场地面和设施表面清洁无积水、积尘，顶面、墙面无灰尘和蜘蛛网；</w:t>
      </w:r>
    </w:p>
    <w:p w14:paraId="0C96F1C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1.8 保证楼层卫生间的用纸和洗手液摆放；卫生间无明显异味，随时保持便池的清洁卫生；便池、水池、下水道畅通。</w:t>
      </w:r>
    </w:p>
    <w:p w14:paraId="2536B02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1.9 定期进行病媒防制工作。</w:t>
      </w:r>
    </w:p>
    <w:p w14:paraId="16CCE04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2、绿化修剪、除杂草</w:t>
      </w:r>
    </w:p>
    <w:p w14:paraId="39D68A0A">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2.1 草皮： </w:t>
      </w:r>
    </w:p>
    <w:p w14:paraId="358E07DA">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2.1.1 根据需要每年对草皮修剪2～4次，保证草皮在10厘米以内。</w:t>
      </w:r>
    </w:p>
    <w:p w14:paraId="61C232C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2.1.2 生长季节生长势良好,不枯黄,春季返青较好。</w:t>
      </w:r>
    </w:p>
    <w:p w14:paraId="07B47298">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2.2 花卉：</w:t>
      </w:r>
    </w:p>
    <w:p w14:paraId="656A6615">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2.2.1 花卉生长繁茂，植株整齐，群体效果较好。</w:t>
      </w:r>
    </w:p>
    <w:p w14:paraId="2457BB10">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2.2.2 花卉应时开花，基本无病虫害和残花败叶。 </w:t>
      </w:r>
    </w:p>
    <w:p w14:paraId="2D3CB29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2.2.3 花丛式花坛花卉整齐一致，不缺株,三季有花。</w:t>
      </w:r>
    </w:p>
    <w:p w14:paraId="445A75C4">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2.3 绿篱：</w:t>
      </w:r>
    </w:p>
    <w:p w14:paraId="5647FF4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2.3.1 断面形式、高度、宽度基本符合设计要求。 </w:t>
      </w:r>
    </w:p>
    <w:p w14:paraId="67E9086A">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2.3.2 适时修剪，保持篱顶篱壁平整。</w:t>
      </w:r>
    </w:p>
    <w:p w14:paraId="2B27F36E">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2.3.3 生长健壮，枝叶细密，基本不缺株断条,无明显脱脚。</w:t>
      </w:r>
    </w:p>
    <w:p w14:paraId="450FC714">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2.3.4 无明显枯枝黄叶，造成损害及病虫危害株数在5%以下,基本无虫网、灰网。</w:t>
      </w:r>
    </w:p>
    <w:p w14:paraId="1578565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2.4 乔木、花灌木：</w:t>
      </w:r>
    </w:p>
    <w:p w14:paraId="7214867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2.4.1 生长茂盛，植株健壮，树冠完整。</w:t>
      </w:r>
    </w:p>
    <w:p w14:paraId="060EFC6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2.4.2 观赏类树木花果鲜艳，比较及时清除有碍观赏的败花、残果。</w:t>
      </w:r>
    </w:p>
    <w:p w14:paraId="443EF74E">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2.4.3 叶色正常，生长期内黄叶、焦叶、卷叶、积尘叶的株树在6％以下。无枯死枝杈，基本无交叉枝、并生枝和徒长枝.</w:t>
      </w:r>
    </w:p>
    <w:p w14:paraId="719C986B">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2.4.4 树体基本无蛀杆害虫，具有虫粪、虫网等危害的株树在4%以下。</w:t>
      </w:r>
    </w:p>
    <w:p w14:paraId="2C2E5CD7">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2.4.5 同一路的行道树的修剪方式相同，主侧枝分布合理,剪口处理完好。</w:t>
      </w:r>
    </w:p>
    <w:p w14:paraId="5BDA8077">
      <w:pPr>
        <w:pStyle w:val="8"/>
        <w:keepLines w:val="0"/>
        <w:pageBreakBefore w:val="0"/>
        <w:widowControl w:val="0"/>
        <w:kinsoku/>
        <w:wordWrap/>
        <w:overflowPunct/>
        <w:topLinePunct w:val="0"/>
        <w:bidi w:val="0"/>
        <w:spacing w:after="0" w:line="480" w:lineRule="exact"/>
        <w:ind w:left="0" w:leftChars="0" w:firstLine="0" w:firstLineChars="0"/>
        <w:jc w:val="both"/>
        <w:textAlignment w:val="auto"/>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（三）服务考核办法</w:t>
      </w:r>
    </w:p>
    <w:p w14:paraId="37BF9B40">
      <w:pPr>
        <w:keepNext w:val="0"/>
        <w:keepLines w:val="0"/>
        <w:widowControl/>
        <w:suppressLineNumbers w:val="0"/>
        <w:jc w:val="left"/>
        <w:rPr>
          <w:rFonts w:hint="eastAsia" w:ascii="仿宋_GB2312" w:hAnsi="仿宋_GB2312" w:eastAsia="仿宋_GB2312" w:cs="仿宋_GB2312"/>
          <w:b/>
          <w:bCs/>
          <w:color w:val="auto"/>
          <w:sz w:val="32"/>
          <w:szCs w:val="32"/>
          <w:lang w:val="en-US" w:eastAsia="zh-CN"/>
        </w:rPr>
      </w:pPr>
      <w:r>
        <w:rPr>
          <w:rFonts w:hint="eastAsia" w:ascii="仿宋" w:hAnsi="仿宋" w:eastAsia="仿宋" w:cs="Times New Roman"/>
          <w:sz w:val="28"/>
          <w:szCs w:val="28"/>
          <w:lang w:val="en-US" w:eastAsia="zh-CN"/>
        </w:rPr>
        <w:t>详见本项目招标文件附件一《物业服务监督管理考核评价办法》。</w:t>
      </w:r>
    </w:p>
    <w:p w14:paraId="6BC8F690">
      <w:pPr>
        <w:keepLines w:val="0"/>
        <w:pageBreakBefore w:val="0"/>
        <w:widowControl w:val="0"/>
        <w:numPr>
          <w:ilvl w:val="0"/>
          <w:numId w:val="0"/>
        </w:numPr>
        <w:kinsoku/>
        <w:wordWrap/>
        <w:overflowPunct/>
        <w:topLinePunct w:val="0"/>
        <w:bidi w:val="0"/>
        <w:spacing w:after="0" w:line="480" w:lineRule="exact"/>
        <w:jc w:val="both"/>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（四）服务人员要求</w:t>
      </w:r>
    </w:p>
    <w:p w14:paraId="486FBC8C">
      <w:pPr>
        <w:keepLines w:val="0"/>
        <w:pageBreakBefore w:val="0"/>
        <w:widowControl w:val="0"/>
        <w:numPr>
          <w:ilvl w:val="0"/>
          <w:numId w:val="0"/>
        </w:numPr>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1.最低人员配置需求</w:t>
      </w:r>
    </w:p>
    <w:tbl>
      <w:tblPr>
        <w:tblStyle w:val="3"/>
        <w:tblW w:w="9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8"/>
        <w:gridCol w:w="1200"/>
        <w:gridCol w:w="4400"/>
        <w:gridCol w:w="1512"/>
      </w:tblGrid>
      <w:tr w14:paraId="335F7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8"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40BDDC47">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岗 位</w:t>
            </w:r>
          </w:p>
        </w:tc>
        <w:tc>
          <w:tcPr>
            <w:tcW w:w="1200" w:type="dxa"/>
            <w:tcBorders>
              <w:top w:val="single" w:color="auto" w:sz="4" w:space="0"/>
              <w:left w:val="nil"/>
              <w:bottom w:val="single" w:color="auto" w:sz="4" w:space="0"/>
              <w:right w:val="single" w:color="auto" w:sz="4" w:space="0"/>
            </w:tcBorders>
            <w:vAlign w:val="center"/>
          </w:tcPr>
          <w:p w14:paraId="3308C9B2">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人数</w:t>
            </w:r>
          </w:p>
        </w:tc>
        <w:tc>
          <w:tcPr>
            <w:tcW w:w="4400" w:type="dxa"/>
            <w:tcBorders>
              <w:top w:val="single" w:color="auto" w:sz="4" w:space="0"/>
              <w:left w:val="nil"/>
              <w:bottom w:val="single" w:color="auto" w:sz="4" w:space="0"/>
              <w:right w:val="single" w:color="auto" w:sz="4" w:space="0"/>
            </w:tcBorders>
            <w:vAlign w:val="center"/>
          </w:tcPr>
          <w:p w14:paraId="314F3218">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具体要求（身体状况、岗位要求等）</w:t>
            </w:r>
          </w:p>
        </w:tc>
        <w:tc>
          <w:tcPr>
            <w:tcW w:w="1512" w:type="dxa"/>
            <w:tcBorders>
              <w:top w:val="single" w:color="auto" w:sz="4" w:space="0"/>
              <w:left w:val="nil"/>
              <w:bottom w:val="single" w:color="auto" w:sz="4" w:space="0"/>
              <w:right w:val="single" w:color="auto" w:sz="4" w:space="0"/>
            </w:tcBorders>
            <w:vAlign w:val="center"/>
          </w:tcPr>
          <w:p w14:paraId="6B481A51">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备注</w:t>
            </w:r>
          </w:p>
        </w:tc>
      </w:tr>
      <w:tr w14:paraId="60C70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2C25AED7">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rPr>
              <w:t>项目经理</w:t>
            </w:r>
          </w:p>
        </w:tc>
        <w:tc>
          <w:tcPr>
            <w:tcW w:w="1200" w:type="dxa"/>
            <w:tcBorders>
              <w:top w:val="single" w:color="auto" w:sz="4" w:space="0"/>
              <w:left w:val="nil"/>
              <w:bottom w:val="single" w:color="auto" w:sz="4" w:space="0"/>
              <w:right w:val="single" w:color="auto" w:sz="4" w:space="0"/>
            </w:tcBorders>
            <w:vAlign w:val="center"/>
          </w:tcPr>
          <w:p w14:paraId="220A928A">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tcPr>
          <w:p w14:paraId="576FCCC8">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身体健康，持有初级或以上物业管理师（职业技能等级证书），从事物业管理行业2年以上，执行考勤制度。</w:t>
            </w:r>
          </w:p>
        </w:tc>
        <w:tc>
          <w:tcPr>
            <w:tcW w:w="1512" w:type="dxa"/>
            <w:vMerge w:val="restart"/>
            <w:tcBorders>
              <w:top w:val="single" w:color="auto" w:sz="4" w:space="0"/>
              <w:left w:val="nil"/>
              <w:right w:val="single" w:color="auto" w:sz="4" w:space="0"/>
            </w:tcBorders>
          </w:tcPr>
          <w:p w14:paraId="5F4926D8">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p>
        </w:tc>
      </w:tr>
      <w:tr w14:paraId="4E4D4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35BF3218">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rPr>
              <w:t>保洁员</w:t>
            </w:r>
          </w:p>
        </w:tc>
        <w:tc>
          <w:tcPr>
            <w:tcW w:w="1200" w:type="dxa"/>
            <w:tcBorders>
              <w:top w:val="single" w:color="auto" w:sz="4" w:space="0"/>
              <w:left w:val="nil"/>
              <w:bottom w:val="single" w:color="auto" w:sz="4" w:space="0"/>
              <w:right w:val="single" w:color="auto" w:sz="4" w:space="0"/>
            </w:tcBorders>
            <w:vAlign w:val="center"/>
          </w:tcPr>
          <w:p w14:paraId="6797367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7</w:t>
            </w:r>
          </w:p>
        </w:tc>
        <w:tc>
          <w:tcPr>
            <w:tcW w:w="4400" w:type="dxa"/>
            <w:tcBorders>
              <w:top w:val="single" w:color="auto" w:sz="4" w:space="0"/>
              <w:left w:val="nil"/>
              <w:bottom w:val="single" w:color="auto" w:sz="4" w:space="0"/>
              <w:right w:val="single" w:color="auto" w:sz="4" w:space="0"/>
            </w:tcBorders>
            <w:vAlign w:val="center"/>
          </w:tcPr>
          <w:p w14:paraId="628D11DF">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女性，身体健康，50岁周岁以下，工作勤恳，服从管理，执行考勤制度。</w:t>
            </w:r>
          </w:p>
        </w:tc>
        <w:tc>
          <w:tcPr>
            <w:tcW w:w="1512" w:type="dxa"/>
            <w:vMerge w:val="continue"/>
            <w:tcBorders>
              <w:left w:val="nil"/>
              <w:right w:val="single" w:color="auto" w:sz="4" w:space="0"/>
            </w:tcBorders>
            <w:vAlign w:val="center"/>
          </w:tcPr>
          <w:p w14:paraId="4AF72C3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29078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39CFDE34">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lang w:val="en-US" w:eastAsia="zh-CN"/>
              </w:rPr>
              <w:t>绿化</w:t>
            </w:r>
            <w:r>
              <w:rPr>
                <w:rFonts w:hint="eastAsia" w:ascii="仿宋_GB2312" w:hAnsi="仿宋_GB2312" w:eastAsia="仿宋_GB2312" w:cs="仿宋_GB2312"/>
                <w:color w:val="auto"/>
                <w:sz w:val="32"/>
                <w:szCs w:val="32"/>
              </w:rPr>
              <w:t>工</w:t>
            </w:r>
          </w:p>
        </w:tc>
        <w:tc>
          <w:tcPr>
            <w:tcW w:w="1200" w:type="dxa"/>
            <w:tcBorders>
              <w:top w:val="single" w:color="auto" w:sz="4" w:space="0"/>
              <w:left w:val="nil"/>
              <w:bottom w:val="single" w:color="auto" w:sz="4" w:space="0"/>
              <w:right w:val="single" w:color="auto" w:sz="4" w:space="0"/>
            </w:tcBorders>
            <w:vAlign w:val="center"/>
          </w:tcPr>
          <w:p w14:paraId="21F972D7">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vAlign w:val="center"/>
          </w:tcPr>
          <w:p w14:paraId="1D79828B">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身体健康，熟悉植物生长习性，从事绿化行业2年以上，执行考勤制度。</w:t>
            </w:r>
          </w:p>
        </w:tc>
        <w:tc>
          <w:tcPr>
            <w:tcW w:w="1512" w:type="dxa"/>
            <w:vMerge w:val="continue"/>
            <w:tcBorders>
              <w:left w:val="nil"/>
              <w:right w:val="single" w:color="auto" w:sz="4" w:space="0"/>
            </w:tcBorders>
            <w:vAlign w:val="center"/>
          </w:tcPr>
          <w:p w14:paraId="5E6285D2">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bl>
    <w:p w14:paraId="37217F8A">
      <w:pPr>
        <w:keepLines w:val="0"/>
        <w:pageBreakBefore w:val="0"/>
        <w:widowControl w:val="0"/>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2. </w:t>
      </w:r>
      <w:r>
        <w:rPr>
          <w:rFonts w:hint="eastAsia" w:ascii="仿宋_GB2312" w:hAnsi="仿宋_GB2312" w:eastAsia="仿宋_GB2312" w:cs="仿宋_GB2312"/>
          <w:color w:val="auto"/>
          <w:sz w:val="32"/>
          <w:szCs w:val="32"/>
        </w:rPr>
        <w:t>投标人根据“最低人员配置需求”要求配置，但各岗位人员的数量必须满足配置表的要求，不得低于配置表的要求，总人数不得低于配置表的要求。</w:t>
      </w:r>
    </w:p>
    <w:p w14:paraId="246D8EBE">
      <w:pPr>
        <w:keepLines w:val="0"/>
        <w:pageBreakBefore w:val="0"/>
        <w:widowControl w:val="0"/>
        <w:numPr>
          <w:ilvl w:val="0"/>
          <w:numId w:val="0"/>
        </w:numPr>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3. </w:t>
      </w:r>
      <w:r>
        <w:rPr>
          <w:rFonts w:hint="eastAsia" w:ascii="仿宋_GB2312" w:hAnsi="仿宋_GB2312" w:eastAsia="仿宋_GB2312" w:cs="仿宋_GB2312"/>
          <w:color w:val="auto"/>
          <w:sz w:val="32"/>
          <w:szCs w:val="32"/>
        </w:rPr>
        <w:t>物业公司必须依照《中华人民共和国劳动合同法》、《社会保险法》、《社会保险费征缴条例》等法律法规和所在地区劳动用工规定进行合法用工</w:t>
      </w:r>
      <w:r>
        <w:rPr>
          <w:rFonts w:hint="eastAsia" w:ascii="仿宋_GB2312" w:hAnsi="仿宋_GB2312" w:eastAsia="仿宋_GB2312" w:cs="仿宋_GB2312"/>
          <w:color w:val="auto"/>
          <w:sz w:val="32"/>
          <w:szCs w:val="32"/>
          <w:lang w:val="en-US" w:eastAsia="zh-CN"/>
        </w:rPr>
        <w:t>与</w:t>
      </w:r>
      <w:r>
        <w:rPr>
          <w:rFonts w:hint="eastAsia" w:ascii="仿宋_GB2312" w:hAnsi="仿宋_GB2312" w:eastAsia="仿宋_GB2312" w:cs="仿宋_GB2312"/>
          <w:color w:val="auto"/>
          <w:sz w:val="32"/>
          <w:szCs w:val="32"/>
        </w:rPr>
        <w:t>本项目所有服务人员签订劳动合同</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非劳务派遣合同）</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本项目所有服务人员不得兼职，严格执行一人一岗。投标人必须为</w:t>
      </w:r>
      <w:r>
        <w:rPr>
          <w:rFonts w:hint="eastAsia" w:ascii="仿宋_GB2312" w:hAnsi="仿宋_GB2312" w:eastAsia="仿宋_GB2312" w:cs="仿宋_GB2312"/>
          <w:color w:val="auto"/>
          <w:sz w:val="32"/>
          <w:szCs w:val="32"/>
          <w:lang w:val="en-US" w:eastAsia="zh-CN"/>
        </w:rPr>
        <w:t>本项目</w:t>
      </w:r>
      <w:r>
        <w:rPr>
          <w:rFonts w:hint="eastAsia" w:ascii="仿宋_GB2312" w:hAnsi="仿宋_GB2312" w:eastAsia="仿宋_GB2312" w:cs="仿宋_GB2312"/>
          <w:color w:val="auto"/>
          <w:sz w:val="32"/>
          <w:szCs w:val="32"/>
        </w:rPr>
        <w:t>所有服务人员依法缴纳</w:t>
      </w:r>
      <w:r>
        <w:rPr>
          <w:rFonts w:hint="eastAsia" w:ascii="仿宋_GB2312" w:hAnsi="仿宋_GB2312" w:eastAsia="仿宋_GB2312" w:cs="仿宋_GB2312"/>
          <w:color w:val="auto"/>
          <w:sz w:val="32"/>
          <w:szCs w:val="32"/>
          <w:lang w:val="en-US" w:eastAsia="zh-CN"/>
        </w:rPr>
        <w:t>全年</w:t>
      </w:r>
      <w:r>
        <w:rPr>
          <w:rFonts w:hint="eastAsia" w:ascii="仿宋_GB2312" w:hAnsi="仿宋_GB2312" w:eastAsia="仿宋_GB2312" w:cs="仿宋_GB2312"/>
          <w:color w:val="auto"/>
          <w:sz w:val="32"/>
          <w:szCs w:val="32"/>
        </w:rPr>
        <w:t>社会保险（含养老、工伤、失业和医疗(基本医疗、生育、大病)）</w:t>
      </w:r>
      <w:r>
        <w:rPr>
          <w:rFonts w:hint="eastAsia" w:ascii="仿宋_GB2312" w:hAnsi="仿宋_GB2312" w:eastAsia="仿宋_GB2312" w:cs="仿宋_GB2312"/>
          <w:color w:val="auto"/>
          <w:sz w:val="32"/>
          <w:szCs w:val="32"/>
          <w:lang w:eastAsia="zh-CN"/>
        </w:rPr>
        <w:t>。</w:t>
      </w:r>
    </w:p>
    <w:p w14:paraId="0132B87B">
      <w:pPr>
        <w:keepLines w:val="0"/>
        <w:pageBreakBefore w:val="0"/>
        <w:widowControl w:val="0"/>
        <w:numPr>
          <w:ilvl w:val="0"/>
          <w:numId w:val="0"/>
        </w:numPr>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4. </w:t>
      </w:r>
      <w:r>
        <w:rPr>
          <w:rFonts w:hint="eastAsia" w:ascii="仿宋_GB2312" w:hAnsi="仿宋_GB2312" w:eastAsia="仿宋_GB2312" w:cs="仿宋_GB2312"/>
          <w:color w:val="auto"/>
          <w:sz w:val="32"/>
          <w:szCs w:val="32"/>
        </w:rPr>
        <w:t>所有</w:t>
      </w:r>
      <w:r>
        <w:rPr>
          <w:rFonts w:hint="eastAsia" w:ascii="仿宋_GB2312" w:hAnsi="仿宋_GB2312" w:eastAsia="仿宋_GB2312" w:cs="仿宋_GB2312"/>
          <w:color w:val="auto"/>
          <w:sz w:val="32"/>
          <w:szCs w:val="32"/>
          <w:lang w:val="en-US" w:eastAsia="zh-CN"/>
        </w:rPr>
        <w:t>服务</w:t>
      </w:r>
      <w:r>
        <w:rPr>
          <w:rFonts w:hint="eastAsia" w:ascii="仿宋_GB2312" w:hAnsi="仿宋_GB2312" w:eastAsia="仿宋_GB2312" w:cs="仿宋_GB2312"/>
          <w:color w:val="auto"/>
          <w:sz w:val="32"/>
          <w:szCs w:val="32"/>
        </w:rPr>
        <w:t>人员</w:t>
      </w:r>
      <w:r>
        <w:rPr>
          <w:rFonts w:hint="eastAsia" w:ascii="仿宋_GB2312" w:hAnsi="仿宋_GB2312" w:eastAsia="仿宋_GB2312" w:cs="仿宋_GB2312"/>
          <w:color w:val="auto"/>
          <w:sz w:val="32"/>
          <w:szCs w:val="32"/>
          <w:lang w:val="en-US" w:eastAsia="zh-CN"/>
        </w:rPr>
        <w:t>身体</w:t>
      </w:r>
      <w:r>
        <w:rPr>
          <w:rFonts w:hint="eastAsia" w:ascii="仿宋_GB2312" w:hAnsi="仿宋_GB2312" w:eastAsia="仿宋_GB2312" w:cs="仿宋_GB2312"/>
          <w:color w:val="auto"/>
          <w:sz w:val="32"/>
          <w:szCs w:val="32"/>
        </w:rPr>
        <w:t>健康，无重大疾病史和传染病史，无犯罪记录</w:t>
      </w:r>
      <w:r>
        <w:rPr>
          <w:rFonts w:hint="eastAsia" w:ascii="仿宋_GB2312" w:hAnsi="仿宋_GB2312" w:eastAsia="仿宋_GB2312" w:cs="仿宋_GB2312"/>
          <w:color w:val="auto"/>
          <w:sz w:val="32"/>
          <w:szCs w:val="32"/>
          <w:lang w:eastAsia="zh-CN"/>
        </w:rPr>
        <w:t>。</w:t>
      </w:r>
    </w:p>
    <w:p w14:paraId="7A3DB872">
      <w:pPr>
        <w:keepLines w:val="0"/>
        <w:pageBreakBefore w:val="0"/>
        <w:widowControl w:val="0"/>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5. </w:t>
      </w:r>
      <w:r>
        <w:rPr>
          <w:rFonts w:hint="eastAsia" w:ascii="仿宋_GB2312" w:hAnsi="仿宋_GB2312" w:eastAsia="仿宋_GB2312" w:cs="仿宋_GB2312"/>
          <w:color w:val="auto"/>
          <w:sz w:val="32"/>
          <w:szCs w:val="32"/>
        </w:rPr>
        <w:t>国家有准入要求的岗位人员，必须按国家要求配置满足相关资格要求的人员，相关资格考试、培训等费用由</w:t>
      </w:r>
      <w:r>
        <w:rPr>
          <w:rFonts w:hint="eastAsia" w:ascii="仿宋_GB2312" w:hAnsi="仿宋_GB2312" w:eastAsia="仿宋_GB2312" w:cs="仿宋_GB2312"/>
          <w:color w:val="auto"/>
          <w:sz w:val="32"/>
          <w:szCs w:val="32"/>
          <w:lang w:val="en-US" w:eastAsia="zh-CN"/>
        </w:rPr>
        <w:t>中标供应商</w:t>
      </w:r>
      <w:r>
        <w:rPr>
          <w:rFonts w:hint="eastAsia" w:ascii="仿宋_GB2312" w:hAnsi="仿宋_GB2312" w:eastAsia="仿宋_GB2312" w:cs="仿宋_GB2312"/>
          <w:color w:val="auto"/>
          <w:sz w:val="32"/>
          <w:szCs w:val="32"/>
        </w:rPr>
        <w:t>承担。因</w:t>
      </w:r>
      <w:r>
        <w:rPr>
          <w:rFonts w:hint="eastAsia" w:ascii="仿宋_GB2312" w:hAnsi="仿宋_GB2312" w:eastAsia="仿宋_GB2312" w:cs="仿宋_GB2312"/>
          <w:color w:val="auto"/>
          <w:sz w:val="32"/>
          <w:szCs w:val="32"/>
          <w:lang w:val="en-US" w:eastAsia="zh-CN"/>
        </w:rPr>
        <w:t>中标供应商</w:t>
      </w:r>
      <w:r>
        <w:rPr>
          <w:rFonts w:hint="eastAsia" w:ascii="仿宋_GB2312" w:hAnsi="仿宋_GB2312" w:eastAsia="仿宋_GB2312" w:cs="仿宋_GB2312"/>
          <w:color w:val="auto"/>
          <w:sz w:val="32"/>
          <w:szCs w:val="32"/>
        </w:rPr>
        <w:t>配置的服务人员不符合国家要求的资格要求，造成采购人被相关管理部门处罚的，由</w:t>
      </w:r>
      <w:r>
        <w:rPr>
          <w:rFonts w:hint="eastAsia" w:ascii="仿宋_GB2312" w:hAnsi="仿宋_GB2312" w:eastAsia="仿宋_GB2312" w:cs="仿宋_GB2312"/>
          <w:color w:val="auto"/>
          <w:sz w:val="32"/>
          <w:szCs w:val="32"/>
          <w:lang w:val="en-US" w:eastAsia="zh-CN"/>
        </w:rPr>
        <w:t>中标供应商</w:t>
      </w:r>
      <w:r>
        <w:rPr>
          <w:rFonts w:hint="eastAsia" w:ascii="仿宋_GB2312" w:hAnsi="仿宋_GB2312" w:eastAsia="仿宋_GB2312" w:cs="仿宋_GB2312"/>
          <w:color w:val="auto"/>
          <w:sz w:val="32"/>
          <w:szCs w:val="32"/>
        </w:rPr>
        <w:t>赔偿采购人的一切损失，并接受采购人的处罚。</w:t>
      </w:r>
    </w:p>
    <w:p w14:paraId="6766AA58">
      <w:pPr>
        <w:keepLines w:val="0"/>
        <w:pageBreakBefore w:val="0"/>
        <w:widowControl w:val="0"/>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b/>
          <w:bCs/>
          <w:color w:val="auto"/>
          <w:sz w:val="32"/>
          <w:szCs w:val="32"/>
        </w:rPr>
        <w:t>对上述《最低人员配置需求》中所涉及的证书、工作经验证明材料、岗位要求等证明材料须在中标后，在签订合同之前提交至采购人进行审查。</w:t>
      </w:r>
      <w:r>
        <w:rPr>
          <w:rFonts w:hint="eastAsia" w:ascii="仿宋_GB2312" w:hAnsi="仿宋_GB2312" w:eastAsia="仿宋_GB2312" w:cs="仿宋_GB2312"/>
          <w:color w:val="auto"/>
          <w:sz w:val="32"/>
          <w:szCs w:val="32"/>
          <w:lang w:val="en-US" w:eastAsia="zh-CN"/>
        </w:rPr>
        <w:t>中标供应商</w:t>
      </w:r>
      <w:r>
        <w:rPr>
          <w:rFonts w:hint="eastAsia" w:ascii="仿宋_GB2312" w:hAnsi="仿宋_GB2312" w:eastAsia="仿宋_GB2312" w:cs="仿宋_GB2312"/>
          <w:color w:val="auto"/>
          <w:sz w:val="32"/>
          <w:szCs w:val="32"/>
        </w:rPr>
        <w:t>完全符合投标时的承诺方可签订合同。否则，采购人有权拒绝签订合同，并上报至同级财政部门按《政府采购法》第七十七条处理。</w:t>
      </w:r>
    </w:p>
    <w:p w14:paraId="4D3A09AE">
      <w:pPr>
        <w:keepLines w:val="0"/>
        <w:pageBreakBefore w:val="0"/>
        <w:widowControl w:val="0"/>
        <w:kinsoku/>
        <w:wordWrap/>
        <w:overflowPunct/>
        <w:topLinePunct w:val="0"/>
        <w:bidi w:val="0"/>
        <w:spacing w:after="0" w:line="480" w:lineRule="exact"/>
        <w:ind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7. </w:t>
      </w:r>
      <w:r>
        <w:rPr>
          <w:rFonts w:hint="eastAsia" w:ascii="仿宋_GB2312" w:hAnsi="仿宋_GB2312" w:eastAsia="仿宋_GB2312" w:cs="仿宋_GB2312"/>
          <w:color w:val="auto"/>
          <w:sz w:val="32"/>
          <w:szCs w:val="32"/>
        </w:rPr>
        <w:t>物业公司须承诺每季度第一个月一周内（遇节假日顺延）向采购人归口职能部门提交岗位人员花名册（含姓名、身份证号码、联系电话、岗位名称</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岗位证书</w:t>
      </w:r>
      <w:r>
        <w:rPr>
          <w:rFonts w:hint="eastAsia" w:ascii="仿宋_GB2312" w:hAnsi="仿宋_GB2312" w:eastAsia="仿宋_GB2312" w:cs="仿宋_GB2312"/>
          <w:color w:val="auto"/>
          <w:sz w:val="32"/>
          <w:szCs w:val="32"/>
        </w:rPr>
        <w:t>等信息）。物业公司需保持物业人员的相对稳定，如人员出现异动，应及时向采购人归口职能部门报告，离职岗位须在</w:t>
      </w:r>
      <w:r>
        <w:rPr>
          <w:rFonts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rPr>
        <w:t>0</w:t>
      </w:r>
      <w:r>
        <w:rPr>
          <w:rFonts w:ascii="仿宋_GB2312" w:hAnsi="仿宋_GB2312" w:eastAsia="仿宋_GB2312" w:cs="仿宋_GB2312"/>
          <w:color w:val="auto"/>
          <w:sz w:val="32"/>
          <w:szCs w:val="32"/>
        </w:rPr>
        <w:t>日内补充到位</w:t>
      </w:r>
      <w:r>
        <w:rPr>
          <w:rFonts w:hint="eastAsia" w:ascii="仿宋_GB2312" w:hAnsi="仿宋_GB2312" w:eastAsia="仿宋_GB2312" w:cs="仿宋_GB2312"/>
          <w:color w:val="auto"/>
          <w:sz w:val="32"/>
          <w:szCs w:val="32"/>
        </w:rPr>
        <w:t>，服务期内更换比例不得超过本项目服务人员总数的</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0%。</w:t>
      </w:r>
      <w:r>
        <w:rPr>
          <w:rFonts w:hint="eastAsia" w:ascii="仿宋_GB2312" w:hAnsi="仿宋_GB2312" w:eastAsia="仿宋_GB2312" w:cs="仿宋_GB2312"/>
          <w:color w:val="auto"/>
          <w:sz w:val="32"/>
          <w:szCs w:val="32"/>
          <w:lang w:val="en-US" w:eastAsia="zh-CN"/>
        </w:rPr>
        <w:t>主管及以上人员</w:t>
      </w:r>
      <w:r>
        <w:rPr>
          <w:rFonts w:ascii="仿宋_GB2312" w:hAnsi="仿宋_GB2312" w:eastAsia="仿宋_GB2312" w:cs="仿宋_GB2312"/>
          <w:color w:val="auto"/>
          <w:sz w:val="32"/>
          <w:szCs w:val="32"/>
        </w:rPr>
        <w:t>更换，应提前1个月以书面形式通知</w:t>
      </w:r>
      <w:r>
        <w:rPr>
          <w:rFonts w:hint="eastAsia" w:ascii="仿宋_GB2312" w:hAnsi="仿宋_GB2312" w:eastAsia="仿宋_GB2312" w:cs="仿宋_GB2312"/>
          <w:color w:val="auto"/>
          <w:sz w:val="32"/>
          <w:szCs w:val="32"/>
        </w:rPr>
        <w:t>采购人</w:t>
      </w:r>
      <w:r>
        <w:rPr>
          <w:rFonts w:ascii="仿宋_GB2312" w:hAnsi="仿宋_GB2312" w:eastAsia="仿宋_GB2312" w:cs="仿宋_GB2312"/>
          <w:color w:val="auto"/>
          <w:sz w:val="32"/>
          <w:szCs w:val="32"/>
        </w:rPr>
        <w:t>归口职能部门</w:t>
      </w:r>
      <w:r>
        <w:rPr>
          <w:rFonts w:hint="eastAsia" w:ascii="仿宋_GB2312" w:hAnsi="仿宋_GB2312" w:eastAsia="仿宋_GB2312" w:cs="仿宋_GB2312"/>
          <w:color w:val="auto"/>
          <w:sz w:val="32"/>
          <w:szCs w:val="32"/>
        </w:rPr>
        <w:t>，且更换的每人次相应在当期扣减 5000 元物业费。采购人有权不定期按投标人响应和招标文件要求对到岗人员进行核查，对不按要求派驻人员（包括数量、年龄、</w:t>
      </w:r>
      <w:r>
        <w:rPr>
          <w:rFonts w:hint="eastAsia" w:ascii="仿宋_GB2312" w:hAnsi="仿宋_GB2312" w:eastAsia="仿宋_GB2312" w:cs="仿宋_GB2312"/>
          <w:color w:val="auto"/>
          <w:sz w:val="32"/>
          <w:szCs w:val="32"/>
          <w:lang w:val="en-US" w:eastAsia="zh-CN"/>
        </w:rPr>
        <w:t>学历、</w:t>
      </w:r>
      <w:r>
        <w:rPr>
          <w:rFonts w:hint="eastAsia" w:ascii="仿宋_GB2312" w:hAnsi="仿宋_GB2312" w:eastAsia="仿宋_GB2312" w:cs="仿宋_GB2312"/>
          <w:color w:val="auto"/>
          <w:sz w:val="32"/>
          <w:szCs w:val="32"/>
        </w:rPr>
        <w:t>职业证书等）将严格依照招标文件规定扣减相应的物业服务费。采购人</w:t>
      </w:r>
      <w:r>
        <w:rPr>
          <w:rFonts w:ascii="仿宋_GB2312" w:hAnsi="仿宋_GB2312" w:eastAsia="仿宋_GB2312" w:cs="仿宋_GB2312"/>
          <w:color w:val="auto"/>
          <w:sz w:val="32"/>
          <w:szCs w:val="32"/>
        </w:rPr>
        <w:t>归口职能部门有权定期对所有物业人员进行业务培训和考核，对物业人员的不良行为进行批评教育</w:t>
      </w:r>
      <w:r>
        <w:rPr>
          <w:rFonts w:hint="eastAsia" w:ascii="仿宋_GB2312" w:hAnsi="仿宋_GB2312" w:eastAsia="仿宋_GB2312" w:cs="仿宋_GB2312"/>
          <w:color w:val="auto"/>
          <w:sz w:val="32"/>
          <w:szCs w:val="32"/>
        </w:rPr>
        <w:t>。</w:t>
      </w:r>
      <w:r>
        <w:rPr>
          <w:rFonts w:ascii="仿宋_GB2312" w:hAnsi="仿宋_GB2312" w:eastAsia="仿宋_GB2312" w:cs="仿宋_GB2312"/>
          <w:color w:val="auto"/>
          <w:sz w:val="32"/>
          <w:szCs w:val="32"/>
        </w:rPr>
        <w:t>若</w:t>
      </w:r>
      <w:r>
        <w:rPr>
          <w:rFonts w:hint="eastAsia" w:ascii="仿宋_GB2312" w:hAnsi="仿宋_GB2312" w:eastAsia="仿宋_GB2312" w:cs="仿宋_GB2312"/>
          <w:color w:val="auto"/>
          <w:sz w:val="32"/>
          <w:szCs w:val="32"/>
          <w:lang w:val="en-US" w:eastAsia="zh-CN"/>
        </w:rPr>
        <w:t>中标供应商</w:t>
      </w:r>
      <w:r>
        <w:rPr>
          <w:rFonts w:ascii="仿宋_GB2312" w:hAnsi="仿宋_GB2312" w:eastAsia="仿宋_GB2312" w:cs="仿宋_GB2312"/>
          <w:color w:val="auto"/>
          <w:sz w:val="32"/>
          <w:szCs w:val="32"/>
        </w:rPr>
        <w:t>指派的物业人员出现失职、违反规章制度或不符合考核要求的，</w:t>
      </w:r>
      <w:r>
        <w:rPr>
          <w:rFonts w:hint="eastAsia" w:ascii="仿宋_GB2312" w:hAnsi="仿宋_GB2312" w:eastAsia="仿宋_GB2312" w:cs="仿宋_GB2312"/>
          <w:color w:val="auto"/>
          <w:sz w:val="32"/>
          <w:szCs w:val="32"/>
        </w:rPr>
        <w:t>采购人</w:t>
      </w:r>
      <w:r>
        <w:rPr>
          <w:rFonts w:ascii="仿宋_GB2312" w:hAnsi="仿宋_GB2312" w:eastAsia="仿宋_GB2312" w:cs="仿宋_GB2312"/>
          <w:color w:val="auto"/>
          <w:sz w:val="32"/>
          <w:szCs w:val="32"/>
        </w:rPr>
        <w:t>归口职能部门有权要求</w:t>
      </w:r>
      <w:r>
        <w:rPr>
          <w:rFonts w:hint="eastAsia" w:ascii="仿宋_GB2312" w:hAnsi="仿宋_GB2312" w:eastAsia="仿宋_GB2312" w:cs="仿宋_GB2312"/>
          <w:color w:val="auto"/>
          <w:sz w:val="32"/>
          <w:szCs w:val="32"/>
          <w:lang w:val="en-US" w:eastAsia="zh-CN"/>
        </w:rPr>
        <w:t>中标供应商</w:t>
      </w:r>
      <w:r>
        <w:rPr>
          <w:rFonts w:ascii="仿宋_GB2312" w:hAnsi="仿宋_GB2312" w:eastAsia="仿宋_GB2312" w:cs="仿宋_GB2312"/>
          <w:color w:val="auto"/>
          <w:sz w:val="32"/>
          <w:szCs w:val="32"/>
        </w:rPr>
        <w:t>更换该物业人员。</w:t>
      </w:r>
      <w:r>
        <w:rPr>
          <w:rFonts w:hint="eastAsia" w:ascii="仿宋_GB2312" w:hAnsi="仿宋_GB2312" w:eastAsia="仿宋_GB2312" w:cs="仿宋_GB2312"/>
          <w:color w:val="auto"/>
          <w:sz w:val="32"/>
          <w:szCs w:val="32"/>
          <w:lang w:val="en-US" w:eastAsia="zh-CN"/>
        </w:rPr>
        <w:t>中标供应商</w:t>
      </w:r>
      <w:r>
        <w:rPr>
          <w:rFonts w:ascii="仿宋_GB2312" w:hAnsi="仿宋_GB2312" w:eastAsia="仿宋_GB2312" w:cs="仿宋_GB2312"/>
          <w:color w:val="auto"/>
          <w:sz w:val="32"/>
          <w:szCs w:val="32"/>
        </w:rPr>
        <w:t>应在接到通知后</w:t>
      </w:r>
      <w:r>
        <w:rPr>
          <w:rFonts w:hint="eastAsia" w:ascii="仿宋_GB2312" w:hAnsi="仿宋_GB2312" w:eastAsia="仿宋_GB2312" w:cs="仿宋_GB2312"/>
          <w:color w:val="auto"/>
          <w:sz w:val="32"/>
          <w:szCs w:val="32"/>
          <w:lang w:val="en-US" w:eastAsia="zh-CN"/>
        </w:rPr>
        <w:t>7</w:t>
      </w:r>
      <w:r>
        <w:rPr>
          <w:rFonts w:ascii="仿宋_GB2312" w:hAnsi="仿宋_GB2312" w:eastAsia="仿宋_GB2312" w:cs="仿宋_GB2312"/>
          <w:color w:val="auto"/>
          <w:sz w:val="32"/>
          <w:szCs w:val="32"/>
        </w:rPr>
        <w:t>个工作日内更换到位</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如不能及时更换到位的，</w:t>
      </w:r>
      <w:r>
        <w:rPr>
          <w:rFonts w:hint="eastAsia" w:ascii="仿宋_GB2312" w:hAnsi="仿宋_GB2312" w:eastAsia="仿宋_GB2312" w:cs="仿宋_GB2312"/>
          <w:color w:val="auto"/>
          <w:sz w:val="32"/>
          <w:szCs w:val="32"/>
        </w:rPr>
        <w:t>采购人有权扣减相应的服务费</w:t>
      </w:r>
      <w:r>
        <w:rPr>
          <w:rFonts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t>在人员数量不变</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情</w:t>
      </w:r>
      <w:r>
        <w:rPr>
          <w:rFonts w:ascii="仿宋_GB2312" w:hAnsi="仿宋_GB2312" w:eastAsia="仿宋_GB2312" w:cs="仿宋_GB2312"/>
          <w:color w:val="auto"/>
          <w:sz w:val="32"/>
          <w:szCs w:val="32"/>
        </w:rPr>
        <w:t>况下，</w:t>
      </w:r>
      <w:r>
        <w:rPr>
          <w:rFonts w:hint="eastAsia" w:ascii="仿宋_GB2312" w:hAnsi="仿宋_GB2312" w:eastAsia="仿宋_GB2312" w:cs="仿宋_GB2312"/>
          <w:color w:val="auto"/>
          <w:sz w:val="32"/>
          <w:szCs w:val="32"/>
        </w:rPr>
        <w:t>采购人</w:t>
      </w:r>
      <w:r>
        <w:rPr>
          <w:rFonts w:ascii="仿宋_GB2312" w:hAnsi="仿宋_GB2312" w:eastAsia="仿宋_GB2312" w:cs="仿宋_GB2312"/>
          <w:color w:val="auto"/>
          <w:sz w:val="32"/>
          <w:szCs w:val="32"/>
        </w:rPr>
        <w:t>归口职能部门有权对人员岗位及运行方式进行调整，</w:t>
      </w:r>
      <w:r>
        <w:rPr>
          <w:rFonts w:hint="eastAsia" w:ascii="仿宋_GB2312" w:hAnsi="仿宋_GB2312" w:eastAsia="仿宋_GB2312" w:cs="仿宋_GB2312"/>
          <w:color w:val="auto"/>
          <w:sz w:val="32"/>
          <w:szCs w:val="32"/>
          <w:lang w:val="en-US" w:eastAsia="zh-CN"/>
        </w:rPr>
        <w:t>中标供应商</w:t>
      </w:r>
      <w:r>
        <w:rPr>
          <w:rFonts w:ascii="仿宋_GB2312" w:hAnsi="仿宋_GB2312" w:eastAsia="仿宋_GB2312" w:cs="仿宋_GB2312"/>
          <w:color w:val="auto"/>
          <w:sz w:val="32"/>
          <w:szCs w:val="32"/>
        </w:rPr>
        <w:t>需严格执行</w:t>
      </w:r>
      <w:r>
        <w:rPr>
          <w:rFonts w:hint="eastAsia" w:ascii="仿宋_GB2312" w:hAnsi="仿宋_GB2312" w:eastAsia="仿宋_GB2312" w:cs="仿宋_GB2312"/>
          <w:color w:val="auto"/>
          <w:sz w:val="32"/>
          <w:szCs w:val="32"/>
        </w:rPr>
        <w:t>。</w:t>
      </w:r>
    </w:p>
    <w:p w14:paraId="6E73942B">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rPr>
        <w:t>（五）</w:t>
      </w:r>
      <w:r>
        <w:rPr>
          <w:rFonts w:hint="eastAsia" w:ascii="仿宋_GB2312" w:hAnsi="仿宋_GB2312" w:eastAsia="仿宋_GB2312" w:cs="仿宋_GB2312"/>
          <w:b/>
          <w:bCs/>
          <w:color w:val="auto"/>
          <w:sz w:val="32"/>
          <w:szCs w:val="32"/>
          <w:lang w:val="en-US" w:eastAsia="zh-CN"/>
        </w:rPr>
        <w:t>服务耗材</w:t>
      </w:r>
    </w:p>
    <w:p w14:paraId="151B9E6E">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1.服务耗材须全新购买不可利旧。</w:t>
      </w:r>
    </w:p>
    <w:p w14:paraId="52E4D128">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所有服务涉及的耗材已包含在本项目总报价内，由中标供应商统一提供，采购人不再额外支付相关耗材费用或不再提供本项目内所涉任何耗材，中标供应商提供的服务耗材可优于采购单位要求的服务耗材配置清单。</w:t>
      </w:r>
    </w:p>
    <w:p w14:paraId="253E62DD">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3. 服务耗材配置清单</w:t>
      </w:r>
    </w:p>
    <w:tbl>
      <w:tblPr>
        <w:tblStyle w:val="3"/>
        <w:tblW w:w="78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8"/>
        <w:gridCol w:w="1510"/>
        <w:gridCol w:w="2277"/>
        <w:gridCol w:w="969"/>
        <w:gridCol w:w="1351"/>
      </w:tblGrid>
      <w:tr w14:paraId="786D1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8" w:type="dxa"/>
            <w:vAlign w:val="center"/>
          </w:tcPr>
          <w:p w14:paraId="65C0580C">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序号</w:t>
            </w:r>
          </w:p>
        </w:tc>
        <w:tc>
          <w:tcPr>
            <w:tcW w:w="1510" w:type="dxa"/>
            <w:vAlign w:val="center"/>
          </w:tcPr>
          <w:p w14:paraId="4A52C0C5">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区域</w:t>
            </w:r>
          </w:p>
        </w:tc>
        <w:tc>
          <w:tcPr>
            <w:tcW w:w="2277" w:type="dxa"/>
            <w:vAlign w:val="center"/>
          </w:tcPr>
          <w:p w14:paraId="03DD62D4">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rPr>
            </w:pPr>
            <w:r>
              <w:rPr>
                <w:rFonts w:hint="eastAsia" w:ascii="仿宋_GB2312" w:hAnsi="仿宋_GB2312" w:eastAsia="仿宋_GB2312" w:cs="仿宋_GB2312"/>
                <w:color w:val="auto"/>
                <w:sz w:val="32"/>
                <w:szCs w:val="32"/>
                <w:lang w:val="en-US" w:eastAsia="zh-CN"/>
              </w:rPr>
              <w:t>服务耗材名称</w:t>
            </w:r>
          </w:p>
        </w:tc>
        <w:tc>
          <w:tcPr>
            <w:tcW w:w="969" w:type="dxa"/>
            <w:vAlign w:val="center"/>
          </w:tcPr>
          <w:p w14:paraId="20064303">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数量</w:t>
            </w:r>
          </w:p>
        </w:tc>
        <w:tc>
          <w:tcPr>
            <w:tcW w:w="1351" w:type="dxa"/>
            <w:vAlign w:val="center"/>
          </w:tcPr>
          <w:p w14:paraId="06A025CB">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单位</w:t>
            </w:r>
          </w:p>
        </w:tc>
      </w:tr>
      <w:tr w14:paraId="11F6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698" w:type="dxa"/>
            <w:vAlign w:val="center"/>
          </w:tcPr>
          <w:p w14:paraId="0CDB620C">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p>
        </w:tc>
        <w:tc>
          <w:tcPr>
            <w:tcW w:w="1510" w:type="dxa"/>
            <w:vAlign w:val="center"/>
          </w:tcPr>
          <w:p w14:paraId="5D78F98C">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2AC58CD3">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rPr>
            </w:pPr>
            <w:r>
              <w:rPr>
                <w:rFonts w:hint="eastAsia" w:ascii="仿宋_GB2312" w:hAnsi="仿宋_GB2312" w:eastAsia="仿宋_GB2312" w:cs="仿宋_GB2312"/>
                <w:color w:val="auto"/>
                <w:sz w:val="32"/>
                <w:szCs w:val="32"/>
                <w:lang w:val="en-US" w:eastAsia="zh-CN"/>
              </w:rPr>
              <w:t>棕扫把</w:t>
            </w:r>
          </w:p>
        </w:tc>
        <w:tc>
          <w:tcPr>
            <w:tcW w:w="969" w:type="dxa"/>
            <w:vAlign w:val="center"/>
          </w:tcPr>
          <w:p w14:paraId="6B2A3101">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84</w:t>
            </w:r>
          </w:p>
        </w:tc>
        <w:tc>
          <w:tcPr>
            <w:tcW w:w="1351" w:type="dxa"/>
            <w:vAlign w:val="center"/>
          </w:tcPr>
          <w:p w14:paraId="1C7BADF5">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个/年</w:t>
            </w:r>
          </w:p>
        </w:tc>
      </w:tr>
      <w:tr w14:paraId="5CE51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698" w:type="dxa"/>
            <w:vAlign w:val="center"/>
          </w:tcPr>
          <w:p w14:paraId="364517FA">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w:t>
            </w:r>
          </w:p>
        </w:tc>
        <w:tc>
          <w:tcPr>
            <w:tcW w:w="1510" w:type="dxa"/>
            <w:shd w:val="clear" w:color="auto" w:fill="auto"/>
            <w:vAlign w:val="center"/>
          </w:tcPr>
          <w:p w14:paraId="129F5AFD">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5DD41B45">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28"/>
                <w:szCs w:val="28"/>
                <w:lang w:val="en-US" w:eastAsia="zh-CN" w:bidi="zh-CN"/>
              </w:rPr>
              <w:t>畚斗</w:t>
            </w:r>
          </w:p>
        </w:tc>
        <w:tc>
          <w:tcPr>
            <w:tcW w:w="969" w:type="dxa"/>
            <w:vAlign w:val="center"/>
          </w:tcPr>
          <w:p w14:paraId="5E60AEB0">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84</w:t>
            </w:r>
          </w:p>
        </w:tc>
        <w:tc>
          <w:tcPr>
            <w:tcW w:w="1351" w:type="dxa"/>
            <w:shd w:val="clear" w:color="auto" w:fill="auto"/>
            <w:vAlign w:val="center"/>
          </w:tcPr>
          <w:p w14:paraId="373076A9">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个/年</w:t>
            </w:r>
          </w:p>
        </w:tc>
      </w:tr>
      <w:tr w14:paraId="21FDB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698" w:type="dxa"/>
            <w:vAlign w:val="center"/>
          </w:tcPr>
          <w:p w14:paraId="68E3475B">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w:t>
            </w:r>
          </w:p>
        </w:tc>
        <w:tc>
          <w:tcPr>
            <w:tcW w:w="1510" w:type="dxa"/>
            <w:vAlign w:val="center"/>
          </w:tcPr>
          <w:p w14:paraId="77E30E5F">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32EE8612">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平拖把</w:t>
            </w:r>
          </w:p>
        </w:tc>
        <w:tc>
          <w:tcPr>
            <w:tcW w:w="969" w:type="dxa"/>
            <w:vAlign w:val="center"/>
          </w:tcPr>
          <w:p w14:paraId="1A5B2C7A">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84</w:t>
            </w:r>
          </w:p>
        </w:tc>
        <w:tc>
          <w:tcPr>
            <w:tcW w:w="1351" w:type="dxa"/>
            <w:shd w:val="clear" w:color="auto" w:fill="auto"/>
            <w:vAlign w:val="center"/>
          </w:tcPr>
          <w:p w14:paraId="32572CC1">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个/年</w:t>
            </w:r>
          </w:p>
        </w:tc>
      </w:tr>
      <w:tr w14:paraId="27D19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698" w:type="dxa"/>
            <w:vAlign w:val="center"/>
          </w:tcPr>
          <w:p w14:paraId="0E855A7D">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w:t>
            </w:r>
          </w:p>
        </w:tc>
        <w:tc>
          <w:tcPr>
            <w:tcW w:w="1510" w:type="dxa"/>
            <w:vAlign w:val="center"/>
          </w:tcPr>
          <w:p w14:paraId="74C2121C">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2D3F218D">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吸水拖把</w:t>
            </w:r>
          </w:p>
        </w:tc>
        <w:tc>
          <w:tcPr>
            <w:tcW w:w="969" w:type="dxa"/>
            <w:vAlign w:val="center"/>
          </w:tcPr>
          <w:p w14:paraId="4A757AA1">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84</w:t>
            </w:r>
          </w:p>
        </w:tc>
        <w:tc>
          <w:tcPr>
            <w:tcW w:w="1351" w:type="dxa"/>
            <w:shd w:val="clear" w:color="auto" w:fill="auto"/>
            <w:vAlign w:val="center"/>
          </w:tcPr>
          <w:p w14:paraId="3568A552">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个/年</w:t>
            </w:r>
          </w:p>
        </w:tc>
      </w:tr>
      <w:tr w14:paraId="76029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698" w:type="dxa"/>
            <w:vAlign w:val="center"/>
          </w:tcPr>
          <w:p w14:paraId="76C43DA1">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w:t>
            </w:r>
          </w:p>
        </w:tc>
        <w:tc>
          <w:tcPr>
            <w:tcW w:w="1510" w:type="dxa"/>
            <w:vAlign w:val="center"/>
          </w:tcPr>
          <w:p w14:paraId="3617F427">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3379F2DB">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毛巾</w:t>
            </w:r>
          </w:p>
        </w:tc>
        <w:tc>
          <w:tcPr>
            <w:tcW w:w="969" w:type="dxa"/>
            <w:vAlign w:val="center"/>
          </w:tcPr>
          <w:p w14:paraId="0ACFD41F">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84</w:t>
            </w:r>
          </w:p>
        </w:tc>
        <w:tc>
          <w:tcPr>
            <w:tcW w:w="1351" w:type="dxa"/>
            <w:shd w:val="clear" w:color="auto" w:fill="auto"/>
            <w:vAlign w:val="center"/>
          </w:tcPr>
          <w:p w14:paraId="1BF6CF6E">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个/年</w:t>
            </w:r>
          </w:p>
        </w:tc>
      </w:tr>
      <w:tr w14:paraId="5A744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 w:hRule="atLeast"/>
          <w:jc w:val="center"/>
        </w:trPr>
        <w:tc>
          <w:tcPr>
            <w:tcW w:w="1698" w:type="dxa"/>
            <w:vAlign w:val="center"/>
          </w:tcPr>
          <w:p w14:paraId="7AE92038">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w:t>
            </w:r>
          </w:p>
        </w:tc>
        <w:tc>
          <w:tcPr>
            <w:tcW w:w="1510" w:type="dxa"/>
            <w:vAlign w:val="center"/>
          </w:tcPr>
          <w:p w14:paraId="23918B10">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72792D41">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竹扫把</w:t>
            </w:r>
          </w:p>
        </w:tc>
        <w:tc>
          <w:tcPr>
            <w:tcW w:w="969" w:type="dxa"/>
            <w:vAlign w:val="center"/>
          </w:tcPr>
          <w:p w14:paraId="3F07C286">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12</w:t>
            </w:r>
          </w:p>
        </w:tc>
        <w:tc>
          <w:tcPr>
            <w:tcW w:w="1351" w:type="dxa"/>
            <w:shd w:val="clear" w:color="auto" w:fill="auto"/>
            <w:vAlign w:val="center"/>
          </w:tcPr>
          <w:p w14:paraId="49BB6F1E">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个/年</w:t>
            </w:r>
          </w:p>
        </w:tc>
      </w:tr>
      <w:tr w14:paraId="41381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1698" w:type="dxa"/>
            <w:vAlign w:val="center"/>
          </w:tcPr>
          <w:p w14:paraId="358E416C">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w:t>
            </w:r>
          </w:p>
        </w:tc>
        <w:tc>
          <w:tcPr>
            <w:tcW w:w="1510" w:type="dxa"/>
            <w:vAlign w:val="center"/>
          </w:tcPr>
          <w:p w14:paraId="2C49042C">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场馆保洁</w:t>
            </w:r>
          </w:p>
        </w:tc>
        <w:tc>
          <w:tcPr>
            <w:tcW w:w="2277" w:type="dxa"/>
            <w:vAlign w:val="center"/>
          </w:tcPr>
          <w:p w14:paraId="7D65FD36">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垃圾夹</w:t>
            </w:r>
          </w:p>
        </w:tc>
        <w:tc>
          <w:tcPr>
            <w:tcW w:w="969" w:type="dxa"/>
            <w:vAlign w:val="center"/>
          </w:tcPr>
          <w:p w14:paraId="3748BDFA">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12</w:t>
            </w:r>
          </w:p>
        </w:tc>
        <w:tc>
          <w:tcPr>
            <w:tcW w:w="1351" w:type="dxa"/>
            <w:shd w:val="clear" w:color="auto" w:fill="auto"/>
            <w:vAlign w:val="center"/>
          </w:tcPr>
          <w:p w14:paraId="4E4E022D">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bidi="ar-SA"/>
              </w:rPr>
            </w:pPr>
            <w:r>
              <w:rPr>
                <w:rFonts w:hint="eastAsia" w:ascii="仿宋_GB2312" w:hAnsi="仿宋_GB2312" w:eastAsia="仿宋_GB2312" w:cs="仿宋_GB2312"/>
                <w:color w:val="auto"/>
                <w:sz w:val="32"/>
                <w:szCs w:val="32"/>
                <w:lang w:val="en-US" w:eastAsia="zh-CN"/>
              </w:rPr>
              <w:t>个/年</w:t>
            </w:r>
          </w:p>
        </w:tc>
      </w:tr>
      <w:tr w14:paraId="53FF0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8" w:type="dxa"/>
            <w:vAlign w:val="center"/>
          </w:tcPr>
          <w:p w14:paraId="1D8CDCAF">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w:t>
            </w:r>
          </w:p>
        </w:tc>
        <w:tc>
          <w:tcPr>
            <w:tcW w:w="1510" w:type="dxa"/>
            <w:vAlign w:val="center"/>
          </w:tcPr>
          <w:p w14:paraId="28F2398F">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绿化</w:t>
            </w:r>
          </w:p>
        </w:tc>
        <w:tc>
          <w:tcPr>
            <w:tcW w:w="2277" w:type="dxa"/>
            <w:vAlign w:val="center"/>
          </w:tcPr>
          <w:p w14:paraId="31577993">
            <w:pPr>
              <w:keepLines w:val="0"/>
              <w:pageBreakBefore w:val="0"/>
              <w:widowControl w:val="0"/>
              <w:kinsoku/>
              <w:wordWrap/>
              <w:overflowPunct/>
              <w:topLinePunct w:val="0"/>
              <w:bidi w:val="0"/>
              <w:spacing w:after="0" w:line="480" w:lineRule="exact"/>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肥料（50KG）</w:t>
            </w:r>
          </w:p>
        </w:tc>
        <w:tc>
          <w:tcPr>
            <w:tcW w:w="969" w:type="dxa"/>
            <w:vAlign w:val="center"/>
          </w:tcPr>
          <w:p w14:paraId="37C92CFC">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w:t>
            </w:r>
          </w:p>
        </w:tc>
        <w:tc>
          <w:tcPr>
            <w:tcW w:w="1351" w:type="dxa"/>
            <w:vAlign w:val="center"/>
          </w:tcPr>
          <w:p w14:paraId="05143FE5">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袋/年</w:t>
            </w:r>
          </w:p>
        </w:tc>
      </w:tr>
      <w:tr w14:paraId="22E2E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8" w:type="dxa"/>
            <w:vAlign w:val="center"/>
          </w:tcPr>
          <w:p w14:paraId="0C5B9651">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w:t>
            </w:r>
          </w:p>
        </w:tc>
        <w:tc>
          <w:tcPr>
            <w:tcW w:w="1510" w:type="dxa"/>
            <w:shd w:val="clear" w:color="auto" w:fill="auto"/>
            <w:vAlign w:val="center"/>
          </w:tcPr>
          <w:p w14:paraId="422D34DF">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病虫害防治药品</w:t>
            </w:r>
          </w:p>
        </w:tc>
        <w:tc>
          <w:tcPr>
            <w:tcW w:w="2277" w:type="dxa"/>
            <w:vAlign w:val="center"/>
          </w:tcPr>
          <w:p w14:paraId="72A03D0A">
            <w:pPr>
              <w:keepLines w:val="0"/>
              <w:pageBreakBefore w:val="0"/>
              <w:widowControl w:val="0"/>
              <w:kinsoku/>
              <w:wordWrap/>
              <w:overflowPunct/>
              <w:topLinePunct w:val="0"/>
              <w:bidi w:val="0"/>
              <w:spacing w:after="0" w:line="480" w:lineRule="exact"/>
              <w:jc w:val="left"/>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杀虫剂：高威（200g瓶）</w:t>
            </w:r>
          </w:p>
        </w:tc>
        <w:tc>
          <w:tcPr>
            <w:tcW w:w="969" w:type="dxa"/>
            <w:vAlign w:val="center"/>
          </w:tcPr>
          <w:p w14:paraId="5E580F78">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50</w:t>
            </w:r>
          </w:p>
        </w:tc>
        <w:tc>
          <w:tcPr>
            <w:tcW w:w="1351" w:type="dxa"/>
            <w:vAlign w:val="center"/>
          </w:tcPr>
          <w:p w14:paraId="27F29CB5">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瓶/年</w:t>
            </w:r>
          </w:p>
        </w:tc>
      </w:tr>
      <w:tr w14:paraId="79C4A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8" w:type="dxa"/>
            <w:vAlign w:val="center"/>
          </w:tcPr>
          <w:p w14:paraId="41378FFA">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w:t>
            </w:r>
          </w:p>
        </w:tc>
        <w:tc>
          <w:tcPr>
            <w:tcW w:w="1510" w:type="dxa"/>
            <w:shd w:val="clear" w:color="auto" w:fill="auto"/>
            <w:vAlign w:val="center"/>
          </w:tcPr>
          <w:p w14:paraId="4EE4E07A">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病虫害防治药品</w:t>
            </w:r>
          </w:p>
        </w:tc>
        <w:tc>
          <w:tcPr>
            <w:tcW w:w="2277" w:type="dxa"/>
            <w:vAlign w:val="center"/>
          </w:tcPr>
          <w:p w14:paraId="6F2F7EB4">
            <w:pPr>
              <w:keepLines w:val="0"/>
              <w:pageBreakBefore w:val="0"/>
              <w:widowControl w:val="0"/>
              <w:kinsoku/>
              <w:wordWrap/>
              <w:overflowPunct/>
              <w:topLinePunct w:val="0"/>
              <w:bidi w:val="0"/>
              <w:spacing w:after="0" w:line="480" w:lineRule="exact"/>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杀菌剂：艾克苏（100g瓶）</w:t>
            </w:r>
          </w:p>
        </w:tc>
        <w:tc>
          <w:tcPr>
            <w:tcW w:w="969" w:type="dxa"/>
            <w:vAlign w:val="center"/>
          </w:tcPr>
          <w:p w14:paraId="72E82D0F">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50</w:t>
            </w:r>
          </w:p>
        </w:tc>
        <w:tc>
          <w:tcPr>
            <w:tcW w:w="1351" w:type="dxa"/>
            <w:vAlign w:val="center"/>
          </w:tcPr>
          <w:p w14:paraId="4CEA84CE">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瓶/年</w:t>
            </w:r>
          </w:p>
        </w:tc>
      </w:tr>
      <w:tr w14:paraId="471EF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98" w:type="dxa"/>
            <w:vAlign w:val="center"/>
          </w:tcPr>
          <w:p w14:paraId="6F392194">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11</w:t>
            </w:r>
          </w:p>
        </w:tc>
        <w:tc>
          <w:tcPr>
            <w:tcW w:w="1510" w:type="dxa"/>
            <w:shd w:val="clear" w:color="auto" w:fill="auto"/>
            <w:vAlign w:val="center"/>
          </w:tcPr>
          <w:p w14:paraId="0A09EF16">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保洁、绿化</w:t>
            </w:r>
          </w:p>
        </w:tc>
        <w:tc>
          <w:tcPr>
            <w:tcW w:w="2277" w:type="dxa"/>
            <w:vAlign w:val="center"/>
          </w:tcPr>
          <w:p w14:paraId="5176FFCF">
            <w:pPr>
              <w:keepLines w:val="0"/>
              <w:pageBreakBefore w:val="0"/>
              <w:widowControl w:val="0"/>
              <w:kinsoku/>
              <w:wordWrap/>
              <w:overflowPunct/>
              <w:topLinePunct w:val="0"/>
              <w:bidi w:val="0"/>
              <w:spacing w:after="0" w:line="480" w:lineRule="exact"/>
              <w:jc w:val="left"/>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劳保手套</w:t>
            </w:r>
          </w:p>
        </w:tc>
        <w:tc>
          <w:tcPr>
            <w:tcW w:w="969" w:type="dxa"/>
            <w:vAlign w:val="center"/>
          </w:tcPr>
          <w:p w14:paraId="12EA148E">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100</w:t>
            </w:r>
          </w:p>
        </w:tc>
        <w:tc>
          <w:tcPr>
            <w:tcW w:w="1351" w:type="dxa"/>
            <w:vAlign w:val="center"/>
          </w:tcPr>
          <w:p w14:paraId="6E9E8082">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双/年</w:t>
            </w:r>
          </w:p>
        </w:tc>
      </w:tr>
    </w:tbl>
    <w:p w14:paraId="7C171C36">
      <w:pPr>
        <w:keepLines w:val="0"/>
        <w:pageBreakBefore w:val="0"/>
        <w:widowControl w:val="0"/>
        <w:kinsoku/>
        <w:wordWrap/>
        <w:overflowPunct/>
        <w:topLinePunct w:val="0"/>
        <w:bidi w:val="0"/>
        <w:spacing w:after="0" w:line="480" w:lineRule="exact"/>
        <w:ind w:firstLine="643" w:firstLineChars="200"/>
        <w:jc w:val="both"/>
        <w:textAlignment w:val="auto"/>
        <w:rPr>
          <w:rFonts w:hint="eastAsia" w:ascii="仿宋_GB2312" w:hAnsi="仿宋_GB2312" w:eastAsia="仿宋_GB2312" w:cs="仿宋_GB2312"/>
          <w:b/>
          <w:bCs/>
          <w:color w:val="auto"/>
          <w:sz w:val="32"/>
          <w:szCs w:val="32"/>
          <w:lang w:val="en-US" w:eastAsia="zh-CN"/>
        </w:rPr>
      </w:pPr>
    </w:p>
    <w:p w14:paraId="3E84955C">
      <w:pPr>
        <w:keepLines w:val="0"/>
        <w:pageBreakBefore w:val="0"/>
        <w:widowControl w:val="0"/>
        <w:kinsoku/>
        <w:wordWrap/>
        <w:overflowPunct/>
        <w:topLinePunct w:val="0"/>
        <w:bidi w:val="0"/>
        <w:spacing w:after="0" w:line="480" w:lineRule="exact"/>
        <w:jc w:val="both"/>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（六）机械设备</w:t>
      </w:r>
    </w:p>
    <w:p w14:paraId="191AAF76">
      <w:pPr>
        <w:keepLines w:val="0"/>
        <w:pageBreakBefore w:val="0"/>
        <w:widowControl w:val="0"/>
        <w:numPr>
          <w:ilvl w:val="0"/>
          <w:numId w:val="0"/>
        </w:numPr>
        <w:kinsoku/>
        <w:wordWrap/>
        <w:overflowPunct/>
        <w:topLinePunct w:val="0"/>
        <w:bidi w:val="0"/>
        <w:spacing w:after="0" w:line="480" w:lineRule="exact"/>
        <w:ind w:firstLine="640" w:firstLineChars="200"/>
        <w:jc w:val="both"/>
        <w:textAlignment w:val="auto"/>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1.中标供应商提供的机械设备可优于采购单位要求的机械设备配置清单。</w:t>
      </w:r>
    </w:p>
    <w:p w14:paraId="749C2259">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2.中标供应商不能按时提供或不能完整提供投标文件中拟配置机具设备及耗材，则采购人有权拒绝与中标供应商签订合同。</w:t>
      </w:r>
    </w:p>
    <w:p w14:paraId="3F0E4451">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3.机械设备配置清单</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0"/>
        <w:gridCol w:w="1725"/>
        <w:gridCol w:w="2650"/>
        <w:gridCol w:w="1325"/>
        <w:gridCol w:w="1135"/>
      </w:tblGrid>
      <w:tr w14:paraId="35456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2FCD4B9E">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序号</w:t>
            </w:r>
          </w:p>
        </w:tc>
        <w:tc>
          <w:tcPr>
            <w:tcW w:w="1725" w:type="dxa"/>
            <w:vAlign w:val="center"/>
          </w:tcPr>
          <w:p w14:paraId="623A6FB7">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区域</w:t>
            </w:r>
          </w:p>
        </w:tc>
        <w:tc>
          <w:tcPr>
            <w:tcW w:w="2650" w:type="dxa"/>
            <w:vAlign w:val="center"/>
          </w:tcPr>
          <w:p w14:paraId="01160569">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工具、设备名称</w:t>
            </w:r>
          </w:p>
        </w:tc>
        <w:tc>
          <w:tcPr>
            <w:tcW w:w="1325" w:type="dxa"/>
            <w:vAlign w:val="center"/>
          </w:tcPr>
          <w:p w14:paraId="586AA339">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数量</w:t>
            </w:r>
          </w:p>
        </w:tc>
        <w:tc>
          <w:tcPr>
            <w:tcW w:w="1135" w:type="dxa"/>
            <w:vAlign w:val="center"/>
          </w:tcPr>
          <w:p w14:paraId="489BDF68">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单位</w:t>
            </w:r>
          </w:p>
        </w:tc>
      </w:tr>
      <w:tr w14:paraId="05E54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50DA3E0C">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725" w:type="dxa"/>
            <w:vAlign w:val="center"/>
          </w:tcPr>
          <w:p w14:paraId="7005AD84">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绿化</w:t>
            </w:r>
          </w:p>
        </w:tc>
        <w:tc>
          <w:tcPr>
            <w:tcW w:w="2650" w:type="dxa"/>
            <w:vAlign w:val="center"/>
          </w:tcPr>
          <w:p w14:paraId="16DC24A0">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割草机</w:t>
            </w:r>
          </w:p>
        </w:tc>
        <w:tc>
          <w:tcPr>
            <w:tcW w:w="1325" w:type="dxa"/>
            <w:vAlign w:val="center"/>
          </w:tcPr>
          <w:p w14:paraId="06141F2F">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135" w:type="dxa"/>
            <w:vAlign w:val="center"/>
          </w:tcPr>
          <w:p w14:paraId="125ED2A1">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台</w:t>
            </w:r>
          </w:p>
        </w:tc>
      </w:tr>
      <w:tr w14:paraId="78DF4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0B4EED47">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w:t>
            </w:r>
          </w:p>
        </w:tc>
        <w:tc>
          <w:tcPr>
            <w:tcW w:w="1725" w:type="dxa"/>
            <w:vAlign w:val="center"/>
          </w:tcPr>
          <w:p w14:paraId="4B2C5999">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绿化</w:t>
            </w:r>
          </w:p>
        </w:tc>
        <w:tc>
          <w:tcPr>
            <w:tcW w:w="2650" w:type="dxa"/>
            <w:vAlign w:val="center"/>
          </w:tcPr>
          <w:p w14:paraId="45831B0B">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喷雾器</w:t>
            </w:r>
          </w:p>
        </w:tc>
        <w:tc>
          <w:tcPr>
            <w:tcW w:w="1325" w:type="dxa"/>
            <w:vAlign w:val="center"/>
          </w:tcPr>
          <w:p w14:paraId="2A2A2D2D">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135" w:type="dxa"/>
            <w:vAlign w:val="center"/>
          </w:tcPr>
          <w:p w14:paraId="75E607AD">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台</w:t>
            </w:r>
          </w:p>
        </w:tc>
      </w:tr>
      <w:tr w14:paraId="2B6AB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0C79BE80">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w:t>
            </w:r>
          </w:p>
        </w:tc>
        <w:tc>
          <w:tcPr>
            <w:tcW w:w="1725" w:type="dxa"/>
            <w:vAlign w:val="center"/>
          </w:tcPr>
          <w:p w14:paraId="2C6308B6">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绿化</w:t>
            </w:r>
          </w:p>
        </w:tc>
        <w:tc>
          <w:tcPr>
            <w:tcW w:w="2650" w:type="dxa"/>
            <w:vAlign w:val="center"/>
          </w:tcPr>
          <w:p w14:paraId="27D5C4AF">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绿化修剪工具</w:t>
            </w:r>
          </w:p>
        </w:tc>
        <w:tc>
          <w:tcPr>
            <w:tcW w:w="1325" w:type="dxa"/>
            <w:vAlign w:val="center"/>
          </w:tcPr>
          <w:p w14:paraId="21706D37">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135" w:type="dxa"/>
            <w:vAlign w:val="center"/>
          </w:tcPr>
          <w:p w14:paraId="57993C7D">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套</w:t>
            </w:r>
          </w:p>
        </w:tc>
      </w:tr>
      <w:tr w14:paraId="75911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5E5CCFEC">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w:t>
            </w:r>
          </w:p>
        </w:tc>
        <w:tc>
          <w:tcPr>
            <w:tcW w:w="1725" w:type="dxa"/>
            <w:vAlign w:val="center"/>
          </w:tcPr>
          <w:p w14:paraId="6185B34E">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绿化</w:t>
            </w:r>
          </w:p>
        </w:tc>
        <w:tc>
          <w:tcPr>
            <w:tcW w:w="2650" w:type="dxa"/>
            <w:vAlign w:val="center"/>
          </w:tcPr>
          <w:p w14:paraId="4423C5F4">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落叶耙</w:t>
            </w:r>
          </w:p>
        </w:tc>
        <w:tc>
          <w:tcPr>
            <w:tcW w:w="1325" w:type="dxa"/>
            <w:vAlign w:val="center"/>
          </w:tcPr>
          <w:p w14:paraId="4EBA72FE">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w:t>
            </w:r>
          </w:p>
        </w:tc>
        <w:tc>
          <w:tcPr>
            <w:tcW w:w="1135" w:type="dxa"/>
            <w:vAlign w:val="center"/>
          </w:tcPr>
          <w:p w14:paraId="784E4A6E">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把</w:t>
            </w:r>
          </w:p>
        </w:tc>
      </w:tr>
      <w:tr w14:paraId="1641D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1AE25EDC">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w:t>
            </w:r>
          </w:p>
        </w:tc>
        <w:tc>
          <w:tcPr>
            <w:tcW w:w="1725" w:type="dxa"/>
            <w:vAlign w:val="center"/>
          </w:tcPr>
          <w:p w14:paraId="6C04539D">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办公</w:t>
            </w:r>
          </w:p>
        </w:tc>
        <w:tc>
          <w:tcPr>
            <w:tcW w:w="2650" w:type="dxa"/>
            <w:vAlign w:val="center"/>
          </w:tcPr>
          <w:p w14:paraId="061F0C80">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电脑</w:t>
            </w:r>
          </w:p>
        </w:tc>
        <w:tc>
          <w:tcPr>
            <w:tcW w:w="1325" w:type="dxa"/>
            <w:vAlign w:val="center"/>
          </w:tcPr>
          <w:p w14:paraId="0FDDA105">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135" w:type="dxa"/>
            <w:vAlign w:val="center"/>
          </w:tcPr>
          <w:p w14:paraId="6D243833">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台</w:t>
            </w:r>
          </w:p>
        </w:tc>
      </w:tr>
      <w:tr w14:paraId="1E7B5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2221FC4E">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w:t>
            </w:r>
          </w:p>
        </w:tc>
        <w:tc>
          <w:tcPr>
            <w:tcW w:w="1725" w:type="dxa"/>
            <w:vAlign w:val="center"/>
          </w:tcPr>
          <w:p w14:paraId="573D0B96">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办公</w:t>
            </w:r>
          </w:p>
        </w:tc>
        <w:tc>
          <w:tcPr>
            <w:tcW w:w="2650" w:type="dxa"/>
            <w:vAlign w:val="center"/>
          </w:tcPr>
          <w:p w14:paraId="095DA1C2">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打印复机一体机</w:t>
            </w:r>
          </w:p>
        </w:tc>
        <w:tc>
          <w:tcPr>
            <w:tcW w:w="1325" w:type="dxa"/>
            <w:vAlign w:val="center"/>
          </w:tcPr>
          <w:p w14:paraId="059D732A">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135" w:type="dxa"/>
            <w:vAlign w:val="center"/>
          </w:tcPr>
          <w:p w14:paraId="3B72D986">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台</w:t>
            </w:r>
          </w:p>
        </w:tc>
      </w:tr>
      <w:tr w14:paraId="6B364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0" w:type="dxa"/>
            <w:vAlign w:val="center"/>
          </w:tcPr>
          <w:p w14:paraId="2BC18E95">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w:t>
            </w:r>
          </w:p>
        </w:tc>
        <w:tc>
          <w:tcPr>
            <w:tcW w:w="1725" w:type="dxa"/>
            <w:vAlign w:val="center"/>
          </w:tcPr>
          <w:p w14:paraId="12B4A996">
            <w:pPr>
              <w:keepLines w:val="0"/>
              <w:pageBreakBefore w:val="0"/>
              <w:widowControl w:val="0"/>
              <w:kinsoku/>
              <w:wordWrap/>
              <w:overflowPunct/>
              <w:topLinePunct w:val="0"/>
              <w:bidi w:val="0"/>
              <w:spacing w:after="0" w:line="48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外围地面</w:t>
            </w:r>
          </w:p>
        </w:tc>
        <w:tc>
          <w:tcPr>
            <w:tcW w:w="2650" w:type="dxa"/>
            <w:vAlign w:val="center"/>
          </w:tcPr>
          <w:p w14:paraId="441535BA">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高压水枪</w:t>
            </w:r>
          </w:p>
        </w:tc>
        <w:tc>
          <w:tcPr>
            <w:tcW w:w="1325" w:type="dxa"/>
            <w:vAlign w:val="center"/>
          </w:tcPr>
          <w:p w14:paraId="04E05EB4">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135" w:type="dxa"/>
            <w:vAlign w:val="center"/>
          </w:tcPr>
          <w:p w14:paraId="6ECDEC69">
            <w:pPr>
              <w:keepLines w:val="0"/>
              <w:pageBreakBefore w:val="0"/>
              <w:widowControl w:val="0"/>
              <w:kinsoku/>
              <w:wordWrap/>
              <w:overflowPunct/>
              <w:topLinePunct w:val="0"/>
              <w:bidi w:val="0"/>
              <w:spacing w:after="0" w:line="48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台</w:t>
            </w:r>
          </w:p>
        </w:tc>
      </w:tr>
    </w:tbl>
    <w:p w14:paraId="58EA6D60">
      <w:pPr>
        <w:keepLines w:val="0"/>
        <w:pageBreakBefore w:val="0"/>
        <w:widowControl w:val="0"/>
        <w:kinsoku/>
        <w:wordWrap/>
        <w:overflowPunct/>
        <w:topLinePunct w:val="0"/>
        <w:bidi w:val="0"/>
        <w:spacing w:after="0" w:line="480" w:lineRule="exact"/>
        <w:ind w:firstLine="643" w:firstLineChars="200"/>
        <w:jc w:val="both"/>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val="en-US" w:eastAsia="zh-CN"/>
        </w:rPr>
        <w:t>七</w:t>
      </w:r>
      <w:r>
        <w:rPr>
          <w:rFonts w:hint="eastAsia" w:ascii="仿宋_GB2312" w:hAnsi="仿宋_GB2312" w:eastAsia="仿宋_GB2312" w:cs="仿宋_GB2312"/>
          <w:b/>
          <w:bCs/>
          <w:color w:val="auto"/>
          <w:sz w:val="32"/>
          <w:szCs w:val="32"/>
        </w:rPr>
        <w:t>）投标报价要求</w:t>
      </w:r>
    </w:p>
    <w:p w14:paraId="446865AC">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投标报价是响应采购项目要求的全部工作内容的价格体现，应包括</w:t>
      </w:r>
      <w:r>
        <w:rPr>
          <w:rFonts w:hint="default" w:ascii="仿宋_GB2312" w:hAnsi="仿宋_GB2312" w:eastAsia="仿宋_GB2312" w:cs="仿宋_GB2312"/>
          <w:color w:val="auto"/>
          <w:sz w:val="32"/>
          <w:szCs w:val="32"/>
          <w:vertAlign w:val="baseline"/>
          <w:lang w:val="en-US" w:eastAsia="zh-CN"/>
        </w:rPr>
        <w:t>人</w:t>
      </w:r>
      <w:r>
        <w:rPr>
          <w:rFonts w:hint="eastAsia" w:ascii="仿宋_GB2312" w:hAnsi="仿宋_GB2312" w:eastAsia="仿宋_GB2312" w:cs="仿宋_GB2312"/>
          <w:color w:val="auto"/>
          <w:sz w:val="32"/>
          <w:szCs w:val="32"/>
          <w:vertAlign w:val="baseline"/>
          <w:lang w:val="en-US" w:eastAsia="zh-CN"/>
        </w:rPr>
        <w:t>工费（基本</w:t>
      </w:r>
      <w:r>
        <w:rPr>
          <w:rFonts w:hint="eastAsia" w:ascii="仿宋_GB2312" w:hAnsi="仿宋_GB2312" w:eastAsia="仿宋_GB2312" w:cs="仿宋_GB2312"/>
          <w:color w:val="auto"/>
          <w:sz w:val="32"/>
          <w:szCs w:val="32"/>
        </w:rPr>
        <w:t>工资、社会保险费、</w:t>
      </w:r>
      <w:r>
        <w:rPr>
          <w:rFonts w:hint="eastAsia" w:ascii="仿宋_GB2312" w:hAnsi="仿宋_GB2312" w:eastAsia="仿宋_GB2312" w:cs="仿宋_GB2312"/>
          <w:color w:val="auto"/>
          <w:sz w:val="32"/>
          <w:szCs w:val="32"/>
          <w:lang w:val="en-US" w:eastAsia="zh-CN"/>
        </w:rPr>
        <w:t>加班费</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福利费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机械设备费</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服务耗材费、</w:t>
      </w:r>
      <w:r>
        <w:rPr>
          <w:rFonts w:hint="eastAsia" w:ascii="仿宋_GB2312" w:hAnsi="仿宋_GB2312" w:eastAsia="仿宋_GB2312" w:cs="仿宋_GB2312"/>
          <w:color w:val="auto"/>
          <w:sz w:val="32"/>
          <w:szCs w:val="32"/>
          <w:lang w:val="en-US" w:eastAsia="zh-CN"/>
        </w:rPr>
        <w:t>其他费用(</w:t>
      </w:r>
      <w:r>
        <w:rPr>
          <w:rFonts w:hint="eastAsia" w:ascii="仿宋_GB2312" w:hAnsi="仿宋_GB2312" w:eastAsia="仿宋_GB2312" w:cs="仿宋_GB2312"/>
          <w:color w:val="auto"/>
          <w:sz w:val="32"/>
          <w:szCs w:val="32"/>
        </w:rPr>
        <w:t>行政办公费、管理费、利润</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税费及采购文件中约定应由</w:t>
      </w:r>
      <w:r>
        <w:rPr>
          <w:rFonts w:hint="eastAsia" w:ascii="仿宋_GB2312" w:hAnsi="仿宋_GB2312" w:eastAsia="仿宋_GB2312" w:cs="仿宋_GB2312"/>
          <w:color w:val="auto"/>
          <w:sz w:val="32"/>
          <w:szCs w:val="32"/>
          <w:lang w:val="en-US" w:eastAsia="zh-CN"/>
        </w:rPr>
        <w:t>投标人</w:t>
      </w:r>
      <w:r>
        <w:rPr>
          <w:rFonts w:hint="eastAsia" w:ascii="仿宋_GB2312" w:hAnsi="仿宋_GB2312" w:eastAsia="仿宋_GB2312" w:cs="仿宋_GB2312"/>
          <w:color w:val="auto"/>
          <w:sz w:val="32"/>
          <w:szCs w:val="32"/>
        </w:rPr>
        <w:t>完成的本项目全部服务内容所需全部费用。</w:t>
      </w:r>
    </w:p>
    <w:p w14:paraId="6B7008F3">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2.投标人的报价作为每年签订合同金额的依据。服务期内，如国家或地方政府的最低工资标准、保险基数费用、</w:t>
      </w:r>
      <w:r>
        <w:rPr>
          <w:rFonts w:hint="eastAsia" w:ascii="仿宋_GB2312" w:hAnsi="仿宋_GB2312" w:eastAsia="仿宋_GB2312" w:cs="仿宋_GB2312"/>
          <w:color w:val="auto"/>
          <w:sz w:val="32"/>
          <w:szCs w:val="32"/>
          <w:highlight w:val="none"/>
          <w:lang w:val="en-US" w:eastAsia="zh-CN"/>
        </w:rPr>
        <w:t>税费</w:t>
      </w:r>
      <w:r>
        <w:rPr>
          <w:rFonts w:hint="eastAsia" w:ascii="仿宋_GB2312" w:hAnsi="仿宋_GB2312" w:eastAsia="仿宋_GB2312" w:cs="仿宋_GB2312"/>
          <w:color w:val="auto"/>
          <w:sz w:val="32"/>
          <w:szCs w:val="32"/>
          <w:lang w:val="en-US" w:eastAsia="zh-CN"/>
        </w:rPr>
        <w:t>等政策调整或是物价上涨，合同金额不做调整，请投标人综合考虑。</w:t>
      </w:r>
    </w:p>
    <w:p w14:paraId="1A6B0674">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3.报价要求</w:t>
      </w:r>
    </w:p>
    <w:p w14:paraId="25E22C19">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投标人应按招标文件要求提供《开标一览表明细》。《开标一览表明细》表中的报价不得以“企业让利”、“已有耗材或设施设备库存”等形式免费或无偿、赠送或零报价提供服务，</w:t>
      </w:r>
      <w:r>
        <w:rPr>
          <w:rFonts w:hint="eastAsia" w:ascii="仿宋_GB2312" w:hAnsi="仿宋_GB2312" w:eastAsia="仿宋_GB2312" w:cs="仿宋_GB2312"/>
          <w:b/>
          <w:bCs/>
          <w:color w:val="auto"/>
          <w:sz w:val="32"/>
          <w:szCs w:val="32"/>
          <w:lang w:val="en-US" w:eastAsia="zh-CN"/>
        </w:rPr>
        <w:t>否则视为未实质性响应作废标处理。</w:t>
      </w:r>
    </w:p>
    <w:p w14:paraId="2995B8E5">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3.1 基本工资：人员基本工资不得低于本项目所在地行政区当年度最低工资标准。投标人在编制投标报价时，其人员工资低于本项目所在地行政区当年度最低工资标准，</w:t>
      </w:r>
      <w:r>
        <w:rPr>
          <w:rFonts w:hint="eastAsia" w:ascii="仿宋_GB2312" w:hAnsi="仿宋_GB2312" w:eastAsia="仿宋_GB2312" w:cs="仿宋_GB2312"/>
          <w:b/>
          <w:bCs/>
          <w:color w:val="auto"/>
          <w:sz w:val="32"/>
          <w:szCs w:val="32"/>
          <w:lang w:val="en-US" w:eastAsia="zh-CN"/>
        </w:rPr>
        <w:t>视为未实质性响应作废标处理。</w:t>
      </w:r>
    </w:p>
    <w:p w14:paraId="7EFB8DA2">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3.2 社会保险费：社保缴纳标准不得低于本项目所在地行政区当年度规定的最低缴纳基数和最低缴纳比例，</w:t>
      </w:r>
      <w:r>
        <w:rPr>
          <w:rFonts w:hint="eastAsia" w:ascii="仿宋_GB2312" w:hAnsi="仿宋_GB2312" w:eastAsia="仿宋_GB2312" w:cs="仿宋_GB2312"/>
          <w:b/>
          <w:bCs/>
          <w:color w:val="auto"/>
          <w:sz w:val="32"/>
          <w:szCs w:val="32"/>
          <w:lang w:val="en-US" w:eastAsia="zh-CN"/>
        </w:rPr>
        <w:t>否则视为未实质性响应作废标处理。</w:t>
      </w:r>
      <w:r>
        <w:rPr>
          <w:rFonts w:hint="eastAsia" w:ascii="仿宋_GB2312" w:hAnsi="仿宋_GB2312" w:eastAsia="仿宋_GB2312" w:cs="仿宋_GB2312"/>
          <w:color w:val="auto"/>
          <w:sz w:val="32"/>
          <w:szCs w:val="32"/>
          <w:lang w:val="en-US" w:eastAsia="zh-CN"/>
        </w:rPr>
        <w:t>投标人在编制投标报价时，以被征地农民已参加被征地农民养老保险为由不为本项目服务人员缴纳社会保险费的，</w:t>
      </w:r>
      <w:r>
        <w:rPr>
          <w:rFonts w:hint="eastAsia" w:ascii="仿宋_GB2312" w:hAnsi="仿宋_GB2312" w:eastAsia="仿宋_GB2312" w:cs="仿宋_GB2312"/>
          <w:b/>
          <w:bCs/>
          <w:color w:val="auto"/>
          <w:sz w:val="32"/>
          <w:szCs w:val="32"/>
          <w:lang w:val="en-US" w:eastAsia="zh-CN"/>
        </w:rPr>
        <w:t>视为未实质性响应作废标处理。</w:t>
      </w:r>
    </w:p>
    <w:p w14:paraId="28451177">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3.3 加班费：</w:t>
      </w:r>
    </w:p>
    <w:p w14:paraId="6F0DE867">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（1）法定节假日加班费：本项目法定节假日在岗人员加班费计入总报价，采购人支付物业服务费用后不再单独支付加班费。法定休假日加班工资应符合《中华人民共和国劳动法(2018修正) 》第四十四条“（三）法定休假日安排劳动者工作的，支付不低于工资的百分之三百的工资报酬”之规定。法定节假日按规定元旦、春节、清明节、劳动节、端午节、中秋节、国庆节，共13天计算。</w:t>
      </w:r>
      <w:r>
        <w:rPr>
          <w:rFonts w:hint="eastAsia" w:ascii="仿宋_GB2312" w:hAnsi="仿宋_GB2312" w:eastAsia="仿宋_GB2312" w:cs="仿宋_GB2312"/>
          <w:b/>
          <w:bCs/>
          <w:color w:val="auto"/>
          <w:sz w:val="32"/>
          <w:szCs w:val="32"/>
          <w:lang w:val="en-US" w:eastAsia="zh-CN"/>
        </w:rPr>
        <w:t>本项目法定节假日须在岗人数不低于3人</w:t>
      </w:r>
      <w:r>
        <w:rPr>
          <w:rFonts w:hint="eastAsia" w:ascii="仿宋_GB2312" w:hAnsi="仿宋_GB2312" w:eastAsia="仿宋_GB2312" w:cs="仿宋_GB2312"/>
          <w:color w:val="auto"/>
          <w:sz w:val="32"/>
          <w:szCs w:val="32"/>
          <w:lang w:val="en-US" w:eastAsia="zh-CN"/>
        </w:rPr>
        <w:t>。投标人在编制投标报价时，法定节假日人员加班费低于上述要求，</w:t>
      </w:r>
      <w:r>
        <w:rPr>
          <w:rFonts w:hint="eastAsia" w:ascii="仿宋_GB2312" w:hAnsi="仿宋_GB2312" w:eastAsia="仿宋_GB2312" w:cs="仿宋_GB2312"/>
          <w:b/>
          <w:bCs/>
          <w:color w:val="auto"/>
          <w:sz w:val="32"/>
          <w:szCs w:val="32"/>
          <w:lang w:val="en-US" w:eastAsia="zh-CN"/>
        </w:rPr>
        <w:t>视为未实质性响应作废标处理。</w:t>
      </w:r>
      <w:r>
        <w:rPr>
          <w:rFonts w:hint="eastAsia" w:ascii="仿宋_GB2312" w:hAnsi="仿宋_GB2312" w:eastAsia="仿宋_GB2312" w:cs="仿宋_GB2312"/>
          <w:color w:val="auto"/>
          <w:sz w:val="32"/>
          <w:szCs w:val="32"/>
          <w:lang w:val="en-US" w:eastAsia="zh-CN"/>
        </w:rPr>
        <w:t>计算公式（示例）：</w:t>
      </w:r>
      <w:r>
        <w:rPr>
          <w:rFonts w:hint="eastAsia" w:ascii="仿宋_GB2312" w:hAnsi="仿宋_GB2312" w:eastAsia="仿宋_GB2312" w:cs="仿宋_GB2312"/>
          <w:b/>
          <w:bCs/>
          <w:color w:val="auto"/>
          <w:sz w:val="32"/>
          <w:szCs w:val="32"/>
          <w:lang w:val="en-US" w:eastAsia="zh-CN"/>
        </w:rPr>
        <w:t>工资</w:t>
      </w:r>
      <w:r>
        <w:rPr>
          <w:rFonts w:hint="eastAsia" w:ascii="仿宋_GB2312" w:hAnsi="仿宋_GB2312" w:eastAsia="仿宋_GB2312" w:cs="仿宋_GB2312"/>
          <w:color w:val="auto"/>
          <w:sz w:val="32"/>
          <w:szCs w:val="32"/>
          <w:lang w:val="en-US" w:eastAsia="zh-CN"/>
        </w:rPr>
        <w:t>÷21.75天×3倍×（人数）×13天。</w:t>
      </w:r>
    </w:p>
    <w:p w14:paraId="2C13D0FA">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双休日、工作日加班费：投标人可结合自身情况安排补休；投标人确不能安排加班人员补休的，需按照招标文件要求，根据【中华人民共和国劳动法(2018修正)】文件规定支付相应的加班费。双休日、工作日在岗加班费计入总报价，采购人支付物业服务费用后不再单独支付加班费。</w:t>
      </w:r>
    </w:p>
    <w:p w14:paraId="40607DFF">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3.4 福利费：投标人</w:t>
      </w:r>
      <w:r>
        <w:rPr>
          <w:rFonts w:hint="eastAsia" w:ascii="仿宋_GB2312" w:hAnsi="仿宋_GB2312" w:eastAsia="仿宋_GB2312" w:cs="仿宋_GB2312"/>
          <w:b w:val="0"/>
          <w:bCs w:val="0"/>
          <w:color w:val="auto"/>
          <w:sz w:val="32"/>
          <w:szCs w:val="32"/>
          <w:lang w:val="en-US" w:eastAsia="zh-CN"/>
        </w:rPr>
        <w:t>结合自身情况进行报价。</w:t>
      </w:r>
    </w:p>
    <w:p w14:paraId="5FAD6814">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3.5 服务耗材费：投标人按采购需求“服务耗材”配置清单，及结合自身情况进行报价。</w:t>
      </w:r>
    </w:p>
    <w:p w14:paraId="727D0F29">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color w:val="auto"/>
          <w:lang w:val="en-US" w:eastAsia="zh-CN"/>
        </w:rPr>
      </w:pPr>
      <w:r>
        <w:rPr>
          <w:rFonts w:hint="eastAsia" w:ascii="仿宋_GB2312" w:hAnsi="仿宋_GB2312" w:eastAsia="仿宋_GB2312" w:cs="仿宋_GB2312"/>
          <w:color w:val="auto"/>
          <w:sz w:val="32"/>
          <w:szCs w:val="32"/>
          <w:highlight w:val="none"/>
          <w:lang w:val="en-US" w:eastAsia="zh-CN"/>
        </w:rPr>
        <w:t>3.6 机械设备费：投标人按采购需求“机械设备”配置清单，及结合自身情况进行报价。</w:t>
      </w:r>
    </w:p>
    <w:p w14:paraId="5F3759AA">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3.7 其他费用：</w:t>
      </w:r>
      <w:r>
        <w:rPr>
          <w:rFonts w:hint="eastAsia" w:ascii="仿宋_GB2312" w:hAnsi="仿宋_GB2312" w:eastAsia="仿宋_GB2312" w:cs="仿宋_GB2312"/>
          <w:color w:val="auto"/>
          <w:sz w:val="32"/>
          <w:szCs w:val="32"/>
        </w:rPr>
        <w:t>行政办公费</w:t>
      </w:r>
      <w:r>
        <w:rPr>
          <w:rFonts w:hint="eastAsia" w:ascii="仿宋_GB2312" w:hAnsi="仿宋_GB2312" w:eastAsia="仿宋_GB2312" w:cs="仿宋_GB2312"/>
          <w:color w:val="auto"/>
          <w:sz w:val="32"/>
          <w:szCs w:val="32"/>
          <w:lang w:val="en-US" w:eastAsia="zh-CN"/>
        </w:rPr>
        <w:t>（人员服装费、办公用品、劳保用品、培训费）、</w:t>
      </w:r>
      <w:r>
        <w:rPr>
          <w:rFonts w:hint="eastAsia" w:ascii="仿宋_GB2312" w:hAnsi="仿宋_GB2312" w:eastAsia="仿宋_GB2312" w:cs="仿宋_GB2312"/>
          <w:color w:val="auto"/>
          <w:sz w:val="32"/>
          <w:szCs w:val="32"/>
        </w:rPr>
        <w:t>管理费、利润采购文件中约定应由</w:t>
      </w:r>
      <w:r>
        <w:rPr>
          <w:rFonts w:hint="eastAsia" w:ascii="仿宋_GB2312" w:hAnsi="仿宋_GB2312" w:eastAsia="仿宋_GB2312" w:cs="仿宋_GB2312"/>
          <w:color w:val="auto"/>
          <w:sz w:val="32"/>
          <w:szCs w:val="32"/>
          <w:lang w:val="en-US" w:eastAsia="zh-CN"/>
        </w:rPr>
        <w:t>投标人</w:t>
      </w:r>
      <w:r>
        <w:rPr>
          <w:rFonts w:hint="eastAsia" w:ascii="仿宋_GB2312" w:hAnsi="仿宋_GB2312" w:eastAsia="仿宋_GB2312" w:cs="仿宋_GB2312"/>
          <w:color w:val="auto"/>
          <w:sz w:val="32"/>
          <w:szCs w:val="32"/>
        </w:rPr>
        <w:t>完成的本项目全部服务内容所需全部费用。</w:t>
      </w:r>
    </w:p>
    <w:p w14:paraId="77C99A06">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3.8 税费</w:t>
      </w:r>
      <w:r>
        <w:rPr>
          <w:rFonts w:hint="eastAsia" w:ascii="仿宋_GB2312" w:hAnsi="仿宋_GB2312" w:eastAsia="仿宋_GB2312" w:cs="仿宋_GB2312"/>
          <w:color w:val="auto"/>
          <w:sz w:val="32"/>
          <w:szCs w:val="32"/>
          <w:highlight w:val="none"/>
          <w:lang w:val="en-US" w:eastAsia="zh-CN"/>
        </w:rPr>
        <w:t>：投标人按本年度在税务系统增值税纳税人身份计算投标报价的税费，投标人应明确的增值税纳税人身份</w:t>
      </w:r>
      <w:r>
        <w:rPr>
          <w:rFonts w:hint="eastAsia" w:ascii="仿宋_GB2312" w:hAnsi="仿宋_GB2312" w:eastAsia="仿宋_GB2312" w:cs="仿宋_GB2312"/>
          <w:b/>
          <w:bCs/>
          <w:color w:val="auto"/>
          <w:sz w:val="32"/>
          <w:szCs w:val="32"/>
          <w:highlight w:val="none"/>
          <w:lang w:val="en-US" w:eastAsia="zh-CN"/>
        </w:rPr>
        <w:t>（提供税务系统增值税纳税人身份资格截图）</w:t>
      </w:r>
      <w:r>
        <w:rPr>
          <w:rFonts w:hint="eastAsia" w:ascii="仿宋_GB2312" w:hAnsi="仿宋_GB2312" w:eastAsia="仿宋_GB2312" w:cs="仿宋_GB2312"/>
          <w:color w:val="auto"/>
          <w:sz w:val="32"/>
          <w:szCs w:val="32"/>
          <w:highlight w:val="none"/>
          <w:lang w:val="en-US" w:eastAsia="zh-CN"/>
        </w:rPr>
        <w:t>。</w:t>
      </w:r>
    </w:p>
    <w:p w14:paraId="79950D82">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3.8.1 若投标人依法享受税率优惠或减免政策的，须提供投标人情况说明及由税务部门出具的证明材料或政策文件，未按上述要求提供或不符合要求的，</w:t>
      </w:r>
      <w:r>
        <w:rPr>
          <w:rFonts w:hint="eastAsia" w:ascii="仿宋_GB2312" w:hAnsi="仿宋_GB2312" w:eastAsia="仿宋_GB2312" w:cs="仿宋_GB2312"/>
          <w:b/>
          <w:bCs/>
          <w:color w:val="auto"/>
          <w:sz w:val="32"/>
          <w:szCs w:val="32"/>
          <w:highlight w:val="none"/>
          <w:lang w:val="en-US" w:eastAsia="zh-CN"/>
        </w:rPr>
        <w:t>视为未实质性响应作废标处理【提供投标人情况说明（说明内容应包含享受税率优惠或减免政策的情况）和由税务部门出具的证明材料或政策文件】。</w:t>
      </w:r>
    </w:p>
    <w:p w14:paraId="45FE9841">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3.8.2 本项目为物业管理服务项目，根据《财政部国家税务总局关于全面推开营业税改征增值税试点的通知》财税〔2016〕36号文及其附件《营业税改征增值税试点实施办法》的规定，物业管理行业属于第8项商务辅助服务中企业管理服务类，投标人不得按劳务派遣服务计算税率，</w:t>
      </w:r>
      <w:r>
        <w:rPr>
          <w:rFonts w:hint="eastAsia" w:ascii="仿宋_GB2312" w:hAnsi="仿宋_GB2312" w:eastAsia="仿宋_GB2312" w:cs="仿宋_GB2312"/>
          <w:b/>
          <w:bCs/>
          <w:color w:val="auto"/>
          <w:sz w:val="32"/>
          <w:szCs w:val="32"/>
          <w:highlight w:val="none"/>
          <w:lang w:val="en-US" w:eastAsia="zh-CN"/>
        </w:rPr>
        <w:t>否则视为未实质性响应作废标处理。</w:t>
      </w:r>
    </w:p>
    <w:p w14:paraId="7CDB25D8">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3.9 开标一览表明细</w:t>
      </w:r>
    </w:p>
    <w:tbl>
      <w:tblPr>
        <w:tblStyle w:val="4"/>
        <w:tblpPr w:leftFromText="180" w:rightFromText="180" w:vertAnchor="text" w:horzAnchor="page" w:tblpX="1873" w:tblpY="466"/>
        <w:tblOverlap w:val="never"/>
        <w:tblW w:w="82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8"/>
        <w:gridCol w:w="1870"/>
        <w:gridCol w:w="2317"/>
        <w:gridCol w:w="3167"/>
      </w:tblGrid>
      <w:tr w14:paraId="0F80F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858" w:type="dxa"/>
            <w:vAlign w:val="center"/>
          </w:tcPr>
          <w:p w14:paraId="6F30E186">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序号</w:t>
            </w:r>
          </w:p>
        </w:tc>
        <w:tc>
          <w:tcPr>
            <w:tcW w:w="1870" w:type="dxa"/>
            <w:vAlign w:val="center"/>
          </w:tcPr>
          <w:p w14:paraId="16ECA60F">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报价明细</w:t>
            </w:r>
          </w:p>
        </w:tc>
        <w:tc>
          <w:tcPr>
            <w:tcW w:w="2317" w:type="dxa"/>
            <w:vAlign w:val="center"/>
          </w:tcPr>
          <w:p w14:paraId="566861FA">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年报价（元）</w:t>
            </w:r>
          </w:p>
        </w:tc>
        <w:tc>
          <w:tcPr>
            <w:tcW w:w="3167" w:type="dxa"/>
            <w:vAlign w:val="center"/>
          </w:tcPr>
          <w:p w14:paraId="460E3C0C">
            <w:pPr>
              <w:keepLines w:val="0"/>
              <w:pageBreakBefore w:val="0"/>
              <w:widowControl w:val="0"/>
              <w:kinsoku/>
              <w:wordWrap/>
              <w:overflowPunct/>
              <w:topLinePunct w:val="0"/>
              <w:autoSpaceDE w:val="0"/>
              <w:autoSpaceDN w:val="0"/>
              <w:bidi w:val="0"/>
              <w:spacing w:after="0" w:line="480" w:lineRule="exact"/>
              <w:jc w:val="center"/>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备注</w:t>
            </w:r>
          </w:p>
        </w:tc>
      </w:tr>
      <w:tr w14:paraId="1744F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858" w:type="dxa"/>
            <w:vAlign w:val="center"/>
          </w:tcPr>
          <w:p w14:paraId="7F6990CC">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w:t>
            </w:r>
          </w:p>
        </w:tc>
        <w:tc>
          <w:tcPr>
            <w:tcW w:w="1870" w:type="dxa"/>
            <w:vAlign w:val="center"/>
          </w:tcPr>
          <w:p w14:paraId="1545F5D8">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人</w:t>
            </w:r>
            <w:r>
              <w:rPr>
                <w:rFonts w:hint="eastAsia" w:ascii="仿宋_GB2312" w:hAnsi="仿宋_GB2312" w:eastAsia="仿宋_GB2312" w:cs="仿宋_GB2312"/>
                <w:color w:val="auto"/>
                <w:sz w:val="32"/>
                <w:szCs w:val="32"/>
                <w:lang w:val="en-US" w:eastAsia="zh-CN"/>
              </w:rPr>
              <w:t>工费</w:t>
            </w:r>
          </w:p>
        </w:tc>
        <w:tc>
          <w:tcPr>
            <w:tcW w:w="2317" w:type="dxa"/>
            <w:vAlign w:val="center"/>
          </w:tcPr>
          <w:p w14:paraId="17EF2A2E">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p>
        </w:tc>
        <w:tc>
          <w:tcPr>
            <w:tcW w:w="3167" w:type="dxa"/>
            <w:vAlign w:val="center"/>
          </w:tcPr>
          <w:p w14:paraId="296E1F52">
            <w:pPr>
              <w:keepLines w:val="0"/>
              <w:pageBreakBefore w:val="0"/>
              <w:widowControl w:val="0"/>
              <w:numPr>
                <w:ilvl w:val="0"/>
                <w:numId w:val="1"/>
              </w:numPr>
              <w:kinsoku/>
              <w:wordWrap/>
              <w:overflowPunct/>
              <w:topLinePunct w:val="0"/>
              <w:autoSpaceDE w:val="0"/>
              <w:autoSpaceDN w:val="0"/>
              <w:bidi w:val="0"/>
              <w:spacing w:after="0" w:line="480" w:lineRule="exact"/>
              <w:jc w:val="both"/>
              <w:textAlignment w:val="auto"/>
              <w:outlineLvl w:val="1"/>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vertAlign w:val="baseline"/>
                <w:lang w:val="en-US" w:eastAsia="zh-CN"/>
              </w:rPr>
              <w:t>包含基本</w:t>
            </w:r>
            <w:r>
              <w:rPr>
                <w:rFonts w:hint="eastAsia" w:ascii="仿宋_GB2312" w:hAnsi="仿宋_GB2312" w:eastAsia="仿宋_GB2312" w:cs="仿宋_GB2312"/>
                <w:color w:val="auto"/>
                <w:sz w:val="28"/>
                <w:szCs w:val="28"/>
              </w:rPr>
              <w:t>工资、社会保险费、</w:t>
            </w:r>
            <w:r>
              <w:rPr>
                <w:rFonts w:hint="eastAsia" w:ascii="仿宋_GB2312" w:hAnsi="仿宋_GB2312" w:eastAsia="仿宋_GB2312" w:cs="仿宋_GB2312"/>
                <w:color w:val="auto"/>
                <w:sz w:val="28"/>
                <w:szCs w:val="28"/>
                <w:lang w:val="en-US" w:eastAsia="zh-CN"/>
              </w:rPr>
              <w:t>加班费</w:t>
            </w:r>
            <w:r>
              <w:rPr>
                <w:rFonts w:hint="eastAsia" w:ascii="仿宋_GB2312" w:hAnsi="仿宋_GB2312" w:eastAsia="仿宋_GB2312" w:cs="仿宋_GB2312"/>
                <w:color w:val="auto"/>
                <w:sz w:val="28"/>
                <w:szCs w:val="28"/>
              </w:rPr>
              <w:t>、</w:t>
            </w:r>
            <w:r>
              <w:rPr>
                <w:rFonts w:hint="eastAsia" w:ascii="仿宋_GB2312" w:hAnsi="仿宋_GB2312" w:eastAsia="仿宋_GB2312" w:cs="仿宋_GB2312"/>
                <w:color w:val="auto"/>
                <w:sz w:val="28"/>
                <w:szCs w:val="28"/>
                <w:lang w:val="en-US" w:eastAsia="zh-CN"/>
              </w:rPr>
              <w:t>福利费；</w:t>
            </w:r>
          </w:p>
          <w:p w14:paraId="5193835D">
            <w:pPr>
              <w:keepLines w:val="0"/>
              <w:pageBreakBefore w:val="0"/>
              <w:widowControl w:val="0"/>
              <w:numPr>
                <w:ilvl w:val="0"/>
                <w:numId w:val="0"/>
              </w:numPr>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r>
              <w:rPr>
                <w:rFonts w:hint="default" w:ascii="仿宋_GB2312" w:hAnsi="仿宋_GB2312" w:eastAsia="仿宋_GB2312" w:cs="仿宋_GB2312"/>
                <w:color w:val="auto"/>
                <w:sz w:val="28"/>
                <w:szCs w:val="28"/>
                <w:lang w:val="en-US" w:eastAsia="zh-CN"/>
              </w:rPr>
              <w:t>提供分项报价明细表</w:t>
            </w:r>
            <w:r>
              <w:rPr>
                <w:rFonts w:hint="eastAsia" w:ascii="仿宋_GB2312" w:hAnsi="仿宋_GB2312" w:eastAsia="仿宋_GB2312" w:cs="仿宋_GB2312"/>
                <w:color w:val="auto"/>
                <w:sz w:val="28"/>
                <w:szCs w:val="28"/>
                <w:lang w:val="en-US" w:eastAsia="zh-CN"/>
              </w:rPr>
              <w:t>。</w:t>
            </w:r>
          </w:p>
        </w:tc>
      </w:tr>
      <w:tr w14:paraId="58C22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858" w:type="dxa"/>
            <w:vAlign w:val="center"/>
          </w:tcPr>
          <w:p w14:paraId="355516E0">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w:t>
            </w:r>
          </w:p>
        </w:tc>
        <w:tc>
          <w:tcPr>
            <w:tcW w:w="1870" w:type="dxa"/>
            <w:shd w:val="clear" w:color="auto" w:fill="auto"/>
            <w:vAlign w:val="center"/>
          </w:tcPr>
          <w:p w14:paraId="2E20FF29">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服务耗材费</w:t>
            </w:r>
          </w:p>
        </w:tc>
        <w:tc>
          <w:tcPr>
            <w:tcW w:w="2317" w:type="dxa"/>
            <w:vAlign w:val="center"/>
          </w:tcPr>
          <w:p w14:paraId="4393838B">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p>
        </w:tc>
        <w:tc>
          <w:tcPr>
            <w:tcW w:w="3167" w:type="dxa"/>
            <w:vAlign w:val="center"/>
          </w:tcPr>
          <w:p w14:paraId="573A5A58">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详见采购需求中的“（五）服务耗材”</w:t>
            </w:r>
          </w:p>
        </w:tc>
      </w:tr>
      <w:tr w14:paraId="2DD76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858" w:type="dxa"/>
            <w:vAlign w:val="center"/>
          </w:tcPr>
          <w:p w14:paraId="0CBC452E">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w:t>
            </w:r>
          </w:p>
        </w:tc>
        <w:tc>
          <w:tcPr>
            <w:tcW w:w="1870" w:type="dxa"/>
            <w:shd w:val="clear" w:color="auto" w:fill="auto"/>
            <w:vAlign w:val="center"/>
          </w:tcPr>
          <w:p w14:paraId="701193E9">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机械设备费</w:t>
            </w:r>
          </w:p>
        </w:tc>
        <w:tc>
          <w:tcPr>
            <w:tcW w:w="2317" w:type="dxa"/>
            <w:vAlign w:val="center"/>
          </w:tcPr>
          <w:p w14:paraId="5F478733">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p>
        </w:tc>
        <w:tc>
          <w:tcPr>
            <w:tcW w:w="3167" w:type="dxa"/>
            <w:vAlign w:val="center"/>
          </w:tcPr>
          <w:p w14:paraId="7CE43E78">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详见采购需求中的“（六）机械设备”</w:t>
            </w:r>
          </w:p>
        </w:tc>
      </w:tr>
      <w:tr w14:paraId="7C641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858" w:type="dxa"/>
            <w:vAlign w:val="center"/>
          </w:tcPr>
          <w:p w14:paraId="1D550074">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w:t>
            </w:r>
          </w:p>
        </w:tc>
        <w:tc>
          <w:tcPr>
            <w:tcW w:w="1870" w:type="dxa"/>
            <w:shd w:val="clear" w:color="auto" w:fill="auto"/>
            <w:vAlign w:val="center"/>
          </w:tcPr>
          <w:p w14:paraId="162CB77B">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其他费用</w:t>
            </w:r>
          </w:p>
        </w:tc>
        <w:tc>
          <w:tcPr>
            <w:tcW w:w="2317" w:type="dxa"/>
            <w:vAlign w:val="center"/>
          </w:tcPr>
          <w:p w14:paraId="456B2438">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p>
        </w:tc>
        <w:tc>
          <w:tcPr>
            <w:tcW w:w="3167" w:type="dxa"/>
            <w:vAlign w:val="center"/>
          </w:tcPr>
          <w:p w14:paraId="456FB94B">
            <w:pPr>
              <w:keepLines w:val="0"/>
              <w:pageBreakBefore w:val="0"/>
              <w:widowControl w:val="0"/>
              <w:kinsoku/>
              <w:wordWrap/>
              <w:overflowPunct/>
              <w:topLinePunct w:val="0"/>
              <w:autoSpaceDE w:val="0"/>
              <w:autoSpaceDN w:val="0"/>
              <w:bidi w:val="0"/>
              <w:spacing w:after="0" w:line="480" w:lineRule="exact"/>
              <w:jc w:val="left"/>
              <w:textAlignment w:val="auto"/>
              <w:outlineLvl w:val="1"/>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包含</w:t>
            </w:r>
            <w:r>
              <w:rPr>
                <w:rFonts w:hint="eastAsia" w:ascii="仿宋_GB2312" w:hAnsi="仿宋_GB2312" w:eastAsia="仿宋_GB2312" w:cs="仿宋_GB2312"/>
                <w:color w:val="auto"/>
                <w:sz w:val="28"/>
                <w:szCs w:val="28"/>
              </w:rPr>
              <w:t>行政办公费</w:t>
            </w:r>
            <w:r>
              <w:rPr>
                <w:rFonts w:hint="eastAsia" w:ascii="仿宋_GB2312" w:hAnsi="仿宋_GB2312" w:eastAsia="仿宋_GB2312" w:cs="仿宋_GB2312"/>
                <w:color w:val="auto"/>
                <w:sz w:val="28"/>
                <w:szCs w:val="28"/>
                <w:lang w:val="en-US" w:eastAsia="zh-CN"/>
              </w:rPr>
              <w:t>（人员服装费、办公用品、劳保用品、培训费）、</w:t>
            </w:r>
            <w:r>
              <w:rPr>
                <w:rFonts w:hint="eastAsia" w:ascii="仿宋_GB2312" w:hAnsi="仿宋_GB2312" w:eastAsia="仿宋_GB2312" w:cs="仿宋_GB2312"/>
                <w:color w:val="auto"/>
                <w:sz w:val="28"/>
                <w:szCs w:val="28"/>
              </w:rPr>
              <w:t>管理费、利润及采购文件中约定应由</w:t>
            </w:r>
            <w:r>
              <w:rPr>
                <w:rFonts w:hint="eastAsia" w:ascii="仿宋_GB2312" w:hAnsi="仿宋_GB2312" w:eastAsia="仿宋_GB2312" w:cs="仿宋_GB2312"/>
                <w:color w:val="auto"/>
                <w:sz w:val="28"/>
                <w:szCs w:val="28"/>
                <w:lang w:val="en-US" w:eastAsia="zh-CN"/>
              </w:rPr>
              <w:t>投标人</w:t>
            </w:r>
            <w:r>
              <w:rPr>
                <w:rFonts w:hint="eastAsia" w:ascii="仿宋_GB2312" w:hAnsi="仿宋_GB2312" w:eastAsia="仿宋_GB2312" w:cs="仿宋_GB2312"/>
                <w:color w:val="auto"/>
                <w:sz w:val="28"/>
                <w:szCs w:val="28"/>
              </w:rPr>
              <w:t>完成的本项目全部服务内容所需全部费用</w:t>
            </w:r>
          </w:p>
        </w:tc>
      </w:tr>
      <w:tr w14:paraId="32A9D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858" w:type="dxa"/>
            <w:vAlign w:val="center"/>
          </w:tcPr>
          <w:p w14:paraId="6346C38C">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w:t>
            </w:r>
          </w:p>
        </w:tc>
        <w:tc>
          <w:tcPr>
            <w:tcW w:w="1870" w:type="dxa"/>
            <w:shd w:val="clear" w:color="auto" w:fill="auto"/>
            <w:vAlign w:val="center"/>
          </w:tcPr>
          <w:p w14:paraId="0F6A18AB">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税费</w:t>
            </w:r>
          </w:p>
        </w:tc>
        <w:tc>
          <w:tcPr>
            <w:tcW w:w="2317" w:type="dxa"/>
            <w:vAlign w:val="center"/>
          </w:tcPr>
          <w:p w14:paraId="156F17EB">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p>
        </w:tc>
        <w:tc>
          <w:tcPr>
            <w:tcW w:w="3167" w:type="dxa"/>
            <w:vAlign w:val="center"/>
          </w:tcPr>
          <w:p w14:paraId="17C38D88">
            <w:pPr>
              <w:keepLines w:val="0"/>
              <w:pageBreakBefore w:val="0"/>
              <w:widowControl w:val="0"/>
              <w:kinsoku/>
              <w:wordWrap/>
              <w:overflowPunct/>
              <w:topLinePunct w:val="0"/>
              <w:autoSpaceDE w:val="0"/>
              <w:autoSpaceDN w:val="0"/>
              <w:bidi w:val="0"/>
              <w:spacing w:after="0" w:line="480" w:lineRule="exact"/>
              <w:jc w:val="left"/>
              <w:textAlignment w:val="auto"/>
              <w:outlineLvl w:val="1"/>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highlight w:val="none"/>
                <w:lang w:val="en-US" w:eastAsia="zh-CN"/>
              </w:rPr>
              <w:t>按投标人本年度在税务系统增值税纳税人身份计算投标报价的税费</w:t>
            </w:r>
          </w:p>
        </w:tc>
      </w:tr>
      <w:tr w14:paraId="59699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2728" w:type="dxa"/>
            <w:gridSpan w:val="2"/>
            <w:vAlign w:val="center"/>
          </w:tcPr>
          <w:p w14:paraId="26A775E7">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default"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合计</w:t>
            </w:r>
            <w:r>
              <w:rPr>
                <w:rFonts w:hint="eastAsia" w:ascii="仿宋_GB2312" w:hAnsi="仿宋_GB2312" w:eastAsia="仿宋_GB2312" w:cs="仿宋_GB2312"/>
                <w:color w:val="auto"/>
                <w:sz w:val="32"/>
                <w:szCs w:val="32"/>
                <w:lang w:val="en-US" w:eastAsia="zh-CN"/>
              </w:rPr>
              <w:t>（元/年）</w:t>
            </w:r>
          </w:p>
        </w:tc>
        <w:tc>
          <w:tcPr>
            <w:tcW w:w="5484" w:type="dxa"/>
            <w:gridSpan w:val="2"/>
            <w:vAlign w:val="center"/>
          </w:tcPr>
          <w:p w14:paraId="681F065A">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p>
        </w:tc>
      </w:tr>
      <w:tr w14:paraId="77015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8212" w:type="dxa"/>
            <w:gridSpan w:val="4"/>
            <w:vAlign w:val="center"/>
          </w:tcPr>
          <w:p w14:paraId="1A9A073E">
            <w:pPr>
              <w:keepLines w:val="0"/>
              <w:pageBreakBefore w:val="0"/>
              <w:widowControl w:val="0"/>
              <w:kinsoku/>
              <w:wordWrap/>
              <w:overflowPunct/>
              <w:topLinePunct w:val="0"/>
              <w:autoSpaceDE w:val="0"/>
              <w:autoSpaceDN w:val="0"/>
              <w:bidi w:val="0"/>
              <w:spacing w:after="0" w:line="480" w:lineRule="exact"/>
              <w:jc w:val="both"/>
              <w:textAlignment w:val="auto"/>
              <w:outlineLvl w:val="1"/>
              <w:rPr>
                <w:rFonts w:hint="default"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auto"/>
                <w:sz w:val="32"/>
                <w:szCs w:val="32"/>
                <w:lang w:val="en-US" w:eastAsia="zh-CN"/>
              </w:rPr>
              <w:t>备注：</w:t>
            </w:r>
          </w:p>
          <w:p w14:paraId="203AAFA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1.投标人</w:t>
            </w:r>
            <w:r>
              <w:rPr>
                <w:rFonts w:hint="default" w:ascii="仿宋_GB2312" w:hAnsi="仿宋_GB2312" w:eastAsia="仿宋_GB2312" w:cs="仿宋_GB2312"/>
                <w:color w:val="auto"/>
                <w:sz w:val="32"/>
                <w:szCs w:val="32"/>
                <w:lang w:val="en-US" w:eastAsia="zh-CN"/>
              </w:rPr>
              <w:t>应按“</w:t>
            </w:r>
            <w:r>
              <w:rPr>
                <w:rFonts w:hint="eastAsia" w:ascii="仿宋_GB2312" w:hAnsi="仿宋_GB2312" w:eastAsia="仿宋_GB2312" w:cs="仿宋_GB2312"/>
                <w:color w:val="auto"/>
                <w:sz w:val="32"/>
                <w:szCs w:val="32"/>
                <w:lang w:val="en-US" w:eastAsia="zh-CN"/>
              </w:rPr>
              <w:t>开标一览表明细</w:t>
            </w:r>
            <w:r>
              <w:rPr>
                <w:rFonts w:hint="default" w:ascii="仿宋_GB2312" w:hAnsi="仿宋_GB2312" w:eastAsia="仿宋_GB2312" w:cs="仿宋_GB2312"/>
                <w:color w:val="auto"/>
                <w:sz w:val="32"/>
                <w:szCs w:val="32"/>
                <w:lang w:val="en-US" w:eastAsia="zh-CN"/>
              </w:rPr>
              <w:t>”的格式详细报出总价的各个组成部分的报价</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各项报价金额不得为0。</w:t>
            </w:r>
            <w:r>
              <w:rPr>
                <w:rFonts w:hint="default" w:ascii="仿宋_GB2312" w:hAnsi="仿宋_GB2312" w:eastAsia="仿宋_GB2312" w:cs="仿宋_GB2312"/>
                <w:b/>
                <w:bCs/>
                <w:color w:val="auto"/>
                <w:sz w:val="32"/>
                <w:szCs w:val="32"/>
                <w:lang w:val="en-US" w:eastAsia="zh-CN"/>
              </w:rPr>
              <w:t>否则视为未实质性响应作废标处理</w:t>
            </w:r>
            <w:r>
              <w:rPr>
                <w:rFonts w:hint="eastAsia" w:ascii="仿宋_GB2312" w:hAnsi="仿宋_GB2312" w:eastAsia="仿宋_GB2312" w:cs="仿宋_GB2312"/>
                <w:b/>
                <w:bCs/>
                <w:color w:val="auto"/>
                <w:sz w:val="32"/>
                <w:szCs w:val="32"/>
                <w:lang w:val="en-US" w:eastAsia="zh-CN"/>
              </w:rPr>
              <w:t>。</w:t>
            </w:r>
          </w:p>
          <w:p w14:paraId="3E5E5699">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2.“人工费”须提供分项报价明细表（格式自拟），未提供“人工费”分项报价明细表的，</w:t>
            </w:r>
            <w:r>
              <w:rPr>
                <w:rFonts w:hint="eastAsia" w:ascii="仿宋_GB2312" w:hAnsi="仿宋_GB2312" w:eastAsia="仿宋_GB2312" w:cs="仿宋_GB2312"/>
                <w:b/>
                <w:bCs/>
                <w:color w:val="auto"/>
                <w:sz w:val="32"/>
                <w:szCs w:val="32"/>
                <w:lang w:val="en-US" w:eastAsia="zh-CN"/>
              </w:rPr>
              <w:t>视为未实质性响应作废标处理。</w:t>
            </w:r>
          </w:p>
          <w:p w14:paraId="11161A3A">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color w:val="auto"/>
                <w:sz w:val="32"/>
                <w:szCs w:val="32"/>
                <w:lang w:val="en-US" w:eastAsia="zh-CN"/>
              </w:rPr>
              <w:t>3.本项目开标截止日若涉及最低工资标准、社会保险缴费基数及缴费比例有最新政策则执行最新政策，</w:t>
            </w:r>
            <w:r>
              <w:rPr>
                <w:rFonts w:hint="default" w:ascii="仿宋_GB2312" w:hAnsi="仿宋_GB2312" w:eastAsia="仿宋_GB2312" w:cs="仿宋_GB2312"/>
                <w:b/>
                <w:bCs/>
                <w:color w:val="auto"/>
                <w:sz w:val="32"/>
                <w:szCs w:val="32"/>
                <w:lang w:val="en-US" w:eastAsia="zh-CN"/>
              </w:rPr>
              <w:t>否则视为未实质性响应作废标处理。</w:t>
            </w:r>
          </w:p>
          <w:p w14:paraId="20D747C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4.投标报价不得高于最高限价，</w:t>
            </w:r>
            <w:r>
              <w:rPr>
                <w:rFonts w:hint="default" w:ascii="仿宋_GB2312" w:hAnsi="仿宋_GB2312" w:eastAsia="仿宋_GB2312" w:cs="仿宋_GB2312"/>
                <w:b/>
                <w:bCs/>
                <w:color w:val="auto"/>
                <w:sz w:val="32"/>
                <w:szCs w:val="32"/>
                <w:lang w:val="en-US" w:eastAsia="zh-CN"/>
              </w:rPr>
              <w:t>否则视为未实质性响应作废标处理。</w:t>
            </w:r>
          </w:p>
          <w:p w14:paraId="7C19CF61">
            <w:pPr>
              <w:keepLines w:val="0"/>
              <w:pageBreakBefore w:val="0"/>
              <w:widowControl w:val="0"/>
              <w:kinsoku/>
              <w:wordWrap/>
              <w:overflowPunct/>
              <w:topLinePunct w:val="0"/>
              <w:autoSpaceDE w:val="0"/>
              <w:autoSpaceDN w:val="0"/>
              <w:bidi w:val="0"/>
              <w:spacing w:after="0" w:line="480" w:lineRule="exact"/>
              <w:ind w:firstLine="320" w:firstLineChars="100"/>
              <w:jc w:val="both"/>
              <w:textAlignment w:val="auto"/>
              <w:outlineLvl w:val="1"/>
              <w:rPr>
                <w:rFonts w:hint="default" w:ascii="仿宋_GB2312" w:hAnsi="仿宋_GB2312" w:eastAsia="仿宋_GB2312" w:cs="仿宋_GB2312"/>
                <w:b/>
                <w:bCs/>
                <w:color w:val="auto"/>
                <w:sz w:val="32"/>
                <w:szCs w:val="32"/>
                <w:lang w:val="en-US" w:eastAsia="zh-CN"/>
              </w:rPr>
            </w:pPr>
            <w:r>
              <w:rPr>
                <w:rFonts w:hint="default" w:ascii="仿宋_GB2312" w:hAnsi="仿宋_GB2312" w:eastAsia="仿宋_GB2312" w:cs="仿宋_GB2312"/>
                <w:b w:val="0"/>
                <w:bCs w:val="0"/>
                <w:color w:val="auto"/>
                <w:sz w:val="32"/>
                <w:szCs w:val="32"/>
                <w:lang w:val="en-US" w:eastAsia="zh-CN"/>
              </w:rPr>
              <w:t>5.《开标一览表明细》列明的内容必须按要求填写，未按照本表要求如实填写或填写错误的，所产生的一切后果由投标人承担。</w:t>
            </w:r>
          </w:p>
        </w:tc>
      </w:tr>
    </w:tbl>
    <w:p w14:paraId="53B02045">
      <w:pPr>
        <w:keepLines w:val="0"/>
        <w:pageBreakBefore w:val="0"/>
        <w:widowControl w:val="0"/>
        <w:kinsoku/>
        <w:wordWrap/>
        <w:overflowPunct/>
        <w:topLinePunct w:val="0"/>
        <w:autoSpaceDE w:val="0"/>
        <w:autoSpaceDN w:val="0"/>
        <w:bidi w:val="0"/>
        <w:spacing w:after="0" w:line="480" w:lineRule="exact"/>
        <w:ind w:firstLine="640" w:firstLineChars="200"/>
        <w:jc w:val="both"/>
        <w:textAlignment w:val="auto"/>
        <w:outlineLvl w:val="1"/>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投标人自行测算对各项费用的报价，中标后每月需提供员工工资花名册（工资支付台账）及社保缴纳凭证备查。如出现实际支付的（人员工资及社保费用）人员费用与投标文件《开标一览表明细》中人员的数量、社会保险费数量不足的，采购人在支付物业服务费时将进行相应的扣减。</w:t>
      </w:r>
    </w:p>
    <w:p w14:paraId="11AA0390">
      <w:pPr>
        <w:keepLines w:val="0"/>
        <w:pageBreakBefore w:val="0"/>
        <w:widowControl w:val="0"/>
        <w:kinsoku/>
        <w:wordWrap/>
        <w:overflowPunct/>
        <w:topLinePunct w:val="0"/>
        <w:autoSpaceDE w:val="0"/>
        <w:autoSpaceDN w:val="0"/>
        <w:bidi w:val="0"/>
        <w:spacing w:after="0" w:line="480" w:lineRule="exact"/>
        <w:ind w:firstLine="643" w:firstLineChars="200"/>
        <w:jc w:val="both"/>
        <w:textAlignment w:val="auto"/>
        <w:outlineLvl w:val="1"/>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5.评标委员会认为投标人的报价明显低于其他通过符合性审查投标人的报价，有可能影响服务质量或者不能诚信履约的，应当要求其在评标现场合理的时间内提供书面的成本分析说明</w:t>
      </w:r>
      <w:r>
        <w:rPr>
          <w:rFonts w:hint="eastAsia" w:ascii="仿宋_GB2312" w:hAnsi="仿宋_GB2312" w:eastAsia="仿宋_GB2312" w:cs="仿宋_GB2312"/>
          <w:b/>
          <w:bCs/>
          <w:color w:val="auto"/>
          <w:sz w:val="32"/>
          <w:szCs w:val="32"/>
          <w:highlight w:val="none"/>
          <w:lang w:val="en-US" w:eastAsia="zh-CN"/>
        </w:rPr>
        <w:t>（包含人员成本分析、购置机械设备成本分析、服务耗材成本分析、其他费用成本分析），必要时提交相关证明材料；投标人不能证明其报价合理性的，评标</w:t>
      </w:r>
      <w:r>
        <w:rPr>
          <w:rFonts w:hint="eastAsia" w:ascii="仿宋_GB2312" w:hAnsi="仿宋_GB2312" w:eastAsia="仿宋_GB2312" w:cs="仿宋_GB2312"/>
          <w:b/>
          <w:bCs/>
          <w:color w:val="auto"/>
          <w:sz w:val="32"/>
          <w:szCs w:val="32"/>
          <w:lang w:val="en-US" w:eastAsia="zh-CN"/>
        </w:rPr>
        <w:t>委员会应当将其作废标处理。</w:t>
      </w:r>
    </w:p>
    <w:p w14:paraId="14DF50BF">
      <w:pPr>
        <w:keepLines w:val="0"/>
        <w:pageBreakBefore w:val="0"/>
        <w:widowControl w:val="0"/>
        <w:kinsoku/>
        <w:wordWrap/>
        <w:overflowPunct/>
        <w:topLinePunct w:val="0"/>
        <w:bidi w:val="0"/>
        <w:spacing w:after="0" w:line="480" w:lineRule="exact"/>
        <w:ind w:firstLine="640"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如中标后，</w:t>
      </w:r>
      <w:r>
        <w:rPr>
          <w:rFonts w:hint="eastAsia" w:ascii="仿宋_GB2312" w:hAnsi="仿宋_GB2312" w:eastAsia="仿宋_GB2312" w:cs="仿宋_GB2312"/>
          <w:color w:val="auto"/>
          <w:sz w:val="32"/>
          <w:szCs w:val="32"/>
          <w:lang w:val="en-US" w:eastAsia="zh-CN"/>
        </w:rPr>
        <w:t>中标供应商</w:t>
      </w:r>
      <w:r>
        <w:rPr>
          <w:rFonts w:hint="eastAsia" w:ascii="仿宋_GB2312" w:hAnsi="仿宋_GB2312" w:eastAsia="仿宋_GB2312" w:cs="仿宋_GB2312"/>
          <w:color w:val="auto"/>
          <w:sz w:val="32"/>
          <w:szCs w:val="32"/>
        </w:rPr>
        <w:t>因物业服务费用问题无法正常履约的，视为虚假响应，采购人有权随时终止合同，并将相关情况上报</w:t>
      </w:r>
      <w:r>
        <w:rPr>
          <w:rFonts w:hint="eastAsia" w:ascii="仿宋_GB2312" w:hAnsi="仿宋_GB2312" w:eastAsia="仿宋_GB2312" w:cs="仿宋_GB2312"/>
          <w:color w:val="auto"/>
          <w:sz w:val="32"/>
          <w:szCs w:val="32"/>
          <w:lang w:val="en-US" w:eastAsia="zh-CN"/>
        </w:rPr>
        <w:t>至</w:t>
      </w:r>
      <w:r>
        <w:rPr>
          <w:rFonts w:hint="eastAsia" w:ascii="仿宋_GB2312" w:hAnsi="仿宋_GB2312" w:eastAsia="仿宋_GB2312" w:cs="仿宋_GB2312"/>
          <w:color w:val="auto"/>
          <w:sz w:val="32"/>
          <w:szCs w:val="32"/>
        </w:rPr>
        <w:t>财政部门。</w:t>
      </w:r>
    </w:p>
    <w:p w14:paraId="6A49D2C0">
      <w:pPr>
        <w:keepLines w:val="0"/>
        <w:pageBreakBefore w:val="0"/>
        <w:widowControl w:val="0"/>
        <w:kinsoku/>
        <w:wordWrap/>
        <w:overflowPunct/>
        <w:topLinePunct w:val="0"/>
        <w:bidi w:val="0"/>
        <w:spacing w:after="0" w:line="480" w:lineRule="exact"/>
        <w:ind w:firstLine="643" w:firstLineChars="200"/>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（八）保密要求</w:t>
      </w:r>
    </w:p>
    <w:p w14:paraId="654019A6">
      <w:pPr>
        <w:keepLines w:val="0"/>
        <w:pageBreakBefore w:val="0"/>
        <w:widowControl w:val="0"/>
        <w:kinsoku/>
        <w:wordWrap/>
        <w:overflowPunct/>
        <w:topLinePunct w:val="0"/>
        <w:bidi w:val="0"/>
        <w:spacing w:after="0" w:line="4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1.建立保密管理制度。制度内容应当包括但不限于：①明确重点要害岗位保密职责。②对涉密工作岗位的保密要求。</w:t>
      </w:r>
    </w:p>
    <w:p w14:paraId="46ECCD21">
      <w:pPr>
        <w:keepLines w:val="0"/>
        <w:pageBreakBefore w:val="0"/>
        <w:widowControl w:val="0"/>
        <w:kinsoku/>
        <w:wordWrap/>
        <w:overflowPunct/>
        <w:topLinePunct w:val="0"/>
        <w:bidi w:val="0"/>
        <w:spacing w:after="0" w:line="4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2.根据采购人要求与涉密工作岗位的服务人员签订保密协议。保密协议应当向采购人报备</w:t>
      </w:r>
      <w:r>
        <w:rPr>
          <w:rFonts w:hint="eastAsia" w:ascii="仿宋_GB2312" w:hAnsi="仿宋_GB2312" w:eastAsia="仿宋_GB2312" w:cs="仿宋_GB2312"/>
          <w:color w:val="auto"/>
          <w:sz w:val="28"/>
          <w:szCs w:val="28"/>
          <w:lang w:eastAsia="zh-CN"/>
        </w:rPr>
        <w:t>。</w:t>
      </w:r>
      <w:r>
        <w:rPr>
          <w:rFonts w:hint="eastAsia" w:ascii="仿宋_GB2312" w:hAnsi="仿宋_GB2312" w:eastAsia="仿宋_GB2312" w:cs="仿宋_GB2312"/>
          <w:color w:val="auto"/>
          <w:sz w:val="28"/>
          <w:szCs w:val="28"/>
        </w:rPr>
        <w:t xml:space="preserve"> </w:t>
      </w:r>
    </w:p>
    <w:p w14:paraId="62B1D497">
      <w:pPr>
        <w:keepLines w:val="0"/>
        <w:pageBreakBefore w:val="0"/>
        <w:widowControl w:val="0"/>
        <w:kinsoku/>
        <w:wordWrap/>
        <w:overflowPunct/>
        <w:topLinePunct w:val="0"/>
        <w:bidi w:val="0"/>
        <w:spacing w:after="0" w:line="4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3.每季度至少开展 1 次对服务人员进行保密、思想政治教育的培训，提高服务人员保密意识和思想政治意识。新入职员工应当接受保密、思想政治教育培训，进行必要的人员经历审查，合格后签订保密协议方可上岗。</w:t>
      </w:r>
    </w:p>
    <w:p w14:paraId="52E5883F">
      <w:pPr>
        <w:keepLines w:val="0"/>
        <w:pageBreakBefore w:val="0"/>
        <w:widowControl w:val="0"/>
        <w:kinsoku/>
        <w:wordWrap/>
        <w:overflowPunct/>
        <w:topLinePunct w:val="0"/>
        <w:bidi w:val="0"/>
        <w:spacing w:after="0" w:line="480" w:lineRule="exact"/>
        <w:ind w:firstLine="560" w:firstLineChars="200"/>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4.发现服务人员违法违规或重大过失，及时报告采购人，并采取必要补救措施。</w:t>
      </w:r>
    </w:p>
    <w:p w14:paraId="336220AC">
      <w:pPr>
        <w:keepLines w:val="0"/>
        <w:pageBreakBefore w:val="0"/>
        <w:widowControl w:val="0"/>
        <w:kinsoku/>
        <w:wordWrap/>
        <w:overflowPunct/>
        <w:topLinePunct w:val="0"/>
        <w:bidi w:val="0"/>
        <w:spacing w:after="0" w:line="480" w:lineRule="exact"/>
        <w:ind w:firstLine="643" w:firstLineChars="200"/>
        <w:textAlignment w:val="auto"/>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（九）其他要求</w:t>
      </w:r>
    </w:p>
    <w:p w14:paraId="0E70DFD4">
      <w:pPr>
        <w:keepLines w:val="0"/>
        <w:pageBreakBefore w:val="0"/>
        <w:widowControl w:val="0"/>
        <w:kinsoku/>
        <w:wordWrap/>
        <w:overflowPunct/>
        <w:topLinePunct w:val="0"/>
        <w:bidi w:val="0"/>
        <w:spacing w:after="0" w:line="48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投标人须在投标文件中提供</w:t>
      </w:r>
      <w:r>
        <w:rPr>
          <w:rFonts w:hint="eastAsia" w:ascii="仿宋_GB2312" w:hAnsi="仿宋_GB2312" w:eastAsia="仿宋_GB2312" w:cs="仿宋_GB2312"/>
          <w:color w:val="auto"/>
          <w:sz w:val="28"/>
          <w:szCs w:val="28"/>
          <w:shd w:val="clear" w:color="auto" w:fill="FFFFFF"/>
        </w:rPr>
        <w:t>物业管理服务方案，包括但不限于以下内容：采购项目的物业服务整体实施方案、卫生保洁方案、绿化养护方案</w:t>
      </w:r>
      <w:r>
        <w:rPr>
          <w:rFonts w:hint="eastAsia" w:ascii="仿宋_GB2312" w:hAnsi="仿宋_GB2312" w:eastAsia="仿宋_GB2312" w:cs="仿宋_GB2312"/>
          <w:color w:val="auto"/>
          <w:sz w:val="28"/>
          <w:szCs w:val="28"/>
          <w:shd w:val="clear" w:color="auto" w:fill="FFFFFF"/>
          <w:lang w:eastAsia="zh-CN"/>
        </w:rPr>
        <w:t>、</w:t>
      </w:r>
      <w:r>
        <w:rPr>
          <w:rFonts w:hint="eastAsia" w:ascii="仿宋_GB2312" w:hAnsi="仿宋_GB2312" w:eastAsia="仿宋_GB2312" w:cs="仿宋_GB2312"/>
          <w:color w:val="auto"/>
          <w:sz w:val="28"/>
          <w:szCs w:val="28"/>
          <w:shd w:val="clear" w:color="auto" w:fill="FFFFFF"/>
        </w:rPr>
        <w:t>病媒防制（疫情防控）方案、各类处理突发预案、内部规章管理制度（包括人员考核制度，培训制度等)以及本项目涉及的其他有关服务方案。</w:t>
      </w:r>
    </w:p>
    <w:p w14:paraId="58EEC927">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b/>
          <w:color w:val="auto"/>
          <w:sz w:val="32"/>
          <w:szCs w:val="32"/>
        </w:rPr>
      </w:pPr>
    </w:p>
    <w:p w14:paraId="6073AA5F">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b/>
          <w:color w:val="auto"/>
          <w:sz w:val="32"/>
          <w:szCs w:val="32"/>
        </w:rPr>
      </w:pPr>
    </w:p>
    <w:p w14:paraId="4AC0C4CD">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b/>
          <w:color w:val="auto"/>
          <w:sz w:val="32"/>
          <w:szCs w:val="32"/>
        </w:rPr>
      </w:pPr>
    </w:p>
    <w:p w14:paraId="36112336">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b/>
          <w:color w:val="auto"/>
          <w:sz w:val="32"/>
          <w:szCs w:val="32"/>
        </w:rPr>
      </w:pPr>
    </w:p>
    <w:p w14:paraId="202C8C95">
      <w:pPr>
        <w:keepLines w:val="0"/>
        <w:pageBreakBefore w:val="0"/>
        <w:widowControl w:val="0"/>
        <w:kinsoku/>
        <w:wordWrap/>
        <w:overflowPunct/>
        <w:topLinePunct w:val="0"/>
        <w:bidi w:val="0"/>
        <w:spacing w:after="0" w:line="480" w:lineRule="exact"/>
        <w:jc w:val="both"/>
        <w:textAlignment w:val="auto"/>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三、商务要求</w:t>
      </w:r>
    </w:p>
    <w:p w14:paraId="65C2A543">
      <w:pPr>
        <w:keepNext w:val="0"/>
        <w:keepLines w:val="0"/>
        <w:widowControl/>
        <w:suppressLineNumbers w:val="0"/>
        <w:ind w:firstLine="643" w:firstLineChars="200"/>
        <w:jc w:val="left"/>
        <w:rPr>
          <w:rFonts w:hint="eastAsia"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b/>
          <w:color w:val="auto"/>
          <w:sz w:val="32"/>
          <w:szCs w:val="32"/>
        </w:rPr>
        <w:t>1.服务期限：</w:t>
      </w:r>
      <w:r>
        <w:rPr>
          <w:rFonts w:hint="eastAsia" w:ascii="仿宋_GB2312" w:hAnsi="仿宋_GB2312" w:eastAsia="仿宋_GB2312" w:cs="仿宋_GB2312"/>
          <w:color w:val="auto"/>
          <w:sz w:val="32"/>
          <w:szCs w:val="32"/>
          <w:shd w:val="clear" w:color="auto" w:fill="FFFFFF"/>
          <w:lang w:val="en-US" w:eastAsia="zh-CN"/>
        </w:rPr>
        <w:t>服务期限为两年。合同一年一签，根据考核情况，续签下一年合同。</w:t>
      </w:r>
    </w:p>
    <w:p w14:paraId="70269533">
      <w:pPr>
        <w:keepNext w:val="0"/>
        <w:keepLines w:val="0"/>
        <w:widowControl/>
        <w:suppressLineNumbers w:val="0"/>
        <w:ind w:firstLine="643" w:firstLineChars="200"/>
        <w:jc w:val="left"/>
        <w:rPr>
          <w:rFonts w:hint="eastAsia" w:ascii="仿宋_GB2312" w:hAnsi="仿宋_GB2312" w:eastAsia="宋体" w:cs="仿宋_GB2312"/>
          <w:b/>
          <w:color w:val="auto"/>
          <w:sz w:val="32"/>
          <w:szCs w:val="32"/>
          <w:highlight w:val="yellow"/>
          <w:lang w:eastAsia="zh-CN"/>
        </w:rPr>
      </w:pPr>
      <w:r>
        <w:rPr>
          <w:rFonts w:hint="eastAsia" w:ascii="仿宋_GB2312" w:hAnsi="仿宋_GB2312" w:eastAsia="仿宋_GB2312" w:cs="仿宋_GB2312"/>
          <w:b/>
          <w:color w:val="auto"/>
          <w:sz w:val="32"/>
          <w:szCs w:val="32"/>
        </w:rPr>
        <w:t>2.付款方式：</w:t>
      </w:r>
      <w:r>
        <w:rPr>
          <w:rFonts w:hint="eastAsia" w:ascii="仿宋_GB2312" w:hAnsi="仿宋_GB2312" w:eastAsia="仿宋_GB2312" w:cs="仿宋_GB2312"/>
          <w:color w:val="auto"/>
          <w:sz w:val="32"/>
          <w:szCs w:val="32"/>
          <w:highlight w:val="none"/>
        </w:rPr>
        <w:t>按月支付。</w:t>
      </w:r>
      <w:r>
        <w:rPr>
          <w:rFonts w:hint="eastAsia" w:ascii="仿宋_GB2312" w:hAnsi="仿宋_GB2312" w:eastAsia="仿宋_GB2312" w:cs="仿宋_GB2312"/>
          <w:b/>
          <w:color w:val="auto"/>
          <w:sz w:val="32"/>
          <w:szCs w:val="32"/>
          <w:highlight w:val="none"/>
        </w:rPr>
        <w:t>每个月月初根据上个月考核情况支付上个月物业服务管理费用</w:t>
      </w:r>
      <w:r>
        <w:rPr>
          <w:rFonts w:hint="eastAsia" w:ascii="仿宋_GB2312" w:hAnsi="仿宋_GB2312" w:eastAsia="仿宋_GB2312" w:cs="仿宋_GB2312"/>
          <w:b/>
          <w:color w:val="auto"/>
          <w:sz w:val="32"/>
          <w:szCs w:val="32"/>
          <w:highlight w:val="none"/>
          <w:lang w:eastAsia="zh-CN"/>
        </w:rPr>
        <w:t>。</w:t>
      </w:r>
    </w:p>
    <w:p w14:paraId="40AFA113">
      <w:pPr>
        <w:keepNext w:val="0"/>
        <w:keepLines w:val="0"/>
        <w:widowControl/>
        <w:suppressLineNumbers w:val="0"/>
        <w:ind w:firstLine="643"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rPr>
        <w:t>3.业绩：</w:t>
      </w:r>
      <w:r>
        <w:rPr>
          <w:rFonts w:hint="eastAsia" w:ascii="仿宋_GB2312" w:hAnsi="仿宋_GB2312" w:eastAsia="仿宋_GB2312" w:cs="仿宋_GB2312"/>
          <w:color w:val="auto"/>
          <w:sz w:val="32"/>
          <w:szCs w:val="32"/>
          <w:highlight w:val="none"/>
          <w:lang w:val="en-US" w:eastAsia="zh-CN"/>
        </w:rPr>
        <w:t>提供2个2023年1月1日至本项目开标之日（合同签订日期）</w:t>
      </w:r>
      <w:r>
        <w:rPr>
          <w:rFonts w:hint="eastAsia" w:ascii="仿宋_GB2312" w:hAnsi="仿宋_GB2312" w:eastAsia="仿宋_GB2312" w:cs="仿宋_GB2312"/>
          <w:color w:val="auto"/>
          <w:sz w:val="32"/>
          <w:szCs w:val="32"/>
          <w:lang w:val="en-US" w:eastAsia="zh-CN"/>
        </w:rPr>
        <w:t>止办公场所类</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须符合财政部办公厅关于印发《物业管理服务政府采购需求标准（办公场所类）（试行）的规定》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的业绩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以分公司名义参与投标的可提供总公司的业绩）</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bidi="ar-SA"/>
        </w:rPr>
        <w:t>合同须包含卫生保洁服务、绿化养护服务。</w:t>
      </w:r>
      <w:r>
        <w:rPr>
          <w:rFonts w:hint="eastAsia" w:ascii="仿宋_GB2312" w:hAnsi="仿宋_GB2312" w:eastAsia="仿宋_GB2312" w:cs="仿宋_GB2312"/>
          <w:b/>
          <w:bCs/>
          <w:color w:val="auto"/>
          <w:sz w:val="32"/>
          <w:szCs w:val="32"/>
        </w:rPr>
        <w:t>提供</w:t>
      </w:r>
      <w:r>
        <w:rPr>
          <w:rFonts w:hint="eastAsia" w:ascii="仿宋_GB2312" w:hAnsi="仿宋_GB2312" w:eastAsia="仿宋_GB2312" w:cs="仿宋_GB2312"/>
          <w:b/>
          <w:bCs/>
          <w:color w:val="auto"/>
          <w:sz w:val="32"/>
          <w:szCs w:val="32"/>
          <w:lang w:val="en-US" w:eastAsia="zh-CN"/>
        </w:rPr>
        <w:t>中标（成交）通知书</w:t>
      </w:r>
      <w:r>
        <w:rPr>
          <w:rFonts w:hint="eastAsia" w:ascii="仿宋_GB2312" w:hAnsi="仿宋_GB2312" w:eastAsia="仿宋_GB2312" w:cs="仿宋_GB2312"/>
          <w:b/>
          <w:bCs/>
          <w:color w:val="auto"/>
          <w:sz w:val="32"/>
          <w:szCs w:val="32"/>
        </w:rPr>
        <w:t>复印件或扫描件</w:t>
      </w:r>
      <w:r>
        <w:rPr>
          <w:rFonts w:hint="eastAsia" w:ascii="仿宋_GB2312" w:hAnsi="仿宋_GB2312" w:eastAsia="仿宋_GB2312" w:cs="仿宋_GB2312"/>
          <w:b/>
          <w:bCs/>
          <w:color w:val="auto"/>
          <w:sz w:val="32"/>
          <w:szCs w:val="32"/>
          <w:lang w:val="en-US" w:eastAsia="zh-CN"/>
        </w:rPr>
        <w:t>、</w:t>
      </w:r>
      <w:r>
        <w:rPr>
          <w:rFonts w:hint="eastAsia" w:ascii="仿宋_GB2312" w:hAnsi="仿宋_GB2312" w:eastAsia="仿宋_GB2312" w:cs="仿宋_GB2312"/>
          <w:b/>
          <w:bCs/>
          <w:color w:val="auto"/>
          <w:sz w:val="32"/>
          <w:szCs w:val="32"/>
        </w:rPr>
        <w:t>合同复印件或扫描件加盖投标人公章。</w:t>
      </w:r>
    </w:p>
    <w:p w14:paraId="0C2C7C8B">
      <w:pPr>
        <w:keepLines w:val="0"/>
        <w:pageBreakBefore w:val="0"/>
        <w:widowControl w:val="0"/>
        <w:kinsoku/>
        <w:wordWrap/>
        <w:overflowPunct/>
        <w:topLinePunct w:val="0"/>
        <w:bidi w:val="0"/>
        <w:spacing w:after="0" w:line="480" w:lineRule="exact"/>
        <w:ind w:firstLine="643" w:firstLineChars="200"/>
        <w:textAlignment w:val="auto"/>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4.进场时间：</w:t>
      </w:r>
      <w:r>
        <w:rPr>
          <w:rFonts w:hint="eastAsia" w:ascii="仿宋_GB2312" w:hAnsi="仿宋_GB2312" w:eastAsia="仿宋_GB2312" w:cs="仿宋_GB2312"/>
          <w:color w:val="auto"/>
          <w:sz w:val="32"/>
          <w:szCs w:val="32"/>
          <w:shd w:val="clear" w:color="auto" w:fill="FFFFFF"/>
        </w:rPr>
        <w:t>按采购人要求时间进场服务。</w:t>
      </w:r>
    </w:p>
    <w:p w14:paraId="693EA9B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楷体_GB2312">
    <w:altName w:val="宋体"/>
    <w:panose1 w:val="02000000000000000000"/>
    <w:charset w:val="86"/>
    <w:family w:val="auto"/>
    <w:pitch w:val="default"/>
    <w:sig w:usb0="00000000" w:usb1="00000000" w:usb2="00000012"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5EC85">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8EEC43">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6B8EEC43">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CFFC00"/>
    <w:multiLevelType w:val="singleLevel"/>
    <w:tmpl w:val="8FCFFC00"/>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496114"/>
    <w:rsid w:val="6C4961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paragraph" w:customStyle="1" w:styleId="8">
    <w:name w:val="列表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2026-03-30T09:01:00Z</dcterms:created>
  <dc:creator>lenovo</dc:creator>
  <cp:lastModifiedBy>lenovo</cp:lastModifiedBy>
  <dcterms:modified xsi:type="dcterms:W3CDTF">2026-03-30T09:03:41Z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2E3619AA169045DDA13835901DF93CF6_11</vt:lpwstr>
  </property>
  <property fmtid="{D5CDD505-2E9C-101B-9397-08002B2CF9AE}" pid="4" name="KSOTemplateDocerSaveRecord">
    <vt:lpwstr>eyJoZGlkIjoiOWJkYjhjMGMyNjMxOTkwNGFiNTIzOTUzMWNmNWI1NTIiLCJ1c2VySWQiOiI3OTIzODA5ODQifQ==</vt:lpwstr>
  </property>
</Properties>
</file>