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4"/>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包括采购人选定的材料供应商所供材料的运输、到现场的卸力及采购保管费用等)、临时设施(包括场地内施工用水、电及场内施工道路等)、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2"/>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jc w:val="center"/>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3ED677DD">
      <w:pPr>
        <w:adjustRightInd w:val="0"/>
        <w:spacing w:beforeAutospacing="0" w:line="360" w:lineRule="auto"/>
        <w:jc w:val="both"/>
        <w:rPr>
          <w:color w:val="auto"/>
          <w:sz w:val="24"/>
          <w:szCs w:val="24"/>
          <w:highlight w:val="none"/>
        </w:rPr>
      </w:pPr>
      <w:bookmarkStart w:id="1" w:name="bookmark82"/>
      <w:bookmarkEnd w:id="1"/>
      <w:r>
        <w:rPr>
          <w:rFonts w:hint="eastAsia"/>
          <w:color w:val="auto"/>
          <w:sz w:val="24"/>
          <w:szCs w:val="24"/>
          <w:highlight w:val="none"/>
        </w:rPr>
        <w:t>（一）技术规格（工程需求）</w:t>
      </w:r>
    </w:p>
    <w:p w14:paraId="2E0B4AED">
      <w:p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工程名称为泰和县螺溪镇三都至中房双车道改造工程（第2次），项目类型为公路项目，主要工程内容包括：原旧路拆除、新建道路工程。</w:t>
      </w:r>
    </w:p>
    <w:p w14:paraId="4065623D">
      <w:pPr>
        <w:numPr>
          <w:ilvl w:val="0"/>
          <w:numId w:val="1"/>
        </w:numPr>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工程量清单</w:t>
      </w:r>
    </w:p>
    <w:p w14:paraId="510145A1">
      <w:pPr>
        <w:keepNext w:val="0"/>
        <w:keepLines w:val="0"/>
        <w:widowControl/>
        <w:suppressLineNumbers w:val="0"/>
        <w:ind w:firstLineChars="100"/>
        <w:jc w:val="center"/>
        <w:textAlignment w:val="center"/>
        <w:rPr>
          <w:rStyle w:val="8"/>
          <w:rFonts w:hint="eastAsia"/>
          <w:i w:val="0"/>
          <w:iCs w:val="0"/>
          <w:color w:val="000000"/>
          <w:lang w:val="en-US" w:eastAsia="zh-CN" w:bidi="ar"/>
        </w:rPr>
      </w:pPr>
      <w:r>
        <w:rPr>
          <w:rStyle w:val="8"/>
          <w:rFonts w:hint="eastAsia"/>
          <w:i w:val="0"/>
          <w:iCs w:val="0"/>
          <w:color w:val="000000"/>
          <w:lang w:val="en-US" w:eastAsia="zh-CN" w:bidi="ar"/>
        </w:rPr>
        <w:t>招标控制价汇总表</w:t>
      </w:r>
    </w:p>
    <w:p w14:paraId="3971C7CE">
      <w:pPr>
        <w:keepNext w:val="0"/>
        <w:keepLines w:val="0"/>
        <w:widowControl/>
        <w:suppressLineNumbers w:val="0"/>
        <w:ind w:firstLineChars="100"/>
        <w:jc w:val="left"/>
        <w:textAlignment w:val="center"/>
        <w:rPr>
          <w:rFonts w:hint="eastAsia" w:eastAsiaTheme="minorEastAsia"/>
          <w:lang w:eastAsia="zh-CN"/>
        </w:rPr>
      </w:pPr>
      <w:r>
        <w:rPr>
          <w:rFonts w:hint="eastAsia"/>
          <w:lang w:eastAsia="zh-CN"/>
        </w:rPr>
        <w:t>项目名称：泰和县螺溪镇三都至中房双车道改造工程（第2次）</w:t>
      </w:r>
    </w:p>
    <w:tbl>
      <w:tblPr>
        <w:tblStyle w:val="4"/>
        <w:tblpPr w:leftFromText="180" w:rightFromText="180" w:vertAnchor="text" w:horzAnchor="page" w:tblpX="1458" w:tblpY="198"/>
        <w:tblOverlap w:val="never"/>
        <w:tblW w:w="950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46"/>
        <w:gridCol w:w="2699"/>
        <w:gridCol w:w="3330"/>
        <w:gridCol w:w="2532"/>
      </w:tblGrid>
      <w:tr w14:paraId="635CA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5043">
            <w:pPr>
              <w:keepNext w:val="0"/>
              <w:keepLines w:val="0"/>
              <w:widowControl/>
              <w:suppressLineNumbers w:val="0"/>
              <w:jc w:val="center"/>
              <w:textAlignment w:val="center"/>
              <w:rPr>
                <w:rFonts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序 </w:t>
            </w:r>
            <w:r>
              <w:rPr>
                <w:rStyle w:val="9"/>
                <w:lang w:val="en-US" w:eastAsia="zh-CN" w:bidi="ar"/>
              </w:rPr>
              <w:t xml:space="preserve">  号</w:t>
            </w:r>
          </w:p>
        </w:tc>
        <w:tc>
          <w:tcPr>
            <w:tcW w:w="2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B7B63">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章 </w:t>
            </w:r>
            <w:r>
              <w:rPr>
                <w:rStyle w:val="9"/>
                <w:lang w:val="en-US" w:eastAsia="zh-CN" w:bidi="ar"/>
              </w:rPr>
              <w:t xml:space="preserve">  次</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D49A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科 </w:t>
            </w:r>
            <w:r>
              <w:rPr>
                <w:rStyle w:val="9"/>
                <w:lang w:val="en-US" w:eastAsia="zh-CN" w:bidi="ar"/>
              </w:rPr>
              <w:t xml:space="preserve">   目   名   称</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26917">
            <w:pPr>
              <w:keepNext w:val="0"/>
              <w:keepLines w:val="0"/>
              <w:widowControl/>
              <w:suppressLineNumbers w:val="0"/>
              <w:ind w:firstLineChars="100"/>
              <w:jc w:val="right"/>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金额(元)</w:t>
            </w:r>
          </w:p>
        </w:tc>
      </w:tr>
      <w:tr w14:paraId="63EBA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E5DBE">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w:t>
            </w:r>
          </w:p>
        </w:tc>
        <w:tc>
          <w:tcPr>
            <w:tcW w:w="2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00079">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100</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978BB">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清单 第100章 </w:t>
            </w:r>
            <w:r>
              <w:rPr>
                <w:rStyle w:val="9"/>
                <w:lang w:val="en-US" w:eastAsia="zh-CN" w:bidi="ar"/>
              </w:rPr>
              <w:t xml:space="preserve">  总则</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8B2F1">
            <w:pPr>
              <w:jc w:val="right"/>
              <w:rPr>
                <w:rFonts w:hint="eastAsia" w:ascii="Arial Narrow" w:hAnsi="Arial Narrow" w:eastAsia="Arial Narrow" w:cs="Arial Narrow"/>
                <w:i w:val="0"/>
                <w:iCs w:val="0"/>
                <w:color w:val="000000"/>
                <w:sz w:val="18"/>
                <w:szCs w:val="18"/>
                <w:u w:val="none"/>
              </w:rPr>
            </w:pPr>
          </w:p>
        </w:tc>
      </w:tr>
      <w:tr w14:paraId="2D3F3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E713C">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w:t>
            </w:r>
          </w:p>
        </w:tc>
        <w:tc>
          <w:tcPr>
            <w:tcW w:w="2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0F82A">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200</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C4593">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清单 第200章 </w:t>
            </w:r>
            <w:r>
              <w:rPr>
                <w:rStyle w:val="9"/>
                <w:lang w:val="en-US" w:eastAsia="zh-CN" w:bidi="ar"/>
              </w:rPr>
              <w:t xml:space="preserve">  路基</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936C9">
            <w:pPr>
              <w:jc w:val="right"/>
              <w:rPr>
                <w:rFonts w:hint="default" w:ascii="Arial Narrow" w:hAnsi="Arial Narrow" w:eastAsia="Arial Narrow" w:cs="Arial Narrow"/>
                <w:i w:val="0"/>
                <w:iCs w:val="0"/>
                <w:color w:val="000000"/>
                <w:sz w:val="18"/>
                <w:szCs w:val="18"/>
                <w:u w:val="none"/>
              </w:rPr>
            </w:pPr>
          </w:p>
        </w:tc>
      </w:tr>
      <w:tr w14:paraId="238DA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1790">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w:t>
            </w:r>
          </w:p>
        </w:tc>
        <w:tc>
          <w:tcPr>
            <w:tcW w:w="2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011A1">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300</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F1996">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清单 第300章 </w:t>
            </w:r>
            <w:r>
              <w:rPr>
                <w:rStyle w:val="9"/>
                <w:lang w:val="en-US" w:eastAsia="zh-CN" w:bidi="ar"/>
              </w:rPr>
              <w:t xml:space="preserve">  路面（含平面交叉）</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A9380">
            <w:pPr>
              <w:jc w:val="right"/>
              <w:rPr>
                <w:rFonts w:hint="default" w:ascii="Arial Narrow" w:hAnsi="Arial Narrow" w:eastAsia="Arial Narrow" w:cs="Arial Narrow"/>
                <w:i w:val="0"/>
                <w:iCs w:val="0"/>
                <w:color w:val="000000"/>
                <w:sz w:val="18"/>
                <w:szCs w:val="18"/>
                <w:u w:val="none"/>
              </w:rPr>
            </w:pPr>
          </w:p>
        </w:tc>
      </w:tr>
      <w:tr w14:paraId="3AADA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1117D">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w:t>
            </w:r>
          </w:p>
        </w:tc>
        <w:tc>
          <w:tcPr>
            <w:tcW w:w="2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413BB">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400</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F3D9C">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清单 第400章 </w:t>
            </w:r>
            <w:r>
              <w:rPr>
                <w:rStyle w:val="9"/>
                <w:lang w:val="en-US" w:eastAsia="zh-CN" w:bidi="ar"/>
              </w:rPr>
              <w:t xml:space="preserve">  桥梁、涵洞</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B650F">
            <w:pPr>
              <w:jc w:val="right"/>
              <w:rPr>
                <w:rFonts w:hint="default" w:ascii="Arial Narrow" w:hAnsi="Arial Narrow" w:eastAsia="Arial Narrow" w:cs="Arial Narrow"/>
                <w:i w:val="0"/>
                <w:iCs w:val="0"/>
                <w:color w:val="000000"/>
                <w:sz w:val="18"/>
                <w:szCs w:val="18"/>
                <w:u w:val="none"/>
              </w:rPr>
            </w:pPr>
          </w:p>
        </w:tc>
      </w:tr>
      <w:tr w14:paraId="1E55A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4D7A6">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5</w:t>
            </w:r>
          </w:p>
        </w:tc>
        <w:tc>
          <w:tcPr>
            <w:tcW w:w="26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7EB5E">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600</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AD072">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 xml:space="preserve">清单 第600章 </w:t>
            </w:r>
            <w:r>
              <w:rPr>
                <w:rStyle w:val="9"/>
                <w:lang w:val="en-US" w:eastAsia="zh-CN" w:bidi="ar"/>
              </w:rPr>
              <w:t xml:space="preserve">  安全设施及预埋管线</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0C40">
            <w:pPr>
              <w:jc w:val="right"/>
              <w:rPr>
                <w:rFonts w:hint="default" w:ascii="Arial Narrow" w:hAnsi="Arial Narrow" w:eastAsia="Arial Narrow" w:cs="Arial Narrow"/>
                <w:i w:val="0"/>
                <w:iCs w:val="0"/>
                <w:color w:val="000000"/>
                <w:sz w:val="18"/>
                <w:szCs w:val="18"/>
                <w:u w:val="none"/>
              </w:rPr>
            </w:pPr>
          </w:p>
        </w:tc>
      </w:tr>
      <w:tr w14:paraId="4DCE8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D25AB">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6</w:t>
            </w:r>
          </w:p>
        </w:tc>
        <w:tc>
          <w:tcPr>
            <w:tcW w:w="6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9405CA">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第100章至700章清单合计</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0EBB0">
            <w:pPr>
              <w:jc w:val="right"/>
              <w:rPr>
                <w:rFonts w:hint="default" w:ascii="Arial Narrow" w:hAnsi="Arial Narrow" w:eastAsia="Arial Narrow" w:cs="Arial Narrow"/>
                <w:i w:val="0"/>
                <w:iCs w:val="0"/>
                <w:color w:val="000000"/>
                <w:sz w:val="18"/>
                <w:szCs w:val="18"/>
                <w:u w:val="none"/>
              </w:rPr>
            </w:pPr>
          </w:p>
        </w:tc>
      </w:tr>
      <w:tr w14:paraId="2F1E5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F79A0">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7</w:t>
            </w:r>
          </w:p>
        </w:tc>
        <w:tc>
          <w:tcPr>
            <w:tcW w:w="6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D9828A">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已包含在清单合计中的材料、工程设备、专业工程暂估价合计</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top"/>
          </w:tcPr>
          <w:p w14:paraId="22A1043A">
            <w:pPr>
              <w:jc w:val="left"/>
              <w:rPr>
                <w:rFonts w:hint="eastAsia" w:ascii="Arial" w:hAnsi="Arial" w:eastAsia="宋体" w:cs="Arial"/>
                <w:i w:val="0"/>
                <w:iCs w:val="0"/>
                <w:color w:val="000000"/>
                <w:sz w:val="22"/>
                <w:szCs w:val="22"/>
                <w:u w:val="none"/>
              </w:rPr>
            </w:pPr>
          </w:p>
        </w:tc>
      </w:tr>
      <w:tr w14:paraId="6EA51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BF9BC8">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8</w:t>
            </w:r>
          </w:p>
        </w:tc>
        <w:tc>
          <w:tcPr>
            <w:tcW w:w="6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9B9A11">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清单合计减去材料、工程设备、专业工程暂估价</w:t>
            </w:r>
          </w:p>
        </w:tc>
        <w:tc>
          <w:tcPr>
            <w:tcW w:w="25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9010A9">
            <w:pPr>
              <w:jc w:val="right"/>
              <w:rPr>
                <w:rFonts w:hint="default" w:ascii="Arial Narrow" w:hAnsi="Arial Narrow" w:eastAsia="Arial Narrow" w:cs="Arial Narrow"/>
                <w:i w:val="0"/>
                <w:iCs w:val="0"/>
                <w:color w:val="000000"/>
                <w:sz w:val="18"/>
                <w:szCs w:val="18"/>
                <w:u w:val="none"/>
              </w:rPr>
            </w:pPr>
          </w:p>
        </w:tc>
      </w:tr>
      <w:tr w14:paraId="705F6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1BE14">
            <w:pPr>
              <w:jc w:val="center"/>
              <w:rPr>
                <w:rFonts w:hint="eastAsia" w:ascii="微软雅黑" w:hAnsi="微软雅黑" w:eastAsia="微软雅黑" w:cs="微软雅黑"/>
                <w:i w:val="0"/>
                <w:iCs w:val="0"/>
                <w:color w:val="000000"/>
                <w:sz w:val="18"/>
                <w:szCs w:val="18"/>
                <w:u w:val="none"/>
              </w:rPr>
            </w:pPr>
          </w:p>
        </w:tc>
        <w:tc>
          <w:tcPr>
            <w:tcW w:w="6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8FF96">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合计(即6-7)=8</w:t>
            </w:r>
          </w:p>
        </w:tc>
        <w:tc>
          <w:tcPr>
            <w:tcW w:w="25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A3AEC">
            <w:pPr>
              <w:jc w:val="right"/>
              <w:rPr>
                <w:rFonts w:hint="default" w:ascii="Arial Narrow" w:hAnsi="Arial Narrow" w:eastAsia="Arial Narrow" w:cs="Arial Narrow"/>
                <w:i w:val="0"/>
                <w:iCs w:val="0"/>
                <w:color w:val="000000"/>
                <w:sz w:val="18"/>
                <w:szCs w:val="18"/>
                <w:u w:val="none"/>
              </w:rPr>
            </w:pPr>
          </w:p>
        </w:tc>
      </w:tr>
      <w:tr w14:paraId="19956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F479B">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9</w:t>
            </w:r>
          </w:p>
        </w:tc>
        <w:tc>
          <w:tcPr>
            <w:tcW w:w="6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0735A">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计日工合计</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top"/>
          </w:tcPr>
          <w:p w14:paraId="229913BD">
            <w:pPr>
              <w:jc w:val="left"/>
              <w:rPr>
                <w:rFonts w:hint="default" w:ascii="Arial" w:hAnsi="Arial" w:eastAsia="宋体" w:cs="Arial"/>
                <w:i w:val="0"/>
                <w:iCs w:val="0"/>
                <w:color w:val="000000"/>
                <w:sz w:val="22"/>
                <w:szCs w:val="22"/>
                <w:u w:val="none"/>
              </w:rPr>
            </w:pPr>
          </w:p>
        </w:tc>
      </w:tr>
      <w:tr w14:paraId="35CA1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D1E44">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10</w:t>
            </w:r>
          </w:p>
        </w:tc>
        <w:tc>
          <w:tcPr>
            <w:tcW w:w="6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B77C35">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暂列金额(不含计日工总额)</w:t>
            </w:r>
          </w:p>
        </w:tc>
        <w:tc>
          <w:tcPr>
            <w:tcW w:w="25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9228B">
            <w:pPr>
              <w:keepNext w:val="0"/>
              <w:keepLines w:val="0"/>
              <w:widowControl/>
              <w:suppressLineNumbers w:val="0"/>
              <w:jc w:val="right"/>
              <w:textAlignment w:val="center"/>
              <w:rPr>
                <w:rFonts w:hint="default" w:ascii="Arial Narrow" w:hAnsi="Arial Narrow" w:eastAsia="Arial Narrow" w:cs="Arial Narrow"/>
                <w:i w:val="0"/>
                <w:iCs w:val="0"/>
                <w:color w:val="000000"/>
                <w:sz w:val="18"/>
                <w:szCs w:val="18"/>
                <w:u w:val="none"/>
              </w:rPr>
            </w:pPr>
            <w:r>
              <w:rPr>
                <w:rFonts w:hint="default" w:ascii="Arial Narrow" w:hAnsi="Arial Narrow" w:eastAsia="Arial Narrow" w:cs="Arial Narrow"/>
                <w:i w:val="0"/>
                <w:iCs w:val="0"/>
                <w:color w:val="000000"/>
                <w:kern w:val="0"/>
                <w:sz w:val="18"/>
                <w:szCs w:val="18"/>
                <w:u w:val="none"/>
                <w:lang w:val="en-US" w:eastAsia="zh-CN" w:bidi="ar"/>
              </w:rPr>
              <w:t>48743</w:t>
            </w:r>
          </w:p>
        </w:tc>
      </w:tr>
      <w:tr w14:paraId="3B433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8" w:hRule="atLeast"/>
        </w:trPr>
        <w:tc>
          <w:tcPr>
            <w:tcW w:w="9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0E6F2">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11</w:t>
            </w:r>
          </w:p>
        </w:tc>
        <w:tc>
          <w:tcPr>
            <w:tcW w:w="60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C102D7">
            <w:pPr>
              <w:keepNext w:val="0"/>
              <w:keepLines w:val="0"/>
              <w:widowControl/>
              <w:suppressLineNumbers w:val="0"/>
              <w:jc w:val="center"/>
              <w:textAlignment w:val="center"/>
              <w:rPr>
                <w:rFonts w:hint="eastAsia" w:ascii="微软雅黑" w:hAnsi="微软雅黑" w:eastAsia="微软雅黑" w:cs="微软雅黑"/>
                <w:i w:val="0"/>
                <w:iCs w:val="0"/>
                <w:color w:val="000000"/>
                <w:sz w:val="18"/>
                <w:szCs w:val="18"/>
                <w:u w:val="none"/>
              </w:rPr>
            </w:pPr>
            <w:r>
              <w:rPr>
                <w:rFonts w:hint="eastAsia" w:ascii="微软雅黑" w:hAnsi="微软雅黑" w:eastAsia="微软雅黑" w:cs="微软雅黑"/>
                <w:i w:val="0"/>
                <w:iCs w:val="0"/>
                <w:color w:val="000000"/>
                <w:kern w:val="0"/>
                <w:sz w:val="18"/>
                <w:szCs w:val="18"/>
                <w:u w:val="none"/>
                <w:lang w:val="en-US" w:eastAsia="zh-CN" w:bidi="ar"/>
              </w:rPr>
              <w:t>招标控制价(6+9+10)=11</w:t>
            </w:r>
          </w:p>
        </w:tc>
        <w:tc>
          <w:tcPr>
            <w:tcW w:w="25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EA0F4">
            <w:pPr>
              <w:rPr>
                <w:rFonts w:hint="eastAsia" w:ascii="宋体" w:hAnsi="宋体" w:eastAsia="宋体" w:cs="宋体"/>
                <w:i w:val="0"/>
                <w:iCs w:val="0"/>
                <w:color w:val="000000"/>
                <w:sz w:val="22"/>
                <w:szCs w:val="22"/>
                <w:u w:val="none"/>
              </w:rPr>
            </w:pPr>
          </w:p>
        </w:tc>
      </w:tr>
    </w:tbl>
    <w:p w14:paraId="20AD6F53">
      <w:pPr>
        <w:keepNext w:val="0"/>
        <w:keepLines w:val="0"/>
        <w:widowControl/>
        <w:suppressLineNumbers w:val="0"/>
        <w:ind w:firstLineChars="100"/>
        <w:jc w:val="center"/>
        <w:textAlignment w:val="center"/>
        <w:rPr>
          <w:rStyle w:val="8"/>
          <w:rFonts w:hint="eastAsia"/>
          <w:i w:val="0"/>
          <w:iCs w:val="0"/>
          <w:color w:val="000000"/>
          <w:lang w:val="en-US" w:eastAsia="zh-CN" w:bidi="ar"/>
        </w:rPr>
      </w:pPr>
      <w:r>
        <w:rPr>
          <w:rStyle w:val="8"/>
          <w:rFonts w:hint="eastAsia"/>
          <w:i w:val="0"/>
          <w:iCs w:val="0"/>
          <w:color w:val="000000"/>
          <w:lang w:val="en-US" w:eastAsia="zh-CN" w:bidi="ar"/>
        </w:rPr>
        <w:t>工程量清单表</w:t>
      </w:r>
    </w:p>
    <w:p w14:paraId="03DDA66D"/>
    <w:tbl>
      <w:tblPr>
        <w:tblStyle w:val="5"/>
        <w:tblW w:w="9450" w:type="dxa"/>
        <w:tblInd w:w="-3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7"/>
        <w:gridCol w:w="4037"/>
        <w:gridCol w:w="838"/>
        <w:gridCol w:w="1206"/>
        <w:gridCol w:w="999"/>
        <w:gridCol w:w="1503"/>
      </w:tblGrid>
      <w:tr w14:paraId="15798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0" w:type="dxa"/>
            <w:gridSpan w:val="6"/>
          </w:tcPr>
          <w:p w14:paraId="7F0C5E47">
            <w:pPr>
              <w:widowControl w:val="0"/>
              <w:jc w:val="center"/>
              <w:rPr>
                <w:vertAlign w:val="baseline"/>
              </w:rPr>
            </w:pPr>
            <w:r>
              <w:rPr>
                <w:rStyle w:val="10"/>
                <w:lang w:val="en-US" w:eastAsia="zh-CN" w:bidi="ar"/>
              </w:rPr>
              <w:t>清单 第100章   总则</w:t>
            </w:r>
          </w:p>
        </w:tc>
      </w:tr>
      <w:tr w14:paraId="05589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center"/>
          </w:tcPr>
          <w:p w14:paraId="44C1E979">
            <w:pPr>
              <w:keepNext w:val="0"/>
              <w:keepLines w:val="0"/>
              <w:widowControl/>
              <w:suppressLineNumbers w:val="0"/>
              <w:jc w:val="center"/>
              <w:textAlignment w:val="center"/>
              <w:rPr>
                <w:vertAlign w:val="baseline"/>
              </w:rPr>
            </w:pPr>
            <w:r>
              <w:rPr>
                <w:rStyle w:val="10"/>
                <w:lang w:val="en-US" w:eastAsia="zh-CN" w:bidi="ar"/>
              </w:rPr>
              <w:t>子目号</w:t>
            </w:r>
          </w:p>
        </w:tc>
        <w:tc>
          <w:tcPr>
            <w:tcW w:w="4037" w:type="dxa"/>
            <w:vAlign w:val="center"/>
          </w:tcPr>
          <w:p w14:paraId="3859C8BB">
            <w:pPr>
              <w:keepNext w:val="0"/>
              <w:keepLines w:val="0"/>
              <w:widowControl/>
              <w:suppressLineNumbers w:val="0"/>
              <w:jc w:val="center"/>
              <w:textAlignment w:val="center"/>
              <w:rPr>
                <w:vertAlign w:val="baseline"/>
              </w:rPr>
            </w:pPr>
            <w:r>
              <w:rPr>
                <w:rStyle w:val="10"/>
                <w:lang w:val="en-US" w:eastAsia="zh-CN" w:bidi="ar"/>
              </w:rPr>
              <w:t>子目名称</w:t>
            </w:r>
          </w:p>
        </w:tc>
        <w:tc>
          <w:tcPr>
            <w:tcW w:w="838" w:type="dxa"/>
            <w:vAlign w:val="center"/>
          </w:tcPr>
          <w:p w14:paraId="4AE117E5">
            <w:pPr>
              <w:keepNext w:val="0"/>
              <w:keepLines w:val="0"/>
              <w:widowControl/>
              <w:suppressLineNumbers w:val="0"/>
              <w:jc w:val="center"/>
              <w:textAlignment w:val="center"/>
              <w:rPr>
                <w:vertAlign w:val="baseline"/>
              </w:rPr>
            </w:pPr>
            <w:r>
              <w:rPr>
                <w:rStyle w:val="10"/>
                <w:lang w:val="en-US" w:eastAsia="zh-CN" w:bidi="ar"/>
              </w:rPr>
              <w:t>单位</w:t>
            </w:r>
          </w:p>
        </w:tc>
        <w:tc>
          <w:tcPr>
            <w:tcW w:w="1206" w:type="dxa"/>
            <w:vAlign w:val="center"/>
          </w:tcPr>
          <w:p w14:paraId="4B917C30">
            <w:pPr>
              <w:keepNext w:val="0"/>
              <w:keepLines w:val="0"/>
              <w:widowControl/>
              <w:suppressLineNumbers w:val="0"/>
              <w:jc w:val="center"/>
              <w:textAlignment w:val="center"/>
              <w:rPr>
                <w:vertAlign w:val="baseline"/>
              </w:rPr>
            </w:pPr>
            <w:r>
              <w:rPr>
                <w:rStyle w:val="10"/>
                <w:lang w:val="en-US" w:eastAsia="zh-CN" w:bidi="ar"/>
              </w:rPr>
              <w:t>数量</w:t>
            </w:r>
          </w:p>
        </w:tc>
        <w:tc>
          <w:tcPr>
            <w:tcW w:w="999" w:type="dxa"/>
            <w:vAlign w:val="center"/>
          </w:tcPr>
          <w:p w14:paraId="0A81065C">
            <w:pPr>
              <w:keepNext w:val="0"/>
              <w:keepLines w:val="0"/>
              <w:widowControl/>
              <w:suppressLineNumbers w:val="0"/>
              <w:jc w:val="center"/>
              <w:textAlignment w:val="center"/>
              <w:rPr>
                <w:vertAlign w:val="baseline"/>
              </w:rPr>
            </w:pPr>
            <w:r>
              <w:rPr>
                <w:rStyle w:val="10"/>
                <w:lang w:val="en-US" w:eastAsia="zh-CN" w:bidi="ar"/>
              </w:rPr>
              <w:t>单价</w:t>
            </w:r>
          </w:p>
        </w:tc>
        <w:tc>
          <w:tcPr>
            <w:tcW w:w="1503" w:type="dxa"/>
            <w:vAlign w:val="center"/>
          </w:tcPr>
          <w:p w14:paraId="559BB720">
            <w:pPr>
              <w:keepNext w:val="0"/>
              <w:keepLines w:val="0"/>
              <w:widowControl/>
              <w:suppressLineNumbers w:val="0"/>
              <w:jc w:val="center"/>
              <w:textAlignment w:val="center"/>
              <w:rPr>
                <w:vertAlign w:val="baseline"/>
              </w:rPr>
            </w:pPr>
            <w:r>
              <w:rPr>
                <w:rStyle w:val="10"/>
                <w:lang w:val="en-US" w:eastAsia="zh-CN" w:bidi="ar"/>
              </w:rPr>
              <w:t>合价</w:t>
            </w:r>
          </w:p>
        </w:tc>
      </w:tr>
      <w:tr w14:paraId="536EA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592F7F4C">
            <w:pPr>
              <w:keepNext w:val="0"/>
              <w:keepLines w:val="0"/>
              <w:widowControl/>
              <w:suppressLineNumbers w:val="0"/>
              <w:jc w:val="center"/>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101 </w:t>
            </w:r>
          </w:p>
        </w:tc>
        <w:tc>
          <w:tcPr>
            <w:tcW w:w="4037" w:type="dxa"/>
            <w:vAlign w:val="top"/>
          </w:tcPr>
          <w:p w14:paraId="5B09F878">
            <w:pPr>
              <w:keepNext w:val="0"/>
              <w:keepLines w:val="0"/>
              <w:widowControl/>
              <w:suppressLineNumbers w:val="0"/>
              <w:jc w:val="left"/>
              <w:textAlignment w:val="top"/>
              <w:rPr>
                <w:vertAlign w:val="baseline"/>
              </w:rPr>
            </w:pPr>
            <w:r>
              <w:rPr>
                <w:rStyle w:val="10"/>
                <w:lang w:val="en-US" w:eastAsia="zh-CN" w:bidi="ar"/>
              </w:rPr>
              <w:t>通则</w:t>
            </w:r>
          </w:p>
        </w:tc>
        <w:tc>
          <w:tcPr>
            <w:tcW w:w="838" w:type="dxa"/>
            <w:vAlign w:val="top"/>
          </w:tcPr>
          <w:p w14:paraId="5F3864B3">
            <w:pPr>
              <w:widowControl w:val="0"/>
              <w:jc w:val="left"/>
              <w:rPr>
                <w:vertAlign w:val="baseline"/>
              </w:rPr>
            </w:pPr>
          </w:p>
        </w:tc>
        <w:tc>
          <w:tcPr>
            <w:tcW w:w="1206" w:type="dxa"/>
            <w:vAlign w:val="top"/>
          </w:tcPr>
          <w:p w14:paraId="7D1583F1">
            <w:pPr>
              <w:widowControl w:val="0"/>
              <w:jc w:val="left"/>
              <w:rPr>
                <w:vertAlign w:val="baseline"/>
              </w:rPr>
            </w:pPr>
          </w:p>
        </w:tc>
        <w:tc>
          <w:tcPr>
            <w:tcW w:w="999" w:type="dxa"/>
          </w:tcPr>
          <w:p w14:paraId="442ED4EF">
            <w:pPr>
              <w:widowControl w:val="0"/>
              <w:jc w:val="both"/>
              <w:rPr>
                <w:vertAlign w:val="baseline"/>
              </w:rPr>
            </w:pPr>
          </w:p>
        </w:tc>
        <w:tc>
          <w:tcPr>
            <w:tcW w:w="1503" w:type="dxa"/>
          </w:tcPr>
          <w:p w14:paraId="40914A4D">
            <w:pPr>
              <w:widowControl w:val="0"/>
              <w:jc w:val="both"/>
              <w:rPr>
                <w:vertAlign w:val="baseline"/>
              </w:rPr>
            </w:pPr>
          </w:p>
        </w:tc>
      </w:tr>
      <w:tr w14:paraId="13010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0B8D3BF5">
            <w:pPr>
              <w:keepNext w:val="0"/>
              <w:keepLines w:val="0"/>
              <w:widowControl/>
              <w:suppressLineNumbers w:val="0"/>
              <w:jc w:val="center"/>
              <w:textAlignment w:val="top"/>
              <w:rPr>
                <w:vertAlign w:val="baseline"/>
              </w:rPr>
            </w:pPr>
            <w:r>
              <w:rPr>
                <w:rStyle w:val="10"/>
                <w:lang w:val="en-US" w:eastAsia="zh-CN" w:bidi="ar"/>
              </w:rPr>
              <w:t>101-1</w:t>
            </w:r>
          </w:p>
        </w:tc>
        <w:tc>
          <w:tcPr>
            <w:tcW w:w="4037" w:type="dxa"/>
            <w:vAlign w:val="top"/>
          </w:tcPr>
          <w:p w14:paraId="44BB2E33">
            <w:pPr>
              <w:keepNext w:val="0"/>
              <w:keepLines w:val="0"/>
              <w:widowControl/>
              <w:suppressLineNumbers w:val="0"/>
              <w:jc w:val="left"/>
              <w:textAlignment w:val="top"/>
              <w:rPr>
                <w:vertAlign w:val="baseline"/>
              </w:rPr>
            </w:pPr>
            <w:r>
              <w:rPr>
                <w:rStyle w:val="10"/>
                <w:lang w:val="en-US" w:eastAsia="zh-CN" w:bidi="ar"/>
              </w:rPr>
              <w:t>保险费</w:t>
            </w:r>
          </w:p>
        </w:tc>
        <w:tc>
          <w:tcPr>
            <w:tcW w:w="838" w:type="dxa"/>
            <w:vAlign w:val="top"/>
          </w:tcPr>
          <w:p w14:paraId="499B98DC">
            <w:pPr>
              <w:widowControl w:val="0"/>
              <w:jc w:val="left"/>
              <w:rPr>
                <w:vertAlign w:val="baseline"/>
              </w:rPr>
            </w:pPr>
          </w:p>
        </w:tc>
        <w:tc>
          <w:tcPr>
            <w:tcW w:w="1206" w:type="dxa"/>
            <w:vAlign w:val="top"/>
          </w:tcPr>
          <w:p w14:paraId="4D129068">
            <w:pPr>
              <w:widowControl w:val="0"/>
              <w:jc w:val="left"/>
              <w:rPr>
                <w:vertAlign w:val="baseline"/>
              </w:rPr>
            </w:pPr>
          </w:p>
        </w:tc>
        <w:tc>
          <w:tcPr>
            <w:tcW w:w="999" w:type="dxa"/>
          </w:tcPr>
          <w:p w14:paraId="0D96A734">
            <w:pPr>
              <w:widowControl w:val="0"/>
              <w:jc w:val="both"/>
              <w:rPr>
                <w:vertAlign w:val="baseline"/>
              </w:rPr>
            </w:pPr>
          </w:p>
        </w:tc>
        <w:tc>
          <w:tcPr>
            <w:tcW w:w="1503" w:type="dxa"/>
          </w:tcPr>
          <w:p w14:paraId="0B7D6990">
            <w:pPr>
              <w:widowControl w:val="0"/>
              <w:jc w:val="both"/>
              <w:rPr>
                <w:vertAlign w:val="baseline"/>
              </w:rPr>
            </w:pPr>
          </w:p>
        </w:tc>
      </w:tr>
      <w:tr w14:paraId="24924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25E31C72">
            <w:pPr>
              <w:keepNext w:val="0"/>
              <w:keepLines w:val="0"/>
              <w:widowControl/>
              <w:suppressLineNumbers w:val="0"/>
              <w:jc w:val="center"/>
              <w:textAlignment w:val="top"/>
              <w:rPr>
                <w:vertAlign w:val="baseline"/>
              </w:rPr>
            </w:pPr>
            <w:r>
              <w:rPr>
                <w:rStyle w:val="10"/>
                <w:lang w:val="en-US" w:eastAsia="zh-CN" w:bidi="ar"/>
              </w:rPr>
              <w:t>-a</w:t>
            </w:r>
          </w:p>
        </w:tc>
        <w:tc>
          <w:tcPr>
            <w:tcW w:w="4037" w:type="dxa"/>
            <w:vAlign w:val="top"/>
          </w:tcPr>
          <w:p w14:paraId="453DA2DB">
            <w:pPr>
              <w:keepNext w:val="0"/>
              <w:keepLines w:val="0"/>
              <w:widowControl/>
              <w:suppressLineNumbers w:val="0"/>
              <w:jc w:val="left"/>
              <w:textAlignment w:val="top"/>
              <w:rPr>
                <w:vertAlign w:val="baseline"/>
              </w:rPr>
            </w:pPr>
            <w:r>
              <w:rPr>
                <w:rStyle w:val="10"/>
                <w:lang w:val="en-US" w:eastAsia="zh-CN" w:bidi="ar"/>
              </w:rPr>
              <w:t>按合同条款规定，提供建筑工程一切险</w:t>
            </w:r>
          </w:p>
        </w:tc>
        <w:tc>
          <w:tcPr>
            <w:tcW w:w="838" w:type="dxa"/>
            <w:vAlign w:val="top"/>
          </w:tcPr>
          <w:p w14:paraId="14DE242F">
            <w:pPr>
              <w:keepNext w:val="0"/>
              <w:keepLines w:val="0"/>
              <w:widowControl/>
              <w:suppressLineNumbers w:val="0"/>
              <w:jc w:val="center"/>
              <w:textAlignment w:val="top"/>
              <w:rPr>
                <w:vertAlign w:val="baseline"/>
              </w:rPr>
            </w:pPr>
            <w:r>
              <w:rPr>
                <w:rStyle w:val="10"/>
                <w:lang w:val="en-US" w:eastAsia="zh-CN" w:bidi="ar"/>
              </w:rPr>
              <w:t>总额</w:t>
            </w:r>
          </w:p>
        </w:tc>
        <w:tc>
          <w:tcPr>
            <w:tcW w:w="1206" w:type="dxa"/>
            <w:vAlign w:val="top"/>
          </w:tcPr>
          <w:p w14:paraId="305CF9C7">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1.000 </w:t>
            </w:r>
          </w:p>
        </w:tc>
        <w:tc>
          <w:tcPr>
            <w:tcW w:w="999" w:type="dxa"/>
            <w:vAlign w:val="top"/>
          </w:tcPr>
          <w:p w14:paraId="2C62B896">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6108.00 </w:t>
            </w:r>
          </w:p>
        </w:tc>
        <w:tc>
          <w:tcPr>
            <w:tcW w:w="1503" w:type="dxa"/>
          </w:tcPr>
          <w:p w14:paraId="719A0182">
            <w:pPr>
              <w:widowControl w:val="0"/>
              <w:jc w:val="both"/>
              <w:rPr>
                <w:vertAlign w:val="baseline"/>
              </w:rPr>
            </w:pPr>
          </w:p>
        </w:tc>
      </w:tr>
      <w:tr w14:paraId="02F2D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EC248EC">
            <w:pPr>
              <w:keepNext w:val="0"/>
              <w:keepLines w:val="0"/>
              <w:widowControl/>
              <w:suppressLineNumbers w:val="0"/>
              <w:jc w:val="center"/>
              <w:textAlignment w:val="top"/>
              <w:rPr>
                <w:vertAlign w:val="baseline"/>
              </w:rPr>
            </w:pPr>
            <w:r>
              <w:rPr>
                <w:rStyle w:val="10"/>
                <w:lang w:val="en-US" w:eastAsia="zh-CN" w:bidi="ar"/>
              </w:rPr>
              <w:t>-b</w:t>
            </w:r>
          </w:p>
        </w:tc>
        <w:tc>
          <w:tcPr>
            <w:tcW w:w="4037" w:type="dxa"/>
            <w:vAlign w:val="top"/>
          </w:tcPr>
          <w:p w14:paraId="1944D737">
            <w:pPr>
              <w:keepNext w:val="0"/>
              <w:keepLines w:val="0"/>
              <w:widowControl/>
              <w:suppressLineNumbers w:val="0"/>
              <w:jc w:val="left"/>
              <w:textAlignment w:val="top"/>
              <w:rPr>
                <w:vertAlign w:val="baseline"/>
              </w:rPr>
            </w:pPr>
            <w:r>
              <w:rPr>
                <w:rStyle w:val="10"/>
                <w:lang w:val="en-US" w:eastAsia="zh-CN" w:bidi="ar"/>
              </w:rPr>
              <w:t>按合同条款规定，提供第三者责任险</w:t>
            </w:r>
          </w:p>
        </w:tc>
        <w:tc>
          <w:tcPr>
            <w:tcW w:w="838" w:type="dxa"/>
            <w:vAlign w:val="top"/>
          </w:tcPr>
          <w:p w14:paraId="77B5F630">
            <w:pPr>
              <w:keepNext w:val="0"/>
              <w:keepLines w:val="0"/>
              <w:widowControl/>
              <w:suppressLineNumbers w:val="0"/>
              <w:jc w:val="center"/>
              <w:textAlignment w:val="top"/>
              <w:rPr>
                <w:vertAlign w:val="baseline"/>
              </w:rPr>
            </w:pPr>
            <w:r>
              <w:rPr>
                <w:rStyle w:val="10"/>
                <w:lang w:val="en-US" w:eastAsia="zh-CN" w:bidi="ar"/>
              </w:rPr>
              <w:t>总额</w:t>
            </w:r>
          </w:p>
        </w:tc>
        <w:tc>
          <w:tcPr>
            <w:tcW w:w="1206" w:type="dxa"/>
            <w:vAlign w:val="top"/>
          </w:tcPr>
          <w:p w14:paraId="7BC23CB4">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1.000 </w:t>
            </w:r>
          </w:p>
        </w:tc>
        <w:tc>
          <w:tcPr>
            <w:tcW w:w="999" w:type="dxa"/>
            <w:vAlign w:val="top"/>
          </w:tcPr>
          <w:p w14:paraId="7D291353">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3000.00 </w:t>
            </w:r>
          </w:p>
        </w:tc>
        <w:tc>
          <w:tcPr>
            <w:tcW w:w="1503" w:type="dxa"/>
          </w:tcPr>
          <w:p w14:paraId="739FC4B5">
            <w:pPr>
              <w:widowControl w:val="0"/>
              <w:jc w:val="both"/>
              <w:rPr>
                <w:vertAlign w:val="baseline"/>
              </w:rPr>
            </w:pPr>
          </w:p>
        </w:tc>
      </w:tr>
      <w:tr w14:paraId="6924C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034241D2">
            <w:pPr>
              <w:keepNext w:val="0"/>
              <w:keepLines w:val="0"/>
              <w:widowControl/>
              <w:suppressLineNumbers w:val="0"/>
              <w:jc w:val="center"/>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102 </w:t>
            </w:r>
          </w:p>
        </w:tc>
        <w:tc>
          <w:tcPr>
            <w:tcW w:w="4037" w:type="dxa"/>
            <w:vAlign w:val="top"/>
          </w:tcPr>
          <w:p w14:paraId="3BBBCC96">
            <w:pPr>
              <w:keepNext w:val="0"/>
              <w:keepLines w:val="0"/>
              <w:widowControl/>
              <w:suppressLineNumbers w:val="0"/>
              <w:jc w:val="left"/>
              <w:textAlignment w:val="top"/>
              <w:rPr>
                <w:vertAlign w:val="baseline"/>
              </w:rPr>
            </w:pPr>
            <w:r>
              <w:rPr>
                <w:rStyle w:val="10"/>
                <w:lang w:val="en-US" w:eastAsia="zh-CN" w:bidi="ar"/>
              </w:rPr>
              <w:t>工程管理</w:t>
            </w:r>
          </w:p>
        </w:tc>
        <w:tc>
          <w:tcPr>
            <w:tcW w:w="838" w:type="dxa"/>
            <w:vAlign w:val="top"/>
          </w:tcPr>
          <w:p w14:paraId="58D8C12B">
            <w:pPr>
              <w:widowControl w:val="0"/>
              <w:jc w:val="left"/>
              <w:rPr>
                <w:vertAlign w:val="baseline"/>
              </w:rPr>
            </w:pPr>
          </w:p>
        </w:tc>
        <w:tc>
          <w:tcPr>
            <w:tcW w:w="1206" w:type="dxa"/>
            <w:vAlign w:val="top"/>
          </w:tcPr>
          <w:p w14:paraId="2F9463D8">
            <w:pPr>
              <w:widowControl w:val="0"/>
              <w:jc w:val="left"/>
              <w:rPr>
                <w:vertAlign w:val="baseline"/>
              </w:rPr>
            </w:pPr>
          </w:p>
        </w:tc>
        <w:tc>
          <w:tcPr>
            <w:tcW w:w="999" w:type="dxa"/>
            <w:vAlign w:val="top"/>
          </w:tcPr>
          <w:p w14:paraId="76872B7A">
            <w:pPr>
              <w:widowControl w:val="0"/>
              <w:jc w:val="left"/>
              <w:rPr>
                <w:vertAlign w:val="baseline"/>
              </w:rPr>
            </w:pPr>
          </w:p>
        </w:tc>
        <w:tc>
          <w:tcPr>
            <w:tcW w:w="1503" w:type="dxa"/>
          </w:tcPr>
          <w:p w14:paraId="01CEA198">
            <w:pPr>
              <w:widowControl w:val="0"/>
              <w:jc w:val="both"/>
              <w:rPr>
                <w:vertAlign w:val="baseline"/>
              </w:rPr>
            </w:pPr>
          </w:p>
        </w:tc>
      </w:tr>
      <w:tr w14:paraId="38728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4C6F4C16">
            <w:pPr>
              <w:keepNext w:val="0"/>
              <w:keepLines w:val="0"/>
              <w:widowControl/>
              <w:suppressLineNumbers w:val="0"/>
              <w:jc w:val="center"/>
              <w:textAlignment w:val="top"/>
              <w:rPr>
                <w:vertAlign w:val="baseline"/>
              </w:rPr>
            </w:pPr>
            <w:r>
              <w:rPr>
                <w:rStyle w:val="10"/>
                <w:lang w:val="en-US" w:eastAsia="zh-CN" w:bidi="ar"/>
              </w:rPr>
              <w:t>102-2</w:t>
            </w:r>
          </w:p>
        </w:tc>
        <w:tc>
          <w:tcPr>
            <w:tcW w:w="4037" w:type="dxa"/>
            <w:vAlign w:val="top"/>
          </w:tcPr>
          <w:p w14:paraId="5BAF0E46">
            <w:pPr>
              <w:keepNext w:val="0"/>
              <w:keepLines w:val="0"/>
              <w:widowControl/>
              <w:suppressLineNumbers w:val="0"/>
              <w:jc w:val="left"/>
              <w:textAlignment w:val="top"/>
              <w:rPr>
                <w:vertAlign w:val="baseline"/>
              </w:rPr>
            </w:pPr>
            <w:r>
              <w:rPr>
                <w:rStyle w:val="10"/>
                <w:lang w:val="en-US" w:eastAsia="zh-CN" w:bidi="ar"/>
              </w:rPr>
              <w:t>施工环保费</w:t>
            </w:r>
          </w:p>
        </w:tc>
        <w:tc>
          <w:tcPr>
            <w:tcW w:w="838" w:type="dxa"/>
            <w:vAlign w:val="top"/>
          </w:tcPr>
          <w:p w14:paraId="434CB2CB">
            <w:pPr>
              <w:keepNext w:val="0"/>
              <w:keepLines w:val="0"/>
              <w:widowControl/>
              <w:suppressLineNumbers w:val="0"/>
              <w:jc w:val="center"/>
              <w:textAlignment w:val="top"/>
              <w:rPr>
                <w:vertAlign w:val="baseline"/>
              </w:rPr>
            </w:pPr>
            <w:r>
              <w:rPr>
                <w:rStyle w:val="10"/>
                <w:lang w:val="en-US" w:eastAsia="zh-CN" w:bidi="ar"/>
              </w:rPr>
              <w:t>总额</w:t>
            </w:r>
          </w:p>
        </w:tc>
        <w:tc>
          <w:tcPr>
            <w:tcW w:w="1206" w:type="dxa"/>
            <w:vAlign w:val="top"/>
          </w:tcPr>
          <w:p w14:paraId="71365B24">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1.000 </w:t>
            </w:r>
          </w:p>
        </w:tc>
        <w:tc>
          <w:tcPr>
            <w:tcW w:w="999" w:type="dxa"/>
            <w:vAlign w:val="top"/>
          </w:tcPr>
          <w:p w14:paraId="26D87185">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4874.00 </w:t>
            </w:r>
          </w:p>
        </w:tc>
        <w:tc>
          <w:tcPr>
            <w:tcW w:w="1503" w:type="dxa"/>
          </w:tcPr>
          <w:p w14:paraId="093374EA">
            <w:pPr>
              <w:widowControl w:val="0"/>
              <w:jc w:val="both"/>
              <w:rPr>
                <w:vertAlign w:val="baseline"/>
              </w:rPr>
            </w:pPr>
          </w:p>
        </w:tc>
      </w:tr>
      <w:tr w14:paraId="44988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0B9027D6">
            <w:pPr>
              <w:keepNext w:val="0"/>
              <w:keepLines w:val="0"/>
              <w:widowControl/>
              <w:suppressLineNumbers w:val="0"/>
              <w:jc w:val="center"/>
              <w:textAlignment w:val="top"/>
              <w:rPr>
                <w:vertAlign w:val="baseline"/>
              </w:rPr>
            </w:pPr>
            <w:r>
              <w:rPr>
                <w:rStyle w:val="10"/>
                <w:lang w:val="en-US" w:eastAsia="zh-CN" w:bidi="ar"/>
              </w:rPr>
              <w:t>102-3</w:t>
            </w:r>
          </w:p>
        </w:tc>
        <w:tc>
          <w:tcPr>
            <w:tcW w:w="4037" w:type="dxa"/>
            <w:vAlign w:val="top"/>
          </w:tcPr>
          <w:p w14:paraId="0D062430">
            <w:pPr>
              <w:keepNext w:val="0"/>
              <w:keepLines w:val="0"/>
              <w:widowControl/>
              <w:suppressLineNumbers w:val="0"/>
              <w:jc w:val="left"/>
              <w:textAlignment w:val="top"/>
              <w:rPr>
                <w:vertAlign w:val="baseline"/>
              </w:rPr>
            </w:pPr>
            <w:r>
              <w:rPr>
                <w:rStyle w:val="10"/>
                <w:lang w:val="en-US" w:eastAsia="zh-CN" w:bidi="ar"/>
              </w:rPr>
              <w:t>安全生产费(含安全责任险)</w:t>
            </w:r>
          </w:p>
        </w:tc>
        <w:tc>
          <w:tcPr>
            <w:tcW w:w="838" w:type="dxa"/>
            <w:vAlign w:val="top"/>
          </w:tcPr>
          <w:p w14:paraId="2705A18B">
            <w:pPr>
              <w:keepNext w:val="0"/>
              <w:keepLines w:val="0"/>
              <w:widowControl/>
              <w:suppressLineNumbers w:val="0"/>
              <w:jc w:val="center"/>
              <w:textAlignment w:val="top"/>
              <w:rPr>
                <w:vertAlign w:val="baseline"/>
              </w:rPr>
            </w:pPr>
            <w:r>
              <w:rPr>
                <w:rStyle w:val="10"/>
                <w:lang w:val="en-US" w:eastAsia="zh-CN" w:bidi="ar"/>
              </w:rPr>
              <w:t>总额</w:t>
            </w:r>
          </w:p>
        </w:tc>
        <w:tc>
          <w:tcPr>
            <w:tcW w:w="1206" w:type="dxa"/>
            <w:vAlign w:val="top"/>
          </w:tcPr>
          <w:p w14:paraId="7662CBCB">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1.000 </w:t>
            </w:r>
          </w:p>
        </w:tc>
        <w:tc>
          <w:tcPr>
            <w:tcW w:w="999" w:type="dxa"/>
            <w:vAlign w:val="top"/>
          </w:tcPr>
          <w:p w14:paraId="7CC282E6">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36557.00 </w:t>
            </w:r>
          </w:p>
        </w:tc>
        <w:tc>
          <w:tcPr>
            <w:tcW w:w="1503" w:type="dxa"/>
          </w:tcPr>
          <w:p w14:paraId="25E785B0">
            <w:pPr>
              <w:widowControl w:val="0"/>
              <w:jc w:val="both"/>
              <w:rPr>
                <w:vertAlign w:val="baseline"/>
              </w:rPr>
            </w:pPr>
          </w:p>
        </w:tc>
      </w:tr>
      <w:tr w14:paraId="46891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45DE48E2">
            <w:pPr>
              <w:keepNext w:val="0"/>
              <w:keepLines w:val="0"/>
              <w:widowControl/>
              <w:suppressLineNumbers w:val="0"/>
              <w:jc w:val="center"/>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105 </w:t>
            </w:r>
          </w:p>
        </w:tc>
        <w:tc>
          <w:tcPr>
            <w:tcW w:w="4037" w:type="dxa"/>
            <w:vAlign w:val="top"/>
          </w:tcPr>
          <w:p w14:paraId="6ECFB8F2">
            <w:pPr>
              <w:keepNext w:val="0"/>
              <w:keepLines w:val="0"/>
              <w:widowControl/>
              <w:suppressLineNumbers w:val="0"/>
              <w:jc w:val="left"/>
              <w:textAlignment w:val="top"/>
              <w:rPr>
                <w:vertAlign w:val="baseline"/>
              </w:rPr>
            </w:pPr>
            <w:r>
              <w:rPr>
                <w:rStyle w:val="10"/>
                <w:lang w:val="en-US" w:eastAsia="zh-CN" w:bidi="ar"/>
              </w:rPr>
              <w:t>施工标准化</w:t>
            </w:r>
          </w:p>
        </w:tc>
        <w:tc>
          <w:tcPr>
            <w:tcW w:w="838" w:type="dxa"/>
            <w:vAlign w:val="top"/>
          </w:tcPr>
          <w:p w14:paraId="349B4945">
            <w:pPr>
              <w:widowControl w:val="0"/>
              <w:jc w:val="left"/>
              <w:rPr>
                <w:vertAlign w:val="baseline"/>
              </w:rPr>
            </w:pPr>
          </w:p>
        </w:tc>
        <w:tc>
          <w:tcPr>
            <w:tcW w:w="1206" w:type="dxa"/>
            <w:vAlign w:val="top"/>
          </w:tcPr>
          <w:p w14:paraId="56E8990D">
            <w:pPr>
              <w:widowControl w:val="0"/>
              <w:jc w:val="left"/>
              <w:rPr>
                <w:vertAlign w:val="baseline"/>
              </w:rPr>
            </w:pPr>
          </w:p>
        </w:tc>
        <w:tc>
          <w:tcPr>
            <w:tcW w:w="999" w:type="dxa"/>
            <w:vAlign w:val="top"/>
          </w:tcPr>
          <w:p w14:paraId="7B8F4515">
            <w:pPr>
              <w:widowControl w:val="0"/>
              <w:jc w:val="left"/>
              <w:rPr>
                <w:vertAlign w:val="baseline"/>
              </w:rPr>
            </w:pPr>
          </w:p>
        </w:tc>
        <w:tc>
          <w:tcPr>
            <w:tcW w:w="1503" w:type="dxa"/>
          </w:tcPr>
          <w:p w14:paraId="4D1A4E86">
            <w:pPr>
              <w:widowControl w:val="0"/>
              <w:jc w:val="both"/>
              <w:rPr>
                <w:vertAlign w:val="baseline"/>
              </w:rPr>
            </w:pPr>
          </w:p>
        </w:tc>
      </w:tr>
      <w:tr w14:paraId="17E6E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5C7F52B4">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105-1</w:t>
            </w:r>
          </w:p>
        </w:tc>
        <w:tc>
          <w:tcPr>
            <w:tcW w:w="4037" w:type="dxa"/>
            <w:vAlign w:val="top"/>
          </w:tcPr>
          <w:p w14:paraId="03576D21">
            <w:pPr>
              <w:keepNext w:val="0"/>
              <w:keepLines w:val="0"/>
              <w:widowControl/>
              <w:suppressLineNumbers w:val="0"/>
              <w:jc w:val="left"/>
              <w:textAlignment w:val="top"/>
              <w:rPr>
                <w:rStyle w:val="10"/>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施工场地建设费</w:t>
            </w:r>
          </w:p>
        </w:tc>
        <w:tc>
          <w:tcPr>
            <w:tcW w:w="838" w:type="dxa"/>
            <w:vAlign w:val="top"/>
          </w:tcPr>
          <w:p w14:paraId="76D6078C">
            <w:pPr>
              <w:keepNext w:val="0"/>
              <w:keepLines w:val="0"/>
              <w:widowControl/>
              <w:suppressLineNumbers w:val="0"/>
              <w:jc w:val="center"/>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总额</w:t>
            </w:r>
          </w:p>
        </w:tc>
        <w:tc>
          <w:tcPr>
            <w:tcW w:w="1206" w:type="dxa"/>
            <w:vAlign w:val="top"/>
          </w:tcPr>
          <w:p w14:paraId="34972995">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1.000 </w:t>
            </w:r>
          </w:p>
        </w:tc>
        <w:tc>
          <w:tcPr>
            <w:tcW w:w="999" w:type="dxa"/>
            <w:vAlign w:val="top"/>
          </w:tcPr>
          <w:p w14:paraId="60CAA80E">
            <w:pPr>
              <w:keepNext w:val="0"/>
              <w:keepLines w:val="0"/>
              <w:widowControl/>
              <w:suppressLineNumbers w:val="0"/>
              <w:jc w:val="right"/>
              <w:textAlignment w:val="top"/>
              <w:rPr>
                <w:vertAlign w:val="baseline"/>
              </w:rPr>
            </w:pPr>
            <w:r>
              <w:rPr>
                <w:rFonts w:hint="eastAsia" w:ascii="微软雅黑" w:hAnsi="微软雅黑" w:eastAsia="微软雅黑" w:cs="微软雅黑"/>
                <w:i w:val="0"/>
                <w:iCs w:val="0"/>
                <w:color w:val="000000"/>
                <w:kern w:val="0"/>
                <w:sz w:val="18"/>
                <w:szCs w:val="18"/>
                <w:u w:val="none"/>
                <w:lang w:val="en-US" w:eastAsia="zh-CN" w:bidi="ar"/>
              </w:rPr>
              <w:t xml:space="preserve">3000.00 </w:t>
            </w:r>
          </w:p>
        </w:tc>
        <w:tc>
          <w:tcPr>
            <w:tcW w:w="1503" w:type="dxa"/>
          </w:tcPr>
          <w:p w14:paraId="7681E950">
            <w:pPr>
              <w:widowControl w:val="0"/>
              <w:jc w:val="both"/>
              <w:rPr>
                <w:vertAlign w:val="baseline"/>
              </w:rPr>
            </w:pPr>
          </w:p>
        </w:tc>
      </w:tr>
      <w:tr w14:paraId="36FB2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0" w:type="dxa"/>
            <w:gridSpan w:val="6"/>
            <w:vAlign w:val="top"/>
          </w:tcPr>
          <w:p w14:paraId="2973FAE0">
            <w:pPr>
              <w:widowControl w:val="0"/>
              <w:jc w:val="center"/>
              <w:rPr>
                <w:vertAlign w:val="baseline"/>
              </w:rPr>
            </w:pPr>
            <w:r>
              <w:rPr>
                <w:rFonts w:hint="eastAsia" w:ascii="微软雅黑" w:hAnsi="微软雅黑" w:eastAsia="微软雅黑" w:cs="微软雅黑"/>
                <w:i w:val="0"/>
                <w:iCs w:val="0"/>
                <w:color w:val="000000"/>
                <w:kern w:val="0"/>
                <w:sz w:val="18"/>
                <w:szCs w:val="18"/>
                <w:u w:val="none"/>
                <w:lang w:val="en-US" w:eastAsia="zh-CN" w:bidi="ar"/>
              </w:rPr>
              <w:t>清单 第200章  路基</w:t>
            </w:r>
          </w:p>
        </w:tc>
      </w:tr>
      <w:tr w14:paraId="135DA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D86C028">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202 </w:t>
            </w:r>
          </w:p>
        </w:tc>
        <w:tc>
          <w:tcPr>
            <w:tcW w:w="4037" w:type="dxa"/>
            <w:vAlign w:val="top"/>
          </w:tcPr>
          <w:p w14:paraId="46233C36">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场地清理</w:t>
            </w:r>
          </w:p>
        </w:tc>
        <w:tc>
          <w:tcPr>
            <w:tcW w:w="838" w:type="dxa"/>
            <w:vAlign w:val="top"/>
          </w:tcPr>
          <w:p w14:paraId="3507FBCF">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61FE6342">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6C5D1508">
            <w:pPr>
              <w:widowControl w:val="0"/>
              <w:jc w:val="both"/>
              <w:rPr>
                <w:vertAlign w:val="baseline"/>
              </w:rPr>
            </w:pPr>
          </w:p>
        </w:tc>
        <w:tc>
          <w:tcPr>
            <w:tcW w:w="1503" w:type="dxa"/>
          </w:tcPr>
          <w:p w14:paraId="5E44068F">
            <w:pPr>
              <w:widowControl w:val="0"/>
              <w:jc w:val="both"/>
              <w:rPr>
                <w:vertAlign w:val="baseline"/>
              </w:rPr>
            </w:pPr>
          </w:p>
        </w:tc>
      </w:tr>
      <w:tr w14:paraId="584A5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7B6F6CEE">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202-1</w:t>
            </w:r>
          </w:p>
        </w:tc>
        <w:tc>
          <w:tcPr>
            <w:tcW w:w="4037" w:type="dxa"/>
            <w:vAlign w:val="top"/>
          </w:tcPr>
          <w:p w14:paraId="5A5BC750">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清理与掘除</w:t>
            </w:r>
          </w:p>
        </w:tc>
        <w:tc>
          <w:tcPr>
            <w:tcW w:w="838" w:type="dxa"/>
            <w:vAlign w:val="top"/>
          </w:tcPr>
          <w:p w14:paraId="0D8FAF4D">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06BB8F90">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30140239">
            <w:pPr>
              <w:widowControl w:val="0"/>
              <w:jc w:val="both"/>
              <w:rPr>
                <w:vertAlign w:val="baseline"/>
              </w:rPr>
            </w:pPr>
          </w:p>
        </w:tc>
        <w:tc>
          <w:tcPr>
            <w:tcW w:w="1503" w:type="dxa"/>
          </w:tcPr>
          <w:p w14:paraId="2756FADA">
            <w:pPr>
              <w:widowControl w:val="0"/>
              <w:jc w:val="both"/>
              <w:rPr>
                <w:vertAlign w:val="baseline"/>
              </w:rPr>
            </w:pPr>
          </w:p>
        </w:tc>
      </w:tr>
      <w:tr w14:paraId="3FE63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7" w:type="dxa"/>
            <w:vAlign w:val="top"/>
          </w:tcPr>
          <w:p w14:paraId="66321AF1">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w:t>
            </w:r>
          </w:p>
        </w:tc>
        <w:tc>
          <w:tcPr>
            <w:tcW w:w="4037" w:type="dxa"/>
            <w:vAlign w:val="top"/>
          </w:tcPr>
          <w:p w14:paraId="3EC2125E">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清表</w:t>
            </w:r>
          </w:p>
        </w:tc>
        <w:tc>
          <w:tcPr>
            <w:tcW w:w="838" w:type="dxa"/>
            <w:vAlign w:val="top"/>
          </w:tcPr>
          <w:p w14:paraId="0228F119">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06904371">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6300.000 </w:t>
            </w:r>
          </w:p>
        </w:tc>
        <w:tc>
          <w:tcPr>
            <w:tcW w:w="999" w:type="dxa"/>
          </w:tcPr>
          <w:p w14:paraId="7E50BC4A">
            <w:pPr>
              <w:widowControl w:val="0"/>
              <w:jc w:val="both"/>
              <w:rPr>
                <w:vertAlign w:val="baseline"/>
              </w:rPr>
            </w:pPr>
          </w:p>
        </w:tc>
        <w:tc>
          <w:tcPr>
            <w:tcW w:w="1503" w:type="dxa"/>
          </w:tcPr>
          <w:p w14:paraId="1D06834A">
            <w:pPr>
              <w:widowControl w:val="0"/>
              <w:jc w:val="both"/>
              <w:rPr>
                <w:vertAlign w:val="baseline"/>
              </w:rPr>
            </w:pPr>
          </w:p>
        </w:tc>
      </w:tr>
      <w:tr w14:paraId="6CA24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0" w:type="dxa"/>
            <w:gridSpan w:val="6"/>
            <w:vAlign w:val="top"/>
          </w:tcPr>
          <w:p w14:paraId="222B3722">
            <w:pPr>
              <w:widowControl w:val="0"/>
              <w:jc w:val="center"/>
              <w:rPr>
                <w:rFonts w:hint="eastAsia" w:eastAsia="仿宋"/>
                <w:vertAlign w:val="baseline"/>
                <w:lang w:eastAsia="zh-CN"/>
              </w:rPr>
            </w:pPr>
            <w:r>
              <w:rPr>
                <w:rFonts w:hint="eastAsia" w:ascii="微软雅黑" w:hAnsi="微软雅黑" w:eastAsia="微软雅黑" w:cs="微软雅黑"/>
                <w:i w:val="0"/>
                <w:iCs w:val="0"/>
                <w:color w:val="000000"/>
                <w:kern w:val="0"/>
                <w:sz w:val="18"/>
                <w:szCs w:val="18"/>
                <w:u w:val="none"/>
                <w:lang w:val="en-US" w:eastAsia="zh-CN" w:bidi="ar"/>
              </w:rPr>
              <w:t>清单 第300章  路面（含平面交叉）</w:t>
            </w:r>
          </w:p>
        </w:tc>
      </w:tr>
      <w:tr w14:paraId="3499A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7" w:type="dxa"/>
            <w:vAlign w:val="top"/>
          </w:tcPr>
          <w:p w14:paraId="3D3CA122">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304 </w:t>
            </w:r>
          </w:p>
        </w:tc>
        <w:tc>
          <w:tcPr>
            <w:tcW w:w="4037" w:type="dxa"/>
            <w:vAlign w:val="top"/>
          </w:tcPr>
          <w:p w14:paraId="16DCE96A">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水泥稳定土底基层、基层</w:t>
            </w:r>
          </w:p>
        </w:tc>
        <w:tc>
          <w:tcPr>
            <w:tcW w:w="838" w:type="dxa"/>
            <w:vAlign w:val="top"/>
          </w:tcPr>
          <w:p w14:paraId="0E26FA34">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1910A700">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4631625D">
            <w:pPr>
              <w:widowControl w:val="0"/>
              <w:jc w:val="both"/>
              <w:rPr>
                <w:vertAlign w:val="baseline"/>
              </w:rPr>
            </w:pPr>
          </w:p>
        </w:tc>
        <w:tc>
          <w:tcPr>
            <w:tcW w:w="1503" w:type="dxa"/>
          </w:tcPr>
          <w:p w14:paraId="3966615D">
            <w:pPr>
              <w:widowControl w:val="0"/>
              <w:jc w:val="both"/>
              <w:rPr>
                <w:vertAlign w:val="baseline"/>
              </w:rPr>
            </w:pPr>
          </w:p>
        </w:tc>
      </w:tr>
      <w:tr w14:paraId="5A66F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616B5B81">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304-1</w:t>
            </w:r>
          </w:p>
        </w:tc>
        <w:tc>
          <w:tcPr>
            <w:tcW w:w="4037" w:type="dxa"/>
            <w:vAlign w:val="top"/>
          </w:tcPr>
          <w:p w14:paraId="09937B31">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水泥稳定土底基层</w:t>
            </w:r>
          </w:p>
        </w:tc>
        <w:tc>
          <w:tcPr>
            <w:tcW w:w="838" w:type="dxa"/>
            <w:vAlign w:val="top"/>
          </w:tcPr>
          <w:p w14:paraId="6A485DFD">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38861C41">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0FDB0BEE">
            <w:pPr>
              <w:widowControl w:val="0"/>
              <w:jc w:val="both"/>
              <w:rPr>
                <w:vertAlign w:val="baseline"/>
              </w:rPr>
            </w:pPr>
          </w:p>
        </w:tc>
        <w:tc>
          <w:tcPr>
            <w:tcW w:w="1503" w:type="dxa"/>
          </w:tcPr>
          <w:p w14:paraId="3A1DCC4D">
            <w:pPr>
              <w:widowControl w:val="0"/>
              <w:jc w:val="both"/>
              <w:rPr>
                <w:vertAlign w:val="baseline"/>
              </w:rPr>
            </w:pPr>
          </w:p>
        </w:tc>
      </w:tr>
      <w:tr w14:paraId="01D4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7BB01E8">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w:t>
            </w:r>
          </w:p>
        </w:tc>
        <w:tc>
          <w:tcPr>
            <w:tcW w:w="4037" w:type="dxa"/>
            <w:vAlign w:val="top"/>
          </w:tcPr>
          <w:p w14:paraId="30719CC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16cm厚水泥稳定基层</w:t>
            </w:r>
          </w:p>
        </w:tc>
        <w:tc>
          <w:tcPr>
            <w:tcW w:w="838" w:type="dxa"/>
            <w:vAlign w:val="top"/>
          </w:tcPr>
          <w:p w14:paraId="57495C62">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75179443">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6640.290 </w:t>
            </w:r>
          </w:p>
        </w:tc>
        <w:tc>
          <w:tcPr>
            <w:tcW w:w="999" w:type="dxa"/>
          </w:tcPr>
          <w:p w14:paraId="0AFE3780">
            <w:pPr>
              <w:widowControl w:val="0"/>
              <w:jc w:val="both"/>
              <w:rPr>
                <w:vertAlign w:val="baseline"/>
              </w:rPr>
            </w:pPr>
          </w:p>
        </w:tc>
        <w:tc>
          <w:tcPr>
            <w:tcW w:w="1503" w:type="dxa"/>
          </w:tcPr>
          <w:p w14:paraId="202D3DB9">
            <w:pPr>
              <w:widowControl w:val="0"/>
              <w:jc w:val="both"/>
              <w:rPr>
                <w:vertAlign w:val="baseline"/>
              </w:rPr>
            </w:pPr>
          </w:p>
        </w:tc>
      </w:tr>
      <w:tr w14:paraId="431AD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7" w:type="dxa"/>
            <w:vAlign w:val="top"/>
          </w:tcPr>
          <w:p w14:paraId="337CCBD8">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306 </w:t>
            </w:r>
          </w:p>
        </w:tc>
        <w:tc>
          <w:tcPr>
            <w:tcW w:w="4037" w:type="dxa"/>
            <w:vAlign w:val="top"/>
          </w:tcPr>
          <w:p w14:paraId="50536F5E">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级配碎(砾)石底基层、基层</w:t>
            </w:r>
          </w:p>
        </w:tc>
        <w:tc>
          <w:tcPr>
            <w:tcW w:w="838" w:type="dxa"/>
            <w:vAlign w:val="top"/>
          </w:tcPr>
          <w:p w14:paraId="74B1C22D">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202B0F78">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5A4556AE">
            <w:pPr>
              <w:widowControl w:val="0"/>
              <w:jc w:val="both"/>
              <w:rPr>
                <w:vertAlign w:val="baseline"/>
              </w:rPr>
            </w:pPr>
          </w:p>
        </w:tc>
        <w:tc>
          <w:tcPr>
            <w:tcW w:w="1503" w:type="dxa"/>
          </w:tcPr>
          <w:p w14:paraId="2D74C438">
            <w:pPr>
              <w:widowControl w:val="0"/>
              <w:jc w:val="both"/>
              <w:rPr>
                <w:vertAlign w:val="baseline"/>
              </w:rPr>
            </w:pPr>
          </w:p>
        </w:tc>
      </w:tr>
      <w:tr w14:paraId="5877A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BC59A9B">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306-3</w:t>
            </w:r>
          </w:p>
        </w:tc>
        <w:tc>
          <w:tcPr>
            <w:tcW w:w="4037" w:type="dxa"/>
            <w:vAlign w:val="top"/>
          </w:tcPr>
          <w:p w14:paraId="419ECBD8">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级配碎石基层</w:t>
            </w:r>
          </w:p>
        </w:tc>
        <w:tc>
          <w:tcPr>
            <w:tcW w:w="838" w:type="dxa"/>
            <w:vAlign w:val="top"/>
          </w:tcPr>
          <w:p w14:paraId="2152A425">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2AC414CE">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3B61F194">
            <w:pPr>
              <w:widowControl w:val="0"/>
              <w:jc w:val="both"/>
              <w:rPr>
                <w:vertAlign w:val="baseline"/>
              </w:rPr>
            </w:pPr>
          </w:p>
        </w:tc>
        <w:tc>
          <w:tcPr>
            <w:tcW w:w="1503" w:type="dxa"/>
          </w:tcPr>
          <w:p w14:paraId="7574DFAD">
            <w:pPr>
              <w:widowControl w:val="0"/>
              <w:jc w:val="both"/>
              <w:rPr>
                <w:vertAlign w:val="baseline"/>
              </w:rPr>
            </w:pPr>
          </w:p>
        </w:tc>
      </w:tr>
      <w:tr w14:paraId="27A77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434F0EDC">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w:t>
            </w:r>
          </w:p>
        </w:tc>
        <w:tc>
          <w:tcPr>
            <w:tcW w:w="4037" w:type="dxa"/>
            <w:vAlign w:val="top"/>
          </w:tcPr>
          <w:p w14:paraId="6DB1082E">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10cm厚级配碎石垫层</w:t>
            </w:r>
          </w:p>
        </w:tc>
        <w:tc>
          <w:tcPr>
            <w:tcW w:w="838" w:type="dxa"/>
            <w:vAlign w:val="top"/>
          </w:tcPr>
          <w:p w14:paraId="1AF578C1">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0EC8CC10">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6976.490 </w:t>
            </w:r>
          </w:p>
        </w:tc>
        <w:tc>
          <w:tcPr>
            <w:tcW w:w="999" w:type="dxa"/>
          </w:tcPr>
          <w:p w14:paraId="39571F26">
            <w:pPr>
              <w:widowControl w:val="0"/>
              <w:jc w:val="both"/>
              <w:rPr>
                <w:vertAlign w:val="baseline"/>
              </w:rPr>
            </w:pPr>
          </w:p>
        </w:tc>
        <w:tc>
          <w:tcPr>
            <w:tcW w:w="1503" w:type="dxa"/>
          </w:tcPr>
          <w:p w14:paraId="2224FC17">
            <w:pPr>
              <w:widowControl w:val="0"/>
              <w:jc w:val="both"/>
              <w:rPr>
                <w:vertAlign w:val="baseline"/>
              </w:rPr>
            </w:pPr>
          </w:p>
        </w:tc>
      </w:tr>
      <w:tr w14:paraId="57DCE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0E895716">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308 </w:t>
            </w:r>
          </w:p>
        </w:tc>
        <w:tc>
          <w:tcPr>
            <w:tcW w:w="4037" w:type="dxa"/>
            <w:vAlign w:val="top"/>
          </w:tcPr>
          <w:p w14:paraId="79F8B9FF">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透层和黏层</w:t>
            </w:r>
          </w:p>
        </w:tc>
        <w:tc>
          <w:tcPr>
            <w:tcW w:w="838" w:type="dxa"/>
            <w:vAlign w:val="top"/>
          </w:tcPr>
          <w:p w14:paraId="6CDC02E8">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56723EB1">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6420E30C">
            <w:pPr>
              <w:widowControl w:val="0"/>
              <w:jc w:val="both"/>
              <w:rPr>
                <w:vertAlign w:val="baseline"/>
              </w:rPr>
            </w:pPr>
          </w:p>
        </w:tc>
        <w:tc>
          <w:tcPr>
            <w:tcW w:w="1503" w:type="dxa"/>
          </w:tcPr>
          <w:p w14:paraId="438DDE3E">
            <w:pPr>
              <w:widowControl w:val="0"/>
              <w:jc w:val="both"/>
              <w:rPr>
                <w:vertAlign w:val="baseline"/>
              </w:rPr>
            </w:pPr>
          </w:p>
        </w:tc>
      </w:tr>
      <w:tr w14:paraId="6650FC74">
        <w:tblPrEx>
          <w:tblCellMar>
            <w:top w:w="0" w:type="dxa"/>
            <w:left w:w="108" w:type="dxa"/>
            <w:bottom w:w="0" w:type="dxa"/>
            <w:right w:w="108" w:type="dxa"/>
          </w:tblCellMar>
        </w:tblPrEx>
        <w:tc>
          <w:tcPr>
            <w:tcW w:w="867" w:type="dxa"/>
            <w:vAlign w:val="top"/>
          </w:tcPr>
          <w:p w14:paraId="3F62EFF7">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308-2</w:t>
            </w:r>
          </w:p>
        </w:tc>
        <w:tc>
          <w:tcPr>
            <w:tcW w:w="4037" w:type="dxa"/>
            <w:vAlign w:val="top"/>
          </w:tcPr>
          <w:p w14:paraId="56E92468">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黏层（含支线及平交口）</w:t>
            </w:r>
          </w:p>
        </w:tc>
        <w:tc>
          <w:tcPr>
            <w:tcW w:w="838" w:type="dxa"/>
            <w:vAlign w:val="top"/>
          </w:tcPr>
          <w:p w14:paraId="100F3F9C">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465EEF9E">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14917.400 </w:t>
            </w:r>
          </w:p>
        </w:tc>
        <w:tc>
          <w:tcPr>
            <w:tcW w:w="999" w:type="dxa"/>
          </w:tcPr>
          <w:p w14:paraId="41F19512">
            <w:pPr>
              <w:widowControl w:val="0"/>
              <w:jc w:val="both"/>
              <w:rPr>
                <w:vertAlign w:val="baseline"/>
              </w:rPr>
            </w:pPr>
          </w:p>
        </w:tc>
        <w:tc>
          <w:tcPr>
            <w:tcW w:w="1503" w:type="dxa"/>
          </w:tcPr>
          <w:p w14:paraId="4375BDFF">
            <w:pPr>
              <w:widowControl w:val="0"/>
              <w:jc w:val="both"/>
              <w:rPr>
                <w:vertAlign w:val="baseline"/>
              </w:rPr>
            </w:pPr>
          </w:p>
        </w:tc>
      </w:tr>
      <w:tr w14:paraId="7D649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FC2BA42">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311 </w:t>
            </w:r>
          </w:p>
        </w:tc>
        <w:tc>
          <w:tcPr>
            <w:tcW w:w="4037" w:type="dxa"/>
            <w:vAlign w:val="top"/>
          </w:tcPr>
          <w:p w14:paraId="4ED33611">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改性沥青及改性沥清混合料</w:t>
            </w:r>
          </w:p>
        </w:tc>
        <w:tc>
          <w:tcPr>
            <w:tcW w:w="838" w:type="dxa"/>
            <w:vAlign w:val="top"/>
          </w:tcPr>
          <w:p w14:paraId="285E2C38">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5A23FD76">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55B10411">
            <w:pPr>
              <w:widowControl w:val="0"/>
              <w:jc w:val="both"/>
              <w:rPr>
                <w:vertAlign w:val="baseline"/>
              </w:rPr>
            </w:pPr>
          </w:p>
        </w:tc>
        <w:tc>
          <w:tcPr>
            <w:tcW w:w="1503" w:type="dxa"/>
          </w:tcPr>
          <w:p w14:paraId="4FD0F7DF">
            <w:pPr>
              <w:widowControl w:val="0"/>
              <w:jc w:val="both"/>
              <w:rPr>
                <w:vertAlign w:val="baseline"/>
              </w:rPr>
            </w:pPr>
          </w:p>
        </w:tc>
      </w:tr>
      <w:tr w14:paraId="47D41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1281DE2F">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311-2</w:t>
            </w:r>
          </w:p>
        </w:tc>
        <w:tc>
          <w:tcPr>
            <w:tcW w:w="4037" w:type="dxa"/>
            <w:vAlign w:val="top"/>
          </w:tcPr>
          <w:p w14:paraId="47E7C765">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中粒式改性沥青混合料路面</w:t>
            </w:r>
          </w:p>
        </w:tc>
        <w:tc>
          <w:tcPr>
            <w:tcW w:w="838" w:type="dxa"/>
            <w:vAlign w:val="top"/>
          </w:tcPr>
          <w:p w14:paraId="5FEFBDE1">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581820A9">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7554D4EC">
            <w:pPr>
              <w:widowControl w:val="0"/>
              <w:jc w:val="both"/>
              <w:rPr>
                <w:vertAlign w:val="baseline"/>
              </w:rPr>
            </w:pPr>
          </w:p>
        </w:tc>
        <w:tc>
          <w:tcPr>
            <w:tcW w:w="1503" w:type="dxa"/>
          </w:tcPr>
          <w:p w14:paraId="50BC5FC5">
            <w:pPr>
              <w:widowControl w:val="0"/>
              <w:jc w:val="both"/>
              <w:rPr>
                <w:vertAlign w:val="baseline"/>
              </w:rPr>
            </w:pPr>
          </w:p>
        </w:tc>
      </w:tr>
      <w:tr w14:paraId="06B3D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4FDD00E9">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w:t>
            </w:r>
          </w:p>
        </w:tc>
        <w:tc>
          <w:tcPr>
            <w:tcW w:w="4037" w:type="dxa"/>
            <w:vAlign w:val="top"/>
          </w:tcPr>
          <w:p w14:paraId="08D88F18">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厚6cm厚中粒式密级配沥青砼（AC-16)</w:t>
            </w:r>
          </w:p>
        </w:tc>
        <w:tc>
          <w:tcPr>
            <w:tcW w:w="838" w:type="dxa"/>
            <w:vAlign w:val="top"/>
          </w:tcPr>
          <w:p w14:paraId="428D8F98">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4DF871F2">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15692.100 </w:t>
            </w:r>
          </w:p>
        </w:tc>
        <w:tc>
          <w:tcPr>
            <w:tcW w:w="999" w:type="dxa"/>
          </w:tcPr>
          <w:p w14:paraId="04935432">
            <w:pPr>
              <w:widowControl w:val="0"/>
              <w:jc w:val="both"/>
              <w:rPr>
                <w:vertAlign w:val="baseline"/>
              </w:rPr>
            </w:pPr>
          </w:p>
        </w:tc>
        <w:tc>
          <w:tcPr>
            <w:tcW w:w="1503" w:type="dxa"/>
          </w:tcPr>
          <w:p w14:paraId="7F0B5841">
            <w:pPr>
              <w:widowControl w:val="0"/>
              <w:jc w:val="both"/>
              <w:rPr>
                <w:vertAlign w:val="baseline"/>
              </w:rPr>
            </w:pPr>
          </w:p>
        </w:tc>
      </w:tr>
      <w:tr w14:paraId="0AC1E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168BA22E">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-d</w:t>
            </w:r>
          </w:p>
        </w:tc>
        <w:tc>
          <w:tcPr>
            <w:tcW w:w="4037" w:type="dxa"/>
            <w:vAlign w:val="top"/>
          </w:tcPr>
          <w:p w14:paraId="6964AC2B">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抗裂贴（玻纤格栅）</w:t>
            </w:r>
          </w:p>
        </w:tc>
        <w:tc>
          <w:tcPr>
            <w:tcW w:w="838" w:type="dxa"/>
            <w:vAlign w:val="top"/>
          </w:tcPr>
          <w:p w14:paraId="2913616E">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1EE3BBCB">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1121.370 </w:t>
            </w:r>
          </w:p>
        </w:tc>
        <w:tc>
          <w:tcPr>
            <w:tcW w:w="999" w:type="dxa"/>
          </w:tcPr>
          <w:p w14:paraId="39A0F1B6">
            <w:pPr>
              <w:widowControl w:val="0"/>
              <w:jc w:val="both"/>
              <w:rPr>
                <w:vertAlign w:val="baseline"/>
              </w:rPr>
            </w:pPr>
          </w:p>
        </w:tc>
        <w:tc>
          <w:tcPr>
            <w:tcW w:w="1503" w:type="dxa"/>
          </w:tcPr>
          <w:p w14:paraId="0C420EA0">
            <w:pPr>
              <w:widowControl w:val="0"/>
              <w:jc w:val="both"/>
              <w:rPr>
                <w:vertAlign w:val="baseline"/>
              </w:rPr>
            </w:pPr>
          </w:p>
        </w:tc>
      </w:tr>
      <w:tr w14:paraId="7D500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7E057D86">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-e</w:t>
            </w:r>
          </w:p>
        </w:tc>
        <w:tc>
          <w:tcPr>
            <w:tcW w:w="4037" w:type="dxa"/>
            <w:vAlign w:val="top"/>
          </w:tcPr>
          <w:p w14:paraId="19723D15">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厚3cm厚细粒式密级配沥青砼（AC-13)含加宽</w:t>
            </w:r>
          </w:p>
        </w:tc>
        <w:tc>
          <w:tcPr>
            <w:tcW w:w="838" w:type="dxa"/>
            <w:vAlign w:val="top"/>
          </w:tcPr>
          <w:p w14:paraId="4851DE16">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37A81583">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144.260 </w:t>
            </w:r>
          </w:p>
        </w:tc>
        <w:tc>
          <w:tcPr>
            <w:tcW w:w="999" w:type="dxa"/>
          </w:tcPr>
          <w:p w14:paraId="5F21ABF5">
            <w:pPr>
              <w:widowControl w:val="0"/>
              <w:jc w:val="both"/>
              <w:rPr>
                <w:vertAlign w:val="baseline"/>
              </w:rPr>
            </w:pPr>
          </w:p>
        </w:tc>
        <w:tc>
          <w:tcPr>
            <w:tcW w:w="1503" w:type="dxa"/>
          </w:tcPr>
          <w:p w14:paraId="7AD13A40">
            <w:pPr>
              <w:widowControl w:val="0"/>
              <w:jc w:val="both"/>
              <w:rPr>
                <w:vertAlign w:val="baseline"/>
              </w:rPr>
            </w:pPr>
          </w:p>
        </w:tc>
      </w:tr>
      <w:tr w14:paraId="242DB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102ECED">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-f</w:t>
            </w:r>
          </w:p>
        </w:tc>
        <w:tc>
          <w:tcPr>
            <w:tcW w:w="4037" w:type="dxa"/>
            <w:vAlign w:val="top"/>
          </w:tcPr>
          <w:p w14:paraId="2EB7A7AB">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沥青灌缝</w:t>
            </w:r>
          </w:p>
        </w:tc>
        <w:tc>
          <w:tcPr>
            <w:tcW w:w="838" w:type="dxa"/>
            <w:vAlign w:val="top"/>
          </w:tcPr>
          <w:p w14:paraId="777D0E1D">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w:t>
            </w:r>
          </w:p>
        </w:tc>
        <w:tc>
          <w:tcPr>
            <w:tcW w:w="1206" w:type="dxa"/>
            <w:vAlign w:val="top"/>
          </w:tcPr>
          <w:p w14:paraId="08FD1169">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816.670 </w:t>
            </w:r>
          </w:p>
        </w:tc>
        <w:tc>
          <w:tcPr>
            <w:tcW w:w="999" w:type="dxa"/>
          </w:tcPr>
          <w:p w14:paraId="45FE6203">
            <w:pPr>
              <w:widowControl w:val="0"/>
              <w:jc w:val="both"/>
              <w:rPr>
                <w:vertAlign w:val="baseline"/>
              </w:rPr>
            </w:pPr>
          </w:p>
        </w:tc>
        <w:tc>
          <w:tcPr>
            <w:tcW w:w="1503" w:type="dxa"/>
          </w:tcPr>
          <w:p w14:paraId="36E963C6">
            <w:pPr>
              <w:widowControl w:val="0"/>
              <w:jc w:val="both"/>
              <w:rPr>
                <w:vertAlign w:val="baseline"/>
              </w:rPr>
            </w:pPr>
          </w:p>
        </w:tc>
      </w:tr>
      <w:tr w14:paraId="60B5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4BB28C1C">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h</w:t>
            </w:r>
          </w:p>
        </w:tc>
        <w:tc>
          <w:tcPr>
            <w:tcW w:w="4037" w:type="dxa"/>
            <w:vAlign w:val="top"/>
          </w:tcPr>
          <w:p w14:paraId="647EE040">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厚5cm厚中粒式密级配沥青砼（AC-16)</w:t>
            </w:r>
          </w:p>
        </w:tc>
        <w:tc>
          <w:tcPr>
            <w:tcW w:w="838" w:type="dxa"/>
            <w:vAlign w:val="top"/>
          </w:tcPr>
          <w:p w14:paraId="085ECF32">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209BC38C">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144.260 </w:t>
            </w:r>
          </w:p>
        </w:tc>
        <w:tc>
          <w:tcPr>
            <w:tcW w:w="999" w:type="dxa"/>
          </w:tcPr>
          <w:p w14:paraId="1634C280">
            <w:pPr>
              <w:widowControl w:val="0"/>
              <w:jc w:val="both"/>
              <w:rPr>
                <w:vertAlign w:val="baseline"/>
              </w:rPr>
            </w:pPr>
          </w:p>
        </w:tc>
        <w:tc>
          <w:tcPr>
            <w:tcW w:w="1503" w:type="dxa"/>
          </w:tcPr>
          <w:p w14:paraId="1615B2FC">
            <w:pPr>
              <w:widowControl w:val="0"/>
              <w:jc w:val="both"/>
              <w:rPr>
                <w:vertAlign w:val="baseline"/>
              </w:rPr>
            </w:pPr>
          </w:p>
        </w:tc>
      </w:tr>
      <w:tr w14:paraId="6480A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1DB32E8F">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312 </w:t>
            </w:r>
          </w:p>
        </w:tc>
        <w:tc>
          <w:tcPr>
            <w:tcW w:w="4037" w:type="dxa"/>
            <w:vAlign w:val="top"/>
          </w:tcPr>
          <w:p w14:paraId="028715B0">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水泥混凝土面板</w:t>
            </w:r>
          </w:p>
        </w:tc>
        <w:tc>
          <w:tcPr>
            <w:tcW w:w="838" w:type="dxa"/>
            <w:vAlign w:val="top"/>
          </w:tcPr>
          <w:p w14:paraId="7710441E">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4957D8FC">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2087F0D9">
            <w:pPr>
              <w:widowControl w:val="0"/>
              <w:jc w:val="both"/>
              <w:rPr>
                <w:vertAlign w:val="baseline"/>
              </w:rPr>
            </w:pPr>
          </w:p>
        </w:tc>
        <w:tc>
          <w:tcPr>
            <w:tcW w:w="1503" w:type="dxa"/>
          </w:tcPr>
          <w:p w14:paraId="5E30D484">
            <w:pPr>
              <w:widowControl w:val="0"/>
              <w:jc w:val="both"/>
              <w:rPr>
                <w:vertAlign w:val="baseline"/>
              </w:rPr>
            </w:pPr>
          </w:p>
        </w:tc>
      </w:tr>
      <w:tr w14:paraId="5C3CA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71E4F083">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312-1</w:t>
            </w:r>
          </w:p>
        </w:tc>
        <w:tc>
          <w:tcPr>
            <w:tcW w:w="4037" w:type="dxa"/>
            <w:vAlign w:val="top"/>
          </w:tcPr>
          <w:p w14:paraId="7EC318AB">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C30砼20cm厚水泥混凝土面板</w:t>
            </w:r>
          </w:p>
        </w:tc>
        <w:tc>
          <w:tcPr>
            <w:tcW w:w="838" w:type="dxa"/>
            <w:vAlign w:val="top"/>
          </w:tcPr>
          <w:p w14:paraId="55B1FCFF">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26048E1F">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5789.750 </w:t>
            </w:r>
          </w:p>
        </w:tc>
        <w:tc>
          <w:tcPr>
            <w:tcW w:w="999" w:type="dxa"/>
          </w:tcPr>
          <w:p w14:paraId="65B63089">
            <w:pPr>
              <w:widowControl w:val="0"/>
              <w:jc w:val="both"/>
              <w:rPr>
                <w:vertAlign w:val="baseline"/>
              </w:rPr>
            </w:pPr>
          </w:p>
        </w:tc>
        <w:tc>
          <w:tcPr>
            <w:tcW w:w="1503" w:type="dxa"/>
          </w:tcPr>
          <w:p w14:paraId="6E920D73">
            <w:pPr>
              <w:widowControl w:val="0"/>
              <w:jc w:val="both"/>
              <w:rPr>
                <w:vertAlign w:val="baseline"/>
              </w:rPr>
            </w:pPr>
          </w:p>
        </w:tc>
      </w:tr>
      <w:tr w14:paraId="20992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23CFAA4D">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312-2</w:t>
            </w:r>
          </w:p>
        </w:tc>
        <w:tc>
          <w:tcPr>
            <w:tcW w:w="4037" w:type="dxa"/>
            <w:vAlign w:val="top"/>
          </w:tcPr>
          <w:p w14:paraId="0043F49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C30砼18cm厚水泥混凝土面板</w:t>
            </w:r>
          </w:p>
        </w:tc>
        <w:tc>
          <w:tcPr>
            <w:tcW w:w="838" w:type="dxa"/>
            <w:vAlign w:val="top"/>
          </w:tcPr>
          <w:p w14:paraId="3C04F14A">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3F6577FC">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404.540 </w:t>
            </w:r>
          </w:p>
        </w:tc>
        <w:tc>
          <w:tcPr>
            <w:tcW w:w="999" w:type="dxa"/>
          </w:tcPr>
          <w:p w14:paraId="5145D772">
            <w:pPr>
              <w:widowControl w:val="0"/>
              <w:jc w:val="both"/>
              <w:rPr>
                <w:vertAlign w:val="baseline"/>
              </w:rPr>
            </w:pPr>
          </w:p>
        </w:tc>
        <w:tc>
          <w:tcPr>
            <w:tcW w:w="1503" w:type="dxa"/>
          </w:tcPr>
          <w:p w14:paraId="48FB68C2">
            <w:pPr>
              <w:widowControl w:val="0"/>
              <w:jc w:val="both"/>
              <w:rPr>
                <w:vertAlign w:val="baseline"/>
              </w:rPr>
            </w:pPr>
          </w:p>
        </w:tc>
      </w:tr>
      <w:tr w14:paraId="1F63F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7143753C">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312-3</w:t>
            </w:r>
          </w:p>
        </w:tc>
        <w:tc>
          <w:tcPr>
            <w:tcW w:w="4037" w:type="dxa"/>
            <w:vAlign w:val="top"/>
          </w:tcPr>
          <w:p w14:paraId="2C4FC5C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更换面板拉杆钢筋</w:t>
            </w:r>
          </w:p>
        </w:tc>
        <w:tc>
          <w:tcPr>
            <w:tcW w:w="838" w:type="dxa"/>
            <w:vAlign w:val="top"/>
          </w:tcPr>
          <w:p w14:paraId="6A3D9253">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kg</w:t>
            </w:r>
          </w:p>
        </w:tc>
        <w:tc>
          <w:tcPr>
            <w:tcW w:w="1206" w:type="dxa"/>
            <w:vAlign w:val="top"/>
          </w:tcPr>
          <w:p w14:paraId="56C3CDAC">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4629.800 </w:t>
            </w:r>
          </w:p>
        </w:tc>
        <w:tc>
          <w:tcPr>
            <w:tcW w:w="999" w:type="dxa"/>
          </w:tcPr>
          <w:p w14:paraId="7ADF448C">
            <w:pPr>
              <w:widowControl w:val="0"/>
              <w:jc w:val="both"/>
              <w:rPr>
                <w:vertAlign w:val="baseline"/>
              </w:rPr>
            </w:pPr>
          </w:p>
        </w:tc>
        <w:tc>
          <w:tcPr>
            <w:tcW w:w="1503" w:type="dxa"/>
          </w:tcPr>
          <w:p w14:paraId="0C2AA204">
            <w:pPr>
              <w:widowControl w:val="0"/>
              <w:jc w:val="both"/>
              <w:rPr>
                <w:vertAlign w:val="baseline"/>
              </w:rPr>
            </w:pPr>
          </w:p>
        </w:tc>
      </w:tr>
      <w:tr w14:paraId="7698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7" w:type="dxa"/>
            <w:vAlign w:val="top"/>
          </w:tcPr>
          <w:p w14:paraId="0886AF7C">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313 </w:t>
            </w:r>
          </w:p>
        </w:tc>
        <w:tc>
          <w:tcPr>
            <w:tcW w:w="4037" w:type="dxa"/>
            <w:vAlign w:val="top"/>
          </w:tcPr>
          <w:p w14:paraId="5B1218F6">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路槽、路肩及中央分隔带</w:t>
            </w:r>
          </w:p>
        </w:tc>
        <w:tc>
          <w:tcPr>
            <w:tcW w:w="838" w:type="dxa"/>
            <w:vAlign w:val="top"/>
          </w:tcPr>
          <w:p w14:paraId="0BA97700">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22FE8AA9">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5156083A">
            <w:pPr>
              <w:widowControl w:val="0"/>
              <w:jc w:val="both"/>
              <w:rPr>
                <w:vertAlign w:val="baseline"/>
              </w:rPr>
            </w:pPr>
          </w:p>
        </w:tc>
        <w:tc>
          <w:tcPr>
            <w:tcW w:w="1503" w:type="dxa"/>
          </w:tcPr>
          <w:p w14:paraId="04397EBA">
            <w:pPr>
              <w:widowControl w:val="0"/>
              <w:jc w:val="both"/>
              <w:rPr>
                <w:vertAlign w:val="baseline"/>
              </w:rPr>
            </w:pPr>
          </w:p>
        </w:tc>
      </w:tr>
      <w:tr w14:paraId="65360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7" w:type="dxa"/>
            <w:vAlign w:val="top"/>
          </w:tcPr>
          <w:p w14:paraId="5392B9C5">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313-1</w:t>
            </w:r>
          </w:p>
        </w:tc>
        <w:tc>
          <w:tcPr>
            <w:tcW w:w="4037" w:type="dxa"/>
            <w:vAlign w:val="top"/>
          </w:tcPr>
          <w:p w14:paraId="6A67FB44">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路肩培土</w:t>
            </w:r>
          </w:p>
        </w:tc>
        <w:tc>
          <w:tcPr>
            <w:tcW w:w="838" w:type="dxa"/>
            <w:vAlign w:val="top"/>
          </w:tcPr>
          <w:p w14:paraId="175F832C">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614E5CB9">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3D6CAD4A">
            <w:pPr>
              <w:widowControl w:val="0"/>
              <w:jc w:val="both"/>
              <w:rPr>
                <w:vertAlign w:val="baseline"/>
              </w:rPr>
            </w:pPr>
          </w:p>
        </w:tc>
        <w:tc>
          <w:tcPr>
            <w:tcW w:w="1503" w:type="dxa"/>
          </w:tcPr>
          <w:p w14:paraId="5D4E43EB">
            <w:pPr>
              <w:widowControl w:val="0"/>
              <w:jc w:val="both"/>
              <w:rPr>
                <w:vertAlign w:val="baseline"/>
              </w:rPr>
            </w:pPr>
          </w:p>
        </w:tc>
      </w:tr>
      <w:tr w14:paraId="71277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1EE1214D">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w:t>
            </w:r>
          </w:p>
        </w:tc>
        <w:tc>
          <w:tcPr>
            <w:tcW w:w="4037" w:type="dxa"/>
            <w:vAlign w:val="top"/>
          </w:tcPr>
          <w:p w14:paraId="1511C960">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路肩培土</w:t>
            </w:r>
          </w:p>
        </w:tc>
        <w:tc>
          <w:tcPr>
            <w:tcW w:w="838" w:type="dxa"/>
            <w:vAlign w:val="top"/>
          </w:tcPr>
          <w:p w14:paraId="28C9D7BE">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m3</w:t>
            </w:r>
          </w:p>
        </w:tc>
        <w:tc>
          <w:tcPr>
            <w:tcW w:w="1206" w:type="dxa"/>
            <w:vAlign w:val="top"/>
          </w:tcPr>
          <w:p w14:paraId="1C40BAD9">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876.000 </w:t>
            </w:r>
          </w:p>
        </w:tc>
        <w:tc>
          <w:tcPr>
            <w:tcW w:w="999" w:type="dxa"/>
          </w:tcPr>
          <w:p w14:paraId="7F243049">
            <w:pPr>
              <w:widowControl w:val="0"/>
              <w:jc w:val="both"/>
              <w:rPr>
                <w:vertAlign w:val="baseline"/>
              </w:rPr>
            </w:pPr>
          </w:p>
        </w:tc>
        <w:tc>
          <w:tcPr>
            <w:tcW w:w="1503" w:type="dxa"/>
          </w:tcPr>
          <w:p w14:paraId="3292D162">
            <w:pPr>
              <w:widowControl w:val="0"/>
              <w:jc w:val="both"/>
              <w:rPr>
                <w:vertAlign w:val="baseline"/>
              </w:rPr>
            </w:pPr>
          </w:p>
        </w:tc>
      </w:tr>
      <w:tr w14:paraId="18EB0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0" w:type="dxa"/>
            <w:gridSpan w:val="6"/>
            <w:vAlign w:val="top"/>
          </w:tcPr>
          <w:p w14:paraId="3091CCBD">
            <w:pPr>
              <w:widowControl w:val="0"/>
              <w:jc w:val="center"/>
              <w:rPr>
                <w:rFonts w:hint="eastAsia" w:eastAsia="仿宋"/>
                <w:vertAlign w:val="baseline"/>
                <w:lang w:eastAsia="zh-CN"/>
              </w:rPr>
            </w:pPr>
            <w:r>
              <w:rPr>
                <w:rFonts w:hint="eastAsia" w:ascii="微软雅黑" w:hAnsi="微软雅黑" w:eastAsia="微软雅黑" w:cs="微软雅黑"/>
                <w:i w:val="0"/>
                <w:iCs w:val="0"/>
                <w:color w:val="000000"/>
                <w:kern w:val="0"/>
                <w:sz w:val="18"/>
                <w:szCs w:val="18"/>
                <w:u w:val="none"/>
                <w:lang w:val="en-US" w:eastAsia="zh-CN" w:bidi="ar"/>
              </w:rPr>
              <w:t>清单 第400章  桥梁、涵洞</w:t>
            </w:r>
          </w:p>
        </w:tc>
      </w:tr>
      <w:tr w14:paraId="13F92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10E73BA5">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419 </w:t>
            </w:r>
          </w:p>
        </w:tc>
        <w:tc>
          <w:tcPr>
            <w:tcW w:w="4037" w:type="dxa"/>
            <w:vAlign w:val="top"/>
          </w:tcPr>
          <w:p w14:paraId="698C6182">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圆管涵及倒虹吸管涵</w:t>
            </w:r>
          </w:p>
        </w:tc>
        <w:tc>
          <w:tcPr>
            <w:tcW w:w="838" w:type="dxa"/>
            <w:vAlign w:val="top"/>
          </w:tcPr>
          <w:p w14:paraId="2B093A7B">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0B206D42">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25C9EAB7">
            <w:pPr>
              <w:widowControl w:val="0"/>
              <w:jc w:val="both"/>
              <w:rPr>
                <w:vertAlign w:val="baseline"/>
              </w:rPr>
            </w:pPr>
          </w:p>
        </w:tc>
        <w:tc>
          <w:tcPr>
            <w:tcW w:w="1503" w:type="dxa"/>
          </w:tcPr>
          <w:p w14:paraId="35BFA14C">
            <w:pPr>
              <w:widowControl w:val="0"/>
              <w:jc w:val="both"/>
              <w:rPr>
                <w:vertAlign w:val="baseline"/>
              </w:rPr>
            </w:pPr>
          </w:p>
        </w:tc>
      </w:tr>
      <w:tr w14:paraId="2CB69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2069B607">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419-1</w:t>
            </w:r>
          </w:p>
        </w:tc>
        <w:tc>
          <w:tcPr>
            <w:tcW w:w="4037" w:type="dxa"/>
            <w:vAlign w:val="top"/>
          </w:tcPr>
          <w:p w14:paraId="26E46770">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1-0.5m单孔钢筋混凝土圆管涵</w:t>
            </w:r>
          </w:p>
        </w:tc>
        <w:tc>
          <w:tcPr>
            <w:tcW w:w="838" w:type="dxa"/>
            <w:vAlign w:val="top"/>
          </w:tcPr>
          <w:p w14:paraId="08EAFB28">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w:t>
            </w:r>
          </w:p>
        </w:tc>
        <w:tc>
          <w:tcPr>
            <w:tcW w:w="1206" w:type="dxa"/>
            <w:vAlign w:val="top"/>
          </w:tcPr>
          <w:p w14:paraId="233ADC6B">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7.000 </w:t>
            </w:r>
          </w:p>
        </w:tc>
        <w:tc>
          <w:tcPr>
            <w:tcW w:w="999" w:type="dxa"/>
          </w:tcPr>
          <w:p w14:paraId="2F5BA2ED">
            <w:pPr>
              <w:widowControl w:val="0"/>
              <w:jc w:val="both"/>
              <w:rPr>
                <w:vertAlign w:val="baseline"/>
              </w:rPr>
            </w:pPr>
          </w:p>
        </w:tc>
        <w:tc>
          <w:tcPr>
            <w:tcW w:w="1503" w:type="dxa"/>
          </w:tcPr>
          <w:p w14:paraId="25F21DBA">
            <w:pPr>
              <w:widowControl w:val="0"/>
              <w:jc w:val="both"/>
              <w:rPr>
                <w:vertAlign w:val="baseline"/>
              </w:rPr>
            </w:pPr>
          </w:p>
        </w:tc>
      </w:tr>
      <w:tr w14:paraId="6E22A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3B424E4">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419-1</w:t>
            </w:r>
          </w:p>
        </w:tc>
        <w:tc>
          <w:tcPr>
            <w:tcW w:w="4037" w:type="dxa"/>
            <w:vAlign w:val="top"/>
          </w:tcPr>
          <w:p w14:paraId="407CBB98">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1-0.75m单孔钢筋混凝土圆管涵</w:t>
            </w:r>
          </w:p>
        </w:tc>
        <w:tc>
          <w:tcPr>
            <w:tcW w:w="838" w:type="dxa"/>
            <w:vAlign w:val="top"/>
          </w:tcPr>
          <w:p w14:paraId="72936C89">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w:t>
            </w:r>
          </w:p>
        </w:tc>
        <w:tc>
          <w:tcPr>
            <w:tcW w:w="1206" w:type="dxa"/>
            <w:vAlign w:val="top"/>
          </w:tcPr>
          <w:p w14:paraId="086F6D62">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4.000 </w:t>
            </w:r>
          </w:p>
        </w:tc>
        <w:tc>
          <w:tcPr>
            <w:tcW w:w="999" w:type="dxa"/>
          </w:tcPr>
          <w:p w14:paraId="307A7572">
            <w:pPr>
              <w:widowControl w:val="0"/>
              <w:jc w:val="both"/>
              <w:rPr>
                <w:vertAlign w:val="baseline"/>
              </w:rPr>
            </w:pPr>
          </w:p>
        </w:tc>
        <w:tc>
          <w:tcPr>
            <w:tcW w:w="1503" w:type="dxa"/>
          </w:tcPr>
          <w:p w14:paraId="66D1628C">
            <w:pPr>
              <w:widowControl w:val="0"/>
              <w:jc w:val="both"/>
              <w:rPr>
                <w:vertAlign w:val="baseline"/>
              </w:rPr>
            </w:pPr>
          </w:p>
        </w:tc>
      </w:tr>
      <w:tr w14:paraId="400D3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FDB17B7">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419-1</w:t>
            </w:r>
          </w:p>
        </w:tc>
        <w:tc>
          <w:tcPr>
            <w:tcW w:w="4037" w:type="dxa"/>
            <w:vAlign w:val="top"/>
          </w:tcPr>
          <w:p w14:paraId="3DBCDE3B">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1-1.2m单孔钢筋混凝土圆管涵</w:t>
            </w:r>
          </w:p>
        </w:tc>
        <w:tc>
          <w:tcPr>
            <w:tcW w:w="838" w:type="dxa"/>
            <w:vAlign w:val="top"/>
          </w:tcPr>
          <w:p w14:paraId="3D079458">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w:t>
            </w:r>
          </w:p>
        </w:tc>
        <w:tc>
          <w:tcPr>
            <w:tcW w:w="1206" w:type="dxa"/>
            <w:vAlign w:val="top"/>
          </w:tcPr>
          <w:p w14:paraId="5F20E98D">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9.000 </w:t>
            </w:r>
          </w:p>
        </w:tc>
        <w:tc>
          <w:tcPr>
            <w:tcW w:w="999" w:type="dxa"/>
          </w:tcPr>
          <w:p w14:paraId="4929BD49">
            <w:pPr>
              <w:widowControl w:val="0"/>
              <w:jc w:val="both"/>
              <w:rPr>
                <w:vertAlign w:val="baseline"/>
              </w:rPr>
            </w:pPr>
          </w:p>
        </w:tc>
        <w:tc>
          <w:tcPr>
            <w:tcW w:w="1503" w:type="dxa"/>
          </w:tcPr>
          <w:p w14:paraId="4A43338B">
            <w:pPr>
              <w:widowControl w:val="0"/>
              <w:jc w:val="both"/>
              <w:rPr>
                <w:vertAlign w:val="baseline"/>
              </w:rPr>
            </w:pPr>
          </w:p>
        </w:tc>
      </w:tr>
      <w:tr w14:paraId="4D541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5F2790D4">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420 </w:t>
            </w:r>
          </w:p>
        </w:tc>
        <w:tc>
          <w:tcPr>
            <w:tcW w:w="4037" w:type="dxa"/>
            <w:vAlign w:val="top"/>
          </w:tcPr>
          <w:p w14:paraId="1EA759F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盖板涵、箱涵</w:t>
            </w:r>
          </w:p>
        </w:tc>
        <w:tc>
          <w:tcPr>
            <w:tcW w:w="838" w:type="dxa"/>
            <w:vAlign w:val="top"/>
          </w:tcPr>
          <w:p w14:paraId="6ACFB9BA">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6A88115C">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7F60A271">
            <w:pPr>
              <w:widowControl w:val="0"/>
              <w:jc w:val="both"/>
              <w:rPr>
                <w:vertAlign w:val="baseline"/>
              </w:rPr>
            </w:pPr>
          </w:p>
        </w:tc>
        <w:tc>
          <w:tcPr>
            <w:tcW w:w="1503" w:type="dxa"/>
          </w:tcPr>
          <w:p w14:paraId="360A0C24">
            <w:pPr>
              <w:widowControl w:val="0"/>
              <w:jc w:val="both"/>
              <w:rPr>
                <w:vertAlign w:val="baseline"/>
              </w:rPr>
            </w:pPr>
          </w:p>
        </w:tc>
      </w:tr>
      <w:tr w14:paraId="09ABD060">
        <w:tblPrEx>
          <w:tblCellMar>
            <w:top w:w="0" w:type="dxa"/>
            <w:left w:w="108" w:type="dxa"/>
            <w:bottom w:w="0" w:type="dxa"/>
            <w:right w:w="108" w:type="dxa"/>
          </w:tblCellMar>
        </w:tblPrEx>
        <w:tc>
          <w:tcPr>
            <w:tcW w:w="867" w:type="dxa"/>
            <w:vAlign w:val="top"/>
          </w:tcPr>
          <w:p w14:paraId="6B73AA27">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420-1</w:t>
            </w:r>
          </w:p>
        </w:tc>
        <w:tc>
          <w:tcPr>
            <w:tcW w:w="4037" w:type="dxa"/>
            <w:vAlign w:val="top"/>
          </w:tcPr>
          <w:p w14:paraId="0C54DD21">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钢筋混凝土盖板涵</w:t>
            </w:r>
          </w:p>
        </w:tc>
        <w:tc>
          <w:tcPr>
            <w:tcW w:w="838" w:type="dxa"/>
            <w:vAlign w:val="top"/>
          </w:tcPr>
          <w:p w14:paraId="40862E85">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w:t>
            </w:r>
          </w:p>
        </w:tc>
        <w:tc>
          <w:tcPr>
            <w:tcW w:w="1206" w:type="dxa"/>
            <w:vAlign w:val="top"/>
          </w:tcPr>
          <w:p w14:paraId="0CBB53B0">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2.000 </w:t>
            </w:r>
          </w:p>
        </w:tc>
        <w:tc>
          <w:tcPr>
            <w:tcW w:w="999" w:type="dxa"/>
          </w:tcPr>
          <w:p w14:paraId="17A6A2BD">
            <w:pPr>
              <w:widowControl w:val="0"/>
              <w:jc w:val="both"/>
              <w:rPr>
                <w:vertAlign w:val="baseline"/>
              </w:rPr>
            </w:pPr>
          </w:p>
        </w:tc>
        <w:tc>
          <w:tcPr>
            <w:tcW w:w="1503" w:type="dxa"/>
          </w:tcPr>
          <w:p w14:paraId="23187C56">
            <w:pPr>
              <w:widowControl w:val="0"/>
              <w:jc w:val="both"/>
              <w:rPr>
                <w:vertAlign w:val="baseline"/>
              </w:rPr>
            </w:pPr>
          </w:p>
        </w:tc>
      </w:tr>
      <w:tr w14:paraId="2D481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0" w:type="dxa"/>
            <w:gridSpan w:val="6"/>
            <w:vAlign w:val="top"/>
          </w:tcPr>
          <w:p w14:paraId="1BD8A4CE">
            <w:pPr>
              <w:widowControl w:val="0"/>
              <w:jc w:val="center"/>
              <w:rPr>
                <w:vertAlign w:val="baseline"/>
              </w:rPr>
            </w:pPr>
            <w:r>
              <w:rPr>
                <w:rFonts w:hint="eastAsia" w:ascii="微软雅黑" w:hAnsi="微软雅黑" w:eastAsia="微软雅黑" w:cs="微软雅黑"/>
                <w:i w:val="0"/>
                <w:iCs w:val="0"/>
                <w:color w:val="000000"/>
                <w:kern w:val="0"/>
                <w:sz w:val="18"/>
                <w:szCs w:val="18"/>
                <w:u w:val="none"/>
                <w:lang w:val="en-US" w:eastAsia="zh-CN" w:bidi="ar"/>
              </w:rPr>
              <w:t>清单 第600章  安全设施及预埋管线</w:t>
            </w:r>
          </w:p>
        </w:tc>
      </w:tr>
      <w:tr w14:paraId="49F66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1D7FBCB4">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602 </w:t>
            </w:r>
          </w:p>
        </w:tc>
        <w:tc>
          <w:tcPr>
            <w:tcW w:w="4037" w:type="dxa"/>
            <w:vAlign w:val="top"/>
          </w:tcPr>
          <w:p w14:paraId="113EFD5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拆除重装波形护栏</w:t>
            </w:r>
          </w:p>
        </w:tc>
        <w:tc>
          <w:tcPr>
            <w:tcW w:w="838" w:type="dxa"/>
            <w:vAlign w:val="top"/>
          </w:tcPr>
          <w:p w14:paraId="4342F7B2">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517BDBCD">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5B1C9877">
            <w:pPr>
              <w:widowControl w:val="0"/>
              <w:jc w:val="both"/>
              <w:rPr>
                <w:vertAlign w:val="baseline"/>
              </w:rPr>
            </w:pPr>
          </w:p>
        </w:tc>
        <w:tc>
          <w:tcPr>
            <w:tcW w:w="1503" w:type="dxa"/>
          </w:tcPr>
          <w:p w14:paraId="2A97CB94">
            <w:pPr>
              <w:widowControl w:val="0"/>
              <w:jc w:val="both"/>
              <w:rPr>
                <w:vertAlign w:val="baseline"/>
              </w:rPr>
            </w:pPr>
          </w:p>
        </w:tc>
      </w:tr>
      <w:tr w14:paraId="4C21B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67" w:type="dxa"/>
            <w:vAlign w:val="top"/>
          </w:tcPr>
          <w:p w14:paraId="30044858">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602-3</w:t>
            </w:r>
          </w:p>
        </w:tc>
        <w:tc>
          <w:tcPr>
            <w:tcW w:w="4037" w:type="dxa"/>
            <w:vAlign w:val="top"/>
          </w:tcPr>
          <w:p w14:paraId="24A3F46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拆除重装波形梁钢护栏</w:t>
            </w:r>
          </w:p>
        </w:tc>
        <w:tc>
          <w:tcPr>
            <w:tcW w:w="838" w:type="dxa"/>
            <w:vAlign w:val="top"/>
          </w:tcPr>
          <w:p w14:paraId="210D415C">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3A7F269B">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7B130688">
            <w:pPr>
              <w:widowControl w:val="0"/>
              <w:jc w:val="both"/>
              <w:rPr>
                <w:vertAlign w:val="baseline"/>
              </w:rPr>
            </w:pPr>
          </w:p>
        </w:tc>
        <w:tc>
          <w:tcPr>
            <w:tcW w:w="1503" w:type="dxa"/>
          </w:tcPr>
          <w:p w14:paraId="0CBD4B5C">
            <w:pPr>
              <w:widowControl w:val="0"/>
              <w:jc w:val="both"/>
              <w:rPr>
                <w:vertAlign w:val="baseline"/>
              </w:rPr>
            </w:pPr>
          </w:p>
        </w:tc>
      </w:tr>
      <w:tr w14:paraId="39504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509FC2E0">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w:t>
            </w:r>
          </w:p>
        </w:tc>
        <w:tc>
          <w:tcPr>
            <w:tcW w:w="4037" w:type="dxa"/>
            <w:vAlign w:val="top"/>
          </w:tcPr>
          <w:p w14:paraId="20E9CFE8">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拆除重装路侧波形梁钢护栏（含基础）</w:t>
            </w:r>
          </w:p>
        </w:tc>
        <w:tc>
          <w:tcPr>
            <w:tcW w:w="838" w:type="dxa"/>
            <w:vAlign w:val="top"/>
          </w:tcPr>
          <w:p w14:paraId="452B275E">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w:t>
            </w:r>
          </w:p>
        </w:tc>
        <w:tc>
          <w:tcPr>
            <w:tcW w:w="1206" w:type="dxa"/>
            <w:vAlign w:val="top"/>
          </w:tcPr>
          <w:p w14:paraId="07C2628D">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487.000 </w:t>
            </w:r>
          </w:p>
        </w:tc>
        <w:tc>
          <w:tcPr>
            <w:tcW w:w="999" w:type="dxa"/>
          </w:tcPr>
          <w:p w14:paraId="522BD126">
            <w:pPr>
              <w:widowControl w:val="0"/>
              <w:jc w:val="both"/>
              <w:rPr>
                <w:vertAlign w:val="baseline"/>
              </w:rPr>
            </w:pPr>
          </w:p>
        </w:tc>
        <w:tc>
          <w:tcPr>
            <w:tcW w:w="1503" w:type="dxa"/>
          </w:tcPr>
          <w:p w14:paraId="7D50CC87">
            <w:pPr>
              <w:widowControl w:val="0"/>
              <w:jc w:val="both"/>
              <w:rPr>
                <w:vertAlign w:val="baseline"/>
              </w:rPr>
            </w:pPr>
          </w:p>
        </w:tc>
      </w:tr>
      <w:tr w14:paraId="39766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539942A4">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604 </w:t>
            </w:r>
          </w:p>
        </w:tc>
        <w:tc>
          <w:tcPr>
            <w:tcW w:w="4037" w:type="dxa"/>
            <w:vAlign w:val="top"/>
          </w:tcPr>
          <w:p w14:paraId="71A17481">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道路交通标志</w:t>
            </w:r>
          </w:p>
        </w:tc>
        <w:tc>
          <w:tcPr>
            <w:tcW w:w="838" w:type="dxa"/>
            <w:vAlign w:val="top"/>
          </w:tcPr>
          <w:p w14:paraId="4864FDD5">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108F2C44">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787A3CDF">
            <w:pPr>
              <w:widowControl w:val="0"/>
              <w:jc w:val="both"/>
              <w:rPr>
                <w:vertAlign w:val="baseline"/>
              </w:rPr>
            </w:pPr>
          </w:p>
        </w:tc>
        <w:tc>
          <w:tcPr>
            <w:tcW w:w="1503" w:type="dxa"/>
          </w:tcPr>
          <w:p w14:paraId="12B99EC9">
            <w:pPr>
              <w:widowControl w:val="0"/>
              <w:jc w:val="both"/>
              <w:rPr>
                <w:vertAlign w:val="baseline"/>
              </w:rPr>
            </w:pPr>
          </w:p>
        </w:tc>
      </w:tr>
      <w:tr w14:paraId="0028E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49161F1D">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604-1</w:t>
            </w:r>
          </w:p>
        </w:tc>
        <w:tc>
          <w:tcPr>
            <w:tcW w:w="4037" w:type="dxa"/>
            <w:vAlign w:val="top"/>
          </w:tcPr>
          <w:p w14:paraId="485ED58F">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单柱式交通标志(△700）</w:t>
            </w:r>
          </w:p>
        </w:tc>
        <w:tc>
          <w:tcPr>
            <w:tcW w:w="838" w:type="dxa"/>
            <w:vAlign w:val="top"/>
          </w:tcPr>
          <w:p w14:paraId="4A48C5D6">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个</w:t>
            </w:r>
          </w:p>
        </w:tc>
        <w:tc>
          <w:tcPr>
            <w:tcW w:w="1206" w:type="dxa"/>
            <w:vAlign w:val="top"/>
          </w:tcPr>
          <w:p w14:paraId="428BF6C4">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8.000 </w:t>
            </w:r>
          </w:p>
        </w:tc>
        <w:tc>
          <w:tcPr>
            <w:tcW w:w="999" w:type="dxa"/>
          </w:tcPr>
          <w:p w14:paraId="318806D8">
            <w:pPr>
              <w:widowControl w:val="0"/>
              <w:jc w:val="both"/>
              <w:rPr>
                <w:vertAlign w:val="baseline"/>
              </w:rPr>
            </w:pPr>
          </w:p>
        </w:tc>
        <w:tc>
          <w:tcPr>
            <w:tcW w:w="1503" w:type="dxa"/>
          </w:tcPr>
          <w:p w14:paraId="343FB604">
            <w:pPr>
              <w:widowControl w:val="0"/>
              <w:jc w:val="both"/>
              <w:rPr>
                <w:vertAlign w:val="baseline"/>
              </w:rPr>
            </w:pPr>
          </w:p>
        </w:tc>
      </w:tr>
      <w:tr w14:paraId="35060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0B030AF4">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604-1</w:t>
            </w:r>
          </w:p>
        </w:tc>
        <w:tc>
          <w:tcPr>
            <w:tcW w:w="4037" w:type="dxa"/>
            <w:vAlign w:val="top"/>
          </w:tcPr>
          <w:p w14:paraId="365B9CA8">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单柱式交通标志（双△700）</w:t>
            </w:r>
          </w:p>
        </w:tc>
        <w:tc>
          <w:tcPr>
            <w:tcW w:w="838" w:type="dxa"/>
            <w:vAlign w:val="top"/>
          </w:tcPr>
          <w:p w14:paraId="6440F80A">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个</w:t>
            </w:r>
          </w:p>
        </w:tc>
        <w:tc>
          <w:tcPr>
            <w:tcW w:w="1206" w:type="dxa"/>
            <w:vAlign w:val="top"/>
          </w:tcPr>
          <w:p w14:paraId="46F782C4">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3.000 </w:t>
            </w:r>
          </w:p>
        </w:tc>
        <w:tc>
          <w:tcPr>
            <w:tcW w:w="999" w:type="dxa"/>
          </w:tcPr>
          <w:p w14:paraId="6DF720AB">
            <w:pPr>
              <w:widowControl w:val="0"/>
              <w:jc w:val="both"/>
              <w:rPr>
                <w:vertAlign w:val="baseline"/>
              </w:rPr>
            </w:pPr>
          </w:p>
        </w:tc>
        <w:tc>
          <w:tcPr>
            <w:tcW w:w="1503" w:type="dxa"/>
          </w:tcPr>
          <w:p w14:paraId="475CC2A4">
            <w:pPr>
              <w:widowControl w:val="0"/>
              <w:jc w:val="both"/>
              <w:rPr>
                <w:vertAlign w:val="baseline"/>
              </w:rPr>
            </w:pPr>
          </w:p>
        </w:tc>
      </w:tr>
      <w:tr w14:paraId="3C7AF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6F48090D">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605 </w:t>
            </w:r>
          </w:p>
        </w:tc>
        <w:tc>
          <w:tcPr>
            <w:tcW w:w="4037" w:type="dxa"/>
            <w:vAlign w:val="top"/>
          </w:tcPr>
          <w:p w14:paraId="33F9DFD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道路交通标线</w:t>
            </w:r>
          </w:p>
        </w:tc>
        <w:tc>
          <w:tcPr>
            <w:tcW w:w="838" w:type="dxa"/>
            <w:vAlign w:val="top"/>
          </w:tcPr>
          <w:p w14:paraId="6486B2F2">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28DC482A">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7917CDEA">
            <w:pPr>
              <w:widowControl w:val="0"/>
              <w:jc w:val="both"/>
              <w:rPr>
                <w:vertAlign w:val="baseline"/>
              </w:rPr>
            </w:pPr>
          </w:p>
        </w:tc>
        <w:tc>
          <w:tcPr>
            <w:tcW w:w="1503" w:type="dxa"/>
          </w:tcPr>
          <w:p w14:paraId="57954CA9">
            <w:pPr>
              <w:widowControl w:val="0"/>
              <w:jc w:val="both"/>
              <w:rPr>
                <w:vertAlign w:val="baseline"/>
              </w:rPr>
            </w:pPr>
          </w:p>
        </w:tc>
      </w:tr>
      <w:tr w14:paraId="34CAF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25E5E16B">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605-1</w:t>
            </w:r>
          </w:p>
        </w:tc>
        <w:tc>
          <w:tcPr>
            <w:tcW w:w="4037" w:type="dxa"/>
            <w:vAlign w:val="top"/>
          </w:tcPr>
          <w:p w14:paraId="32BC5BAA">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路面热熔标线</w:t>
            </w:r>
          </w:p>
        </w:tc>
        <w:tc>
          <w:tcPr>
            <w:tcW w:w="838" w:type="dxa"/>
            <w:vAlign w:val="top"/>
          </w:tcPr>
          <w:p w14:paraId="7E59B353">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1206" w:type="dxa"/>
            <w:vAlign w:val="top"/>
          </w:tcPr>
          <w:p w14:paraId="5EC37133">
            <w:pPr>
              <w:widowControl w:val="0"/>
              <w:jc w:val="left"/>
              <w:rPr>
                <w:rFonts w:hint="eastAsia" w:ascii="微软雅黑" w:hAnsi="微软雅黑" w:eastAsia="微软雅黑" w:cs="微软雅黑"/>
                <w:i w:val="0"/>
                <w:iCs w:val="0"/>
                <w:color w:val="000000"/>
                <w:kern w:val="0"/>
                <w:sz w:val="18"/>
                <w:szCs w:val="18"/>
                <w:u w:val="none"/>
                <w:lang w:val="en-US" w:eastAsia="zh-CN" w:bidi="ar"/>
              </w:rPr>
            </w:pPr>
          </w:p>
        </w:tc>
        <w:tc>
          <w:tcPr>
            <w:tcW w:w="999" w:type="dxa"/>
          </w:tcPr>
          <w:p w14:paraId="378B88B2">
            <w:pPr>
              <w:widowControl w:val="0"/>
              <w:jc w:val="both"/>
              <w:rPr>
                <w:vertAlign w:val="baseline"/>
              </w:rPr>
            </w:pPr>
          </w:p>
        </w:tc>
        <w:tc>
          <w:tcPr>
            <w:tcW w:w="1503" w:type="dxa"/>
          </w:tcPr>
          <w:p w14:paraId="31C0410D">
            <w:pPr>
              <w:widowControl w:val="0"/>
              <w:jc w:val="both"/>
              <w:rPr>
                <w:vertAlign w:val="baseline"/>
              </w:rPr>
            </w:pPr>
          </w:p>
        </w:tc>
      </w:tr>
      <w:tr w14:paraId="2AD0D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304C4E95">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w:t>
            </w:r>
          </w:p>
        </w:tc>
        <w:tc>
          <w:tcPr>
            <w:tcW w:w="4037" w:type="dxa"/>
            <w:vAlign w:val="top"/>
          </w:tcPr>
          <w:p w14:paraId="27A78A8B">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热熔型涂料路面标线</w:t>
            </w:r>
          </w:p>
        </w:tc>
        <w:tc>
          <w:tcPr>
            <w:tcW w:w="838" w:type="dxa"/>
            <w:vAlign w:val="top"/>
          </w:tcPr>
          <w:p w14:paraId="7A5FDB65">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2932CC43">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1260.000 </w:t>
            </w:r>
          </w:p>
        </w:tc>
        <w:tc>
          <w:tcPr>
            <w:tcW w:w="999" w:type="dxa"/>
          </w:tcPr>
          <w:p w14:paraId="5ECD585D">
            <w:pPr>
              <w:widowControl w:val="0"/>
              <w:jc w:val="both"/>
              <w:rPr>
                <w:vertAlign w:val="baseline"/>
              </w:rPr>
            </w:pPr>
          </w:p>
        </w:tc>
        <w:tc>
          <w:tcPr>
            <w:tcW w:w="1503" w:type="dxa"/>
          </w:tcPr>
          <w:p w14:paraId="222FEA91">
            <w:pPr>
              <w:widowControl w:val="0"/>
              <w:jc w:val="both"/>
              <w:rPr>
                <w:vertAlign w:val="baseline"/>
              </w:rPr>
            </w:pPr>
          </w:p>
        </w:tc>
      </w:tr>
      <w:tr w14:paraId="7607C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7" w:type="dxa"/>
            <w:vAlign w:val="top"/>
          </w:tcPr>
          <w:p w14:paraId="4C492584">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-b</w:t>
            </w:r>
          </w:p>
        </w:tc>
        <w:tc>
          <w:tcPr>
            <w:tcW w:w="4037" w:type="dxa"/>
            <w:vAlign w:val="top"/>
          </w:tcPr>
          <w:p w14:paraId="008A146C">
            <w:pPr>
              <w:keepNext w:val="0"/>
              <w:keepLines w:val="0"/>
              <w:widowControl/>
              <w:suppressLineNumbers w:val="0"/>
              <w:jc w:val="lef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震荡减速标线</w:t>
            </w:r>
          </w:p>
        </w:tc>
        <w:tc>
          <w:tcPr>
            <w:tcW w:w="838" w:type="dxa"/>
            <w:vAlign w:val="top"/>
          </w:tcPr>
          <w:p w14:paraId="158609C1">
            <w:pPr>
              <w:keepNext w:val="0"/>
              <w:keepLines w:val="0"/>
              <w:widowControl/>
              <w:suppressLineNumbers w:val="0"/>
              <w:jc w:val="center"/>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m2</w:t>
            </w:r>
          </w:p>
        </w:tc>
        <w:tc>
          <w:tcPr>
            <w:tcW w:w="1206" w:type="dxa"/>
            <w:vAlign w:val="top"/>
          </w:tcPr>
          <w:p w14:paraId="68FED963">
            <w:pPr>
              <w:keepNext w:val="0"/>
              <w:keepLines w:val="0"/>
              <w:widowControl/>
              <w:suppressLineNumbers w:val="0"/>
              <w:jc w:val="right"/>
              <w:textAlignment w:val="top"/>
              <w:rPr>
                <w:rFonts w:hint="eastAsia" w:ascii="微软雅黑" w:hAnsi="微软雅黑" w:eastAsia="微软雅黑" w:cs="微软雅黑"/>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 xml:space="preserve">153.900 </w:t>
            </w:r>
          </w:p>
        </w:tc>
        <w:tc>
          <w:tcPr>
            <w:tcW w:w="999" w:type="dxa"/>
          </w:tcPr>
          <w:p w14:paraId="28C01AC5">
            <w:pPr>
              <w:widowControl w:val="0"/>
              <w:jc w:val="both"/>
              <w:rPr>
                <w:vertAlign w:val="baseline"/>
              </w:rPr>
            </w:pPr>
          </w:p>
        </w:tc>
        <w:tc>
          <w:tcPr>
            <w:tcW w:w="1503" w:type="dxa"/>
          </w:tcPr>
          <w:p w14:paraId="3A8849DC">
            <w:pPr>
              <w:widowControl w:val="0"/>
              <w:jc w:val="both"/>
              <w:rPr>
                <w:vertAlign w:val="baseline"/>
              </w:rPr>
            </w:pPr>
          </w:p>
        </w:tc>
      </w:tr>
    </w:tbl>
    <w:p w14:paraId="467AB35E">
      <w:pPr>
        <w:numPr>
          <w:ilvl w:val="0"/>
          <w:numId w:val="0"/>
        </w:numPr>
        <w:spacing w:line="360" w:lineRule="auto"/>
        <w:jc w:val="both"/>
        <w:rPr>
          <w:rFonts w:ascii="宋体" w:hAnsi="宋体" w:eastAsia="宋体" w:cs="宋体"/>
          <w:sz w:val="24"/>
          <w:szCs w:val="24"/>
        </w:rPr>
      </w:pPr>
    </w:p>
    <w:p w14:paraId="0398E47A">
      <w:pPr>
        <w:numPr>
          <w:ilvl w:val="0"/>
          <w:numId w:val="0"/>
        </w:numPr>
        <w:spacing w:line="360" w:lineRule="auto"/>
        <w:jc w:val="both"/>
        <w:rPr>
          <w:rFonts w:ascii="宋体" w:hAnsi="宋体" w:eastAsia="宋体" w:cs="宋体"/>
          <w:b/>
          <w:bCs/>
          <w:sz w:val="24"/>
          <w:szCs w:val="24"/>
        </w:rPr>
      </w:pPr>
      <w:r>
        <w:rPr>
          <w:rFonts w:ascii="宋体" w:hAnsi="宋体" w:eastAsia="宋体" w:cs="宋体"/>
          <w:b/>
          <w:bCs/>
          <w:sz w:val="24"/>
          <w:szCs w:val="24"/>
        </w:rPr>
        <w:t xml:space="preserve">备注： </w:t>
      </w:r>
    </w:p>
    <w:p w14:paraId="6BA696B0">
      <w:pPr>
        <w:numPr>
          <w:ilvl w:val="0"/>
          <w:numId w:val="0"/>
        </w:numPr>
        <w:spacing w:line="360" w:lineRule="auto"/>
        <w:jc w:val="both"/>
        <w:rPr>
          <w:rFonts w:ascii="宋体" w:hAnsi="宋体" w:eastAsia="宋体" w:cs="宋体"/>
          <w:b/>
          <w:bCs/>
          <w:sz w:val="24"/>
          <w:szCs w:val="24"/>
        </w:rPr>
      </w:pPr>
      <w:r>
        <w:rPr>
          <w:rFonts w:hint="eastAsia" w:ascii="宋体" w:hAnsi="宋体" w:eastAsia="宋体" w:cs="宋体"/>
          <w:b/>
          <w:bCs/>
          <w:sz w:val="24"/>
          <w:szCs w:val="24"/>
          <w:lang w:val="en-US" w:eastAsia="zh-CN"/>
        </w:rPr>
        <w:t>(1)本项目暂列金额48743元。</w:t>
      </w:r>
      <w:r>
        <w:rPr>
          <w:rFonts w:ascii="宋体" w:hAnsi="宋体" w:eastAsia="宋体" w:cs="宋体"/>
          <w:b/>
          <w:bCs/>
          <w:sz w:val="24"/>
          <w:szCs w:val="24"/>
        </w:rPr>
        <w:t xml:space="preserve"> </w:t>
      </w:r>
    </w:p>
    <w:p w14:paraId="10ABE5C2">
      <w:pPr>
        <w:numPr>
          <w:ilvl w:val="0"/>
          <w:numId w:val="0"/>
        </w:numPr>
        <w:spacing w:line="360" w:lineRule="auto"/>
        <w:jc w:val="both"/>
        <w:rPr>
          <w:rFonts w:hint="eastAsia" w:ascii="宋体" w:hAnsi="宋体" w:eastAsia="宋体" w:cs="宋体"/>
          <w:b/>
          <w:bCs/>
          <w:color w:val="000000" w:themeColor="text1"/>
          <w:kern w:val="2"/>
          <w:sz w:val="24"/>
          <w:szCs w:val="24"/>
          <w:highlight w:val="none"/>
          <w:lang w:val="en-US" w:eastAsia="zh-CN" w:bidi="ar-SA"/>
          <w14:textFill>
            <w14:solidFill>
              <w14:schemeClr w14:val="tx1"/>
            </w14:solidFill>
          </w14:textFill>
        </w:rPr>
      </w:pPr>
      <w:r>
        <w:rPr>
          <w:rFonts w:hint="eastAsia" w:hAnsi="宋体" w:eastAsia="宋体" w:cs="宋体"/>
          <w:b/>
          <w:bCs/>
          <w:color w:val="000000" w:themeColor="text1"/>
          <w:kern w:val="2"/>
          <w:sz w:val="24"/>
          <w:szCs w:val="24"/>
          <w:highlight w:val="none"/>
          <w:lang w:val="en-US" w:eastAsia="zh-CN" w:bidi="ar-SA"/>
          <w14:textFill>
            <w14:solidFill>
              <w14:schemeClr w14:val="tx1"/>
            </w14:solidFill>
          </w14:textFill>
        </w:rPr>
        <w:t>（2）工程量</w:t>
      </w:r>
      <w:r>
        <w:rPr>
          <w:rFonts w:hint="eastAsia" w:ascii="宋体" w:hAnsi="宋体" w:eastAsia="宋体" w:cs="宋体"/>
          <w:b/>
          <w:bCs/>
          <w:color w:val="000000" w:themeColor="text1"/>
          <w:kern w:val="2"/>
          <w:sz w:val="24"/>
          <w:szCs w:val="24"/>
          <w:highlight w:val="none"/>
          <w:lang w:val="en-US" w:eastAsia="zh-CN" w:bidi="ar-SA"/>
          <w14:textFill>
            <w14:solidFill>
              <w14:schemeClr w14:val="tx1"/>
            </w14:solidFill>
          </w14:textFill>
        </w:rPr>
        <w:t>清单与</w:t>
      </w:r>
      <w:r>
        <w:rPr>
          <w:rFonts w:hint="eastAsia" w:hAnsi="宋体" w:eastAsia="宋体" w:cs="宋体"/>
          <w:b/>
          <w:bCs/>
          <w:color w:val="000000" w:themeColor="text1"/>
          <w:kern w:val="2"/>
          <w:sz w:val="24"/>
          <w:szCs w:val="24"/>
          <w:highlight w:val="none"/>
          <w:lang w:val="en-US" w:eastAsia="zh-CN" w:bidi="ar-SA"/>
          <w14:textFill>
            <w14:solidFill>
              <w14:schemeClr w14:val="tx1"/>
            </w14:solidFill>
          </w14:textFill>
        </w:rPr>
        <w:t>施工</w:t>
      </w:r>
      <w:r>
        <w:rPr>
          <w:rFonts w:hint="eastAsia" w:ascii="宋体" w:hAnsi="宋体" w:eastAsia="宋体" w:cs="宋体"/>
          <w:b/>
          <w:bCs/>
          <w:color w:val="000000" w:themeColor="text1"/>
          <w:kern w:val="2"/>
          <w:sz w:val="24"/>
          <w:szCs w:val="24"/>
          <w:highlight w:val="none"/>
          <w:lang w:val="en-US" w:eastAsia="zh-CN" w:bidi="ar-SA"/>
          <w14:textFill>
            <w14:solidFill>
              <w14:schemeClr w14:val="tx1"/>
            </w14:solidFill>
          </w14:textFill>
        </w:rPr>
        <w:t>图纸不相符</w:t>
      </w:r>
      <w:r>
        <w:rPr>
          <w:rFonts w:hint="eastAsia" w:hAnsi="宋体" w:eastAsia="宋体" w:cs="宋体"/>
          <w:b/>
          <w:bCs/>
          <w:color w:val="000000" w:themeColor="text1"/>
          <w:kern w:val="2"/>
          <w:sz w:val="24"/>
          <w:szCs w:val="24"/>
          <w:highlight w:val="none"/>
          <w:lang w:val="en-US" w:eastAsia="zh-CN" w:bidi="ar-SA"/>
          <w14:textFill>
            <w14:solidFill>
              <w14:schemeClr w14:val="tx1"/>
            </w14:solidFill>
          </w14:textFill>
        </w:rPr>
        <w:t>时</w:t>
      </w:r>
      <w:r>
        <w:rPr>
          <w:rFonts w:hint="eastAsia" w:ascii="宋体" w:hAnsi="宋体" w:eastAsia="宋体" w:cs="宋体"/>
          <w:b/>
          <w:bCs/>
          <w:color w:val="000000" w:themeColor="text1"/>
          <w:kern w:val="2"/>
          <w:sz w:val="24"/>
          <w:szCs w:val="24"/>
          <w:highlight w:val="none"/>
          <w:lang w:val="en-US" w:eastAsia="zh-CN" w:bidi="ar-SA"/>
          <w14:textFill>
            <w14:solidFill>
              <w14:schemeClr w14:val="tx1"/>
            </w14:solidFill>
          </w14:textFill>
        </w:rPr>
        <w:t>，以</w:t>
      </w:r>
      <w:r>
        <w:rPr>
          <w:rFonts w:hint="eastAsia" w:hAnsi="宋体" w:eastAsia="宋体" w:cs="宋体"/>
          <w:b/>
          <w:bCs/>
          <w:color w:val="000000" w:themeColor="text1"/>
          <w:kern w:val="2"/>
          <w:sz w:val="24"/>
          <w:szCs w:val="24"/>
          <w:highlight w:val="none"/>
          <w:lang w:val="en-US" w:eastAsia="zh-CN" w:bidi="ar-SA"/>
          <w14:textFill>
            <w14:solidFill>
              <w14:schemeClr w14:val="tx1"/>
            </w14:solidFill>
          </w14:textFill>
        </w:rPr>
        <w:t>施工</w:t>
      </w:r>
      <w:r>
        <w:rPr>
          <w:rFonts w:hint="eastAsia" w:ascii="宋体" w:hAnsi="宋体" w:eastAsia="宋体" w:cs="宋体"/>
          <w:b/>
          <w:bCs/>
          <w:color w:val="000000" w:themeColor="text1"/>
          <w:kern w:val="2"/>
          <w:sz w:val="24"/>
          <w:szCs w:val="24"/>
          <w:highlight w:val="none"/>
          <w:lang w:val="en-US" w:eastAsia="zh-CN" w:bidi="ar-SA"/>
          <w14:textFill>
            <w14:solidFill>
              <w14:schemeClr w14:val="tx1"/>
            </w14:solidFill>
          </w14:textFill>
        </w:rPr>
        <w:t>图纸为准。</w:t>
      </w:r>
    </w:p>
    <w:p w14:paraId="00EAF766">
      <w:pPr>
        <w:numPr>
          <w:ilvl w:val="0"/>
          <w:numId w:val="0"/>
        </w:numPr>
        <w:spacing w:line="360" w:lineRule="auto"/>
        <w:jc w:val="both"/>
        <w:rPr>
          <w:rFonts w:hint="default"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（3）清单第100章为固化清单，不得更改否则视为无效响应。</w:t>
      </w:r>
    </w:p>
    <w:p w14:paraId="409BBBCA">
      <w:pPr>
        <w:numPr>
          <w:ilvl w:val="0"/>
          <w:numId w:val="0"/>
        </w:numPr>
        <w:spacing w:line="360" w:lineRule="auto"/>
        <w:jc w:val="both"/>
        <w:rPr>
          <w:rFonts w:hint="eastAsia" w:ascii="宋体" w:hAnsi="宋体" w:eastAsia="宋体"/>
          <w:color w:val="000000" w:themeColor="text1"/>
          <w:sz w:val="24"/>
          <w:szCs w:val="24"/>
          <w:highlight w:val="none"/>
          <w:lang w:val="en-US" w:eastAsia="zh-CN"/>
          <w14:textFill>
            <w14:solidFill>
              <w14:schemeClr w14:val="tx1"/>
            </w14:solidFill>
          </w14:textFill>
        </w:rPr>
      </w:pPr>
      <w:r>
        <w:rPr>
          <w:rFonts w:hint="eastAsia" w:ascii="宋体" w:hAnsi="宋体" w:eastAsia="宋体"/>
          <w:color w:val="000000" w:themeColor="text1"/>
          <w:sz w:val="24"/>
          <w:szCs w:val="24"/>
          <w:highlight w:val="none"/>
          <w:lang w:val="en-US" w:eastAsia="zh-CN"/>
          <w14:textFill>
            <w14:solidFill>
              <w14:schemeClr w14:val="tx1"/>
            </w14:solidFill>
          </w14:textFill>
        </w:rPr>
        <w:t>2、材料要求：</w:t>
      </w:r>
    </w:p>
    <w:p w14:paraId="3790860F">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kern w:val="2"/>
          <w:sz w:val="24"/>
          <w:szCs w:val="24"/>
          <w:highlight w:val="none"/>
          <w:lang w:val="en-US" w:eastAsia="zh-CN" w:bidi="ar-SA"/>
          <w14:textFill>
            <w14:solidFill>
              <w14:schemeClr w14:val="tx1"/>
            </w14:solidFill>
          </w14:textFill>
        </w:rPr>
        <w:t>供应商拟用于本工程的C30砼、沥青砼（AC-13)、沥青砼（AC-16)、抗裂贴、交通指示牌应满足以下要求：</w:t>
      </w:r>
    </w:p>
    <w:p w14:paraId="3E73C4BE">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①、C30砼</w:t>
      </w:r>
      <w:r>
        <w:rPr>
          <w:rFonts w:hint="eastAsia" w:ascii="宋体" w:hAnsi="宋体" w:eastAsia="宋体" w:cs="宋体"/>
          <w:color w:val="000000" w:themeColor="text1"/>
          <w:sz w:val="24"/>
          <w:szCs w:val="24"/>
          <w:lang w:eastAsia="zh-CN"/>
          <w14:textFill>
            <w14:solidFill>
              <w14:schemeClr w14:val="tx1"/>
            </w14:solidFill>
          </w14:textFill>
        </w:rPr>
        <w:t>：符合GB/T 50010-2010、GB/T 14902-2012；检测（验）依据：</w:t>
      </w:r>
    </w:p>
    <w:p w14:paraId="2FCB47BF">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w:t>
      </w:r>
      <w:r>
        <w:rPr>
          <w:rFonts w:hint="eastAsia" w:ascii="宋体" w:hAnsi="宋体" w:eastAsia="宋体" w:cs="宋体"/>
          <w:color w:val="000000" w:themeColor="text1"/>
          <w:sz w:val="24"/>
          <w:szCs w:val="24"/>
          <w:lang w:eastAsia="zh-CN"/>
          <w14:textFill>
            <w14:solidFill>
              <w14:schemeClr w14:val="tx1"/>
            </w14:solidFill>
          </w14:textFill>
        </w:rPr>
        <w:t>含气量≤3%</w:t>
      </w:r>
    </w:p>
    <w:p w14:paraId="248C42CE">
      <w:pPr>
        <w:widowControl w:val="0"/>
        <w:kinsoku/>
        <w:autoSpaceDE/>
        <w:autoSpaceDN/>
        <w:adjustRightInd/>
        <w:snapToGrid/>
        <w:spacing w:line="420" w:lineRule="exact"/>
        <w:textAlignment w:val="auto"/>
        <w:rPr>
          <w:rFonts w:hint="default"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lang w:eastAsia="zh-CN"/>
          <w14:textFill>
            <w14:solidFill>
              <w14:schemeClr w14:val="tx1"/>
            </w14:solidFill>
          </w14:textFill>
        </w:rPr>
        <w:t>水溶性氯离子最大含量≤0.5（单位为水泥用量的质量百分比）</w:t>
      </w:r>
    </w:p>
    <w:p w14:paraId="60683DD3">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w:t>
      </w:r>
      <w:r>
        <w:rPr>
          <w:rFonts w:hint="eastAsia" w:ascii="宋体" w:hAnsi="宋体" w:eastAsia="宋体" w:cs="宋体"/>
          <w:color w:val="000000" w:themeColor="text1"/>
          <w:sz w:val="24"/>
          <w:szCs w:val="24"/>
          <w:lang w:eastAsia="zh-CN"/>
          <w14:textFill>
            <w14:solidFill>
              <w14:schemeClr w14:val="tx1"/>
            </w14:solidFill>
          </w14:textFill>
        </w:rPr>
        <w:t>耐久性能：混凝土耐久性能应满足设计要求，检验评定应符合JGJ/T 193的规定。</w:t>
      </w:r>
    </w:p>
    <w:p w14:paraId="6F299F58">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②、沥青混凝土（AC-13）</w:t>
      </w:r>
      <w:r>
        <w:rPr>
          <w:rFonts w:hint="eastAsia" w:ascii="宋体" w:hAnsi="宋体" w:eastAsia="宋体" w:cs="宋体"/>
          <w:b/>
          <w:bCs/>
          <w:color w:val="000000" w:themeColor="text1"/>
          <w:sz w:val="24"/>
          <w:szCs w:val="24"/>
          <w:lang w:val="en-US" w:eastAsia="zh-CN"/>
          <w14:textFill>
            <w14:solidFill>
              <w14:schemeClr w14:val="tx1"/>
            </w14:solidFill>
          </w14:textFill>
        </w:rPr>
        <w:t>·</w:t>
      </w:r>
      <w:r>
        <w:rPr>
          <w:rFonts w:hint="eastAsia" w:ascii="宋体" w:hAnsi="宋体" w:eastAsia="宋体" w:cs="宋体"/>
          <w:color w:val="000000" w:themeColor="text1"/>
          <w:sz w:val="24"/>
          <w:szCs w:val="24"/>
          <w:lang w:eastAsia="zh-CN"/>
          <w14:textFill>
            <w14:solidFill>
              <w14:schemeClr w14:val="tx1"/>
            </w14:solidFill>
          </w14:textFill>
        </w:rPr>
        <w:t>:符合CJJ1—2008、JTF F40-2004；检测（验）依据：</w:t>
      </w:r>
    </w:p>
    <w:p w14:paraId="7AA226E6">
      <w:pPr>
        <w:widowControl w:val="0"/>
        <w:numPr>
          <w:ilvl w:val="0"/>
          <w:numId w:val="2"/>
        </w:numPr>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沥青品种细粒式(AC-13）。</w:t>
      </w:r>
    </w:p>
    <w:p w14:paraId="39BB45FC">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2.针入度 【(0.1mm)  （25℃，100g，5s）】区间 40 ~ 60。</w:t>
      </w:r>
    </w:p>
    <w:p w14:paraId="607894E9">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3.针入度指数 PI不小于 0。</w:t>
      </w:r>
    </w:p>
    <w:p w14:paraId="0CF5899C">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4.延度 (5℃，5cm/min)不小于 34cm。</w:t>
      </w:r>
    </w:p>
    <w:p w14:paraId="42ACECC7">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5.软化点 不小于 64℃。</w:t>
      </w:r>
    </w:p>
    <w:p w14:paraId="7F047697">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6.运动粘度 </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135℃ )不大于</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 xml:space="preserve"> Pa.s。</w:t>
      </w:r>
    </w:p>
    <w:p w14:paraId="69467910">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7.闪点 不小于 230℃。</w:t>
      </w:r>
    </w:p>
    <w:p w14:paraId="4F9F3E8B">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8.溶解度 不小于 99%。</w:t>
      </w:r>
    </w:p>
    <w:p w14:paraId="2B2F2B45">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9.弹性恢复 (25℃ )不小于 75%。</w:t>
      </w:r>
    </w:p>
    <w:p w14:paraId="4B9BC890">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10.浸水马歇尔残留稳定度不小于 95%。</w:t>
      </w:r>
    </w:p>
    <w:p w14:paraId="326A15A1">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11.冻融劈裂残留强度比不小于 86%。</w:t>
      </w:r>
    </w:p>
    <w:p w14:paraId="2ACC88BF">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12.车辙试验动稳定度不小于 4500次/mm。</w:t>
      </w:r>
    </w:p>
    <w:p w14:paraId="03A6D744">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13.马歇尔试验</w:t>
      </w:r>
    </w:p>
    <w:p w14:paraId="329CF0F2">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a.稳定度不小于 8.0KN。</w:t>
      </w:r>
    </w:p>
    <w:p w14:paraId="49D431F4">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b.流值1.5 ~ 4mm</w:t>
      </w:r>
    </w:p>
    <w:p w14:paraId="6C8D46C3">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c.空隙率4 ~ 6%</w:t>
      </w:r>
    </w:p>
    <w:p w14:paraId="02E0A0FA">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d.矿料间隙率不小于 14%</w:t>
      </w:r>
    </w:p>
    <w:p w14:paraId="7E8C4D4A">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e.沥青饱和度 65 ~ 75%</w:t>
      </w:r>
    </w:p>
    <w:p w14:paraId="677E121C">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pacing w:val="1"/>
          <w:position w:val="17"/>
          <w:sz w:val="24"/>
          <w:szCs w:val="24"/>
          <w:highlight w:val="white"/>
          <w:lang w:eastAsia="zh-CN"/>
          <w14:textFill>
            <w14:solidFill>
              <w14:schemeClr w14:val="tx1"/>
            </w14:solidFill>
          </w14:textFill>
        </w:rPr>
        <w:t xml:space="preserve"> </w:t>
      </w:r>
      <w:r>
        <w:rPr>
          <w:rFonts w:hint="eastAsia" w:ascii="宋体" w:hAnsi="宋体" w:eastAsia="宋体" w:cs="宋体"/>
          <w:b/>
          <w:bCs/>
          <w:color w:val="000000" w:themeColor="text1"/>
          <w:sz w:val="24"/>
          <w:szCs w:val="24"/>
          <w:lang w:eastAsia="zh-CN"/>
          <w14:textFill>
            <w14:solidFill>
              <w14:schemeClr w14:val="tx1"/>
            </w14:solidFill>
          </w14:textFill>
        </w:rPr>
        <w:t>③、沥青混凝土（AC-16）</w:t>
      </w:r>
      <w:r>
        <w:rPr>
          <w:rFonts w:hint="eastAsia" w:ascii="宋体" w:hAnsi="宋体" w:eastAsia="宋体" w:cs="宋体"/>
          <w:color w:val="000000" w:themeColor="text1"/>
          <w:sz w:val="24"/>
          <w:szCs w:val="24"/>
          <w:lang w:eastAsia="zh-CN"/>
          <w14:textFill>
            <w14:solidFill>
              <w14:schemeClr w14:val="tx1"/>
            </w14:solidFill>
          </w14:textFill>
        </w:rPr>
        <w:t>:符合CJJ1—2008、JTF F40-2004；检测（验）依据：</w:t>
      </w:r>
    </w:p>
    <w:p w14:paraId="1F3F8013">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w:t>
      </w:r>
      <w:r>
        <w:rPr>
          <w:rFonts w:hint="eastAsia" w:ascii="宋体" w:hAnsi="宋体" w:eastAsia="宋体" w:cs="宋体"/>
          <w:color w:val="000000" w:themeColor="text1"/>
          <w:sz w:val="24"/>
          <w:szCs w:val="24"/>
          <w:lang w:eastAsia="zh-CN"/>
          <w14:textFill>
            <w14:solidFill>
              <w14:schemeClr w14:val="tx1"/>
            </w14:solidFill>
          </w14:textFill>
        </w:rPr>
        <w:t>.马歇尔试验</w:t>
      </w:r>
    </w:p>
    <w:p w14:paraId="2DDB3DC0">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a</w:t>
      </w:r>
      <w:r>
        <w:rPr>
          <w:rFonts w:hint="eastAsia" w:ascii="宋体" w:hAnsi="宋体" w:eastAsia="宋体" w:cs="宋体"/>
          <w:color w:val="auto"/>
          <w:sz w:val="24"/>
          <w:szCs w:val="24"/>
          <w:lang w:eastAsia="zh-CN"/>
        </w:rPr>
        <w:t>.流值1.5~4 mm。</w:t>
      </w:r>
    </w:p>
    <w:p w14:paraId="4EDCB5B5">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b</w:t>
      </w:r>
      <w:r>
        <w:rPr>
          <w:rFonts w:hint="eastAsia" w:ascii="宋体" w:hAnsi="宋体" w:eastAsia="宋体" w:cs="宋体"/>
          <w:color w:val="auto"/>
          <w:sz w:val="24"/>
          <w:szCs w:val="24"/>
          <w:lang w:eastAsia="zh-CN"/>
        </w:rPr>
        <w:t>.空隙率4~6%。</w:t>
      </w:r>
    </w:p>
    <w:p w14:paraId="4F9E49FC">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c</w:t>
      </w:r>
      <w:r>
        <w:rPr>
          <w:rFonts w:hint="eastAsia" w:ascii="宋体" w:hAnsi="宋体" w:eastAsia="宋体" w:cs="宋体"/>
          <w:color w:val="auto"/>
          <w:sz w:val="24"/>
          <w:szCs w:val="24"/>
          <w:lang w:eastAsia="zh-CN"/>
        </w:rPr>
        <w:t>.沥青饱和度65~75%。</w:t>
      </w:r>
    </w:p>
    <w:p w14:paraId="06892B75">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.软化点不小于60℃。</w:t>
      </w:r>
    </w:p>
    <w:p w14:paraId="5754D1FD">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.溶解度不小于99%。</w:t>
      </w:r>
    </w:p>
    <w:p w14:paraId="6C08B05F">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.延度（5℃,5cm/min）不小于20cm。</w:t>
      </w:r>
    </w:p>
    <w:p w14:paraId="24632812">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.运动粘度 135℃不大于3Pa·s。</w:t>
      </w:r>
    </w:p>
    <w:p w14:paraId="5A33FE35">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.弹性恢复( 25℃)不小于75%。</w:t>
      </w:r>
    </w:p>
    <w:p w14:paraId="5649CF72">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.针入度（25℃,100g,5s）40~60，0.1mm。</w:t>
      </w:r>
    </w:p>
    <w:p w14:paraId="175350FA">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auto"/>
          <w:sz w:val="24"/>
          <w:szCs w:val="24"/>
          <w:lang w:val="en-US" w:eastAsia="zh-CN"/>
        </w:rPr>
        <w:t>8</w:t>
      </w:r>
      <w:r>
        <w:rPr>
          <w:rFonts w:hint="eastAsia" w:ascii="宋体" w:hAnsi="宋体" w:eastAsia="宋体" w:cs="宋体"/>
          <w:color w:val="auto"/>
          <w:sz w:val="24"/>
          <w:szCs w:val="24"/>
          <w:lang w:eastAsia="zh-CN"/>
        </w:rPr>
        <w:t xml:space="preserve">.针入度指数 PI不小于0。 </w:t>
      </w:r>
      <w:r>
        <w:rPr>
          <w:rFonts w:hint="eastAsia" w:ascii="宋体" w:hAnsi="宋体" w:eastAsia="宋体" w:cs="宋体"/>
          <w:color w:val="000000" w:themeColor="text1"/>
          <w:sz w:val="24"/>
          <w:szCs w:val="24"/>
          <w:lang w:eastAsia="zh-CN"/>
          <w14:textFill>
            <w14:solidFill>
              <w14:schemeClr w14:val="tx1"/>
            </w14:solidFill>
          </w14:textFill>
        </w:rPr>
        <w:t xml:space="preserve">                           </w:t>
      </w:r>
    </w:p>
    <w:p w14:paraId="7256325A">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④、抗裂贴</w:t>
      </w:r>
      <w:r>
        <w:rPr>
          <w:rFonts w:hint="eastAsia" w:ascii="宋体" w:hAnsi="宋体" w:eastAsia="宋体" w:cs="宋体"/>
          <w:color w:val="000000" w:themeColor="text1"/>
          <w:sz w:val="24"/>
          <w:szCs w:val="24"/>
          <w:lang w:eastAsia="zh-CN"/>
          <w14:textFill>
            <w14:solidFill>
              <w14:schemeClr w14:val="tx1"/>
            </w14:solidFill>
          </w14:textFill>
        </w:rPr>
        <w:t>：符合：JT/T 971-2015；检测（验）依据：</w:t>
      </w:r>
    </w:p>
    <w:p w14:paraId="6FD694FD">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外观</w:t>
      </w:r>
    </w:p>
    <w:p w14:paraId="161E9623">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a.抗裂贴应卷紧卷齐，端面不应超过10mm。</w:t>
      </w:r>
    </w:p>
    <w:p w14:paraId="7B182D80">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b</w:t>
      </w:r>
      <w:r>
        <w:rPr>
          <w:rFonts w:hint="eastAsia" w:ascii="宋体" w:hAnsi="宋体" w:eastAsia="宋体" w:cs="宋体"/>
          <w:color w:val="auto"/>
          <w:sz w:val="24"/>
          <w:szCs w:val="24"/>
          <w:lang w:eastAsia="zh-CN"/>
        </w:rPr>
        <w:t>.抗裂贴在相应的工作温度范围内不应有裂纹或黏结。</w:t>
      </w:r>
    </w:p>
    <w:p w14:paraId="6996732B">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c</w:t>
      </w:r>
      <w:r>
        <w:rPr>
          <w:rFonts w:hint="eastAsia" w:ascii="宋体" w:hAnsi="宋体" w:eastAsia="宋体" w:cs="宋体"/>
          <w:color w:val="auto"/>
          <w:sz w:val="24"/>
          <w:szCs w:val="24"/>
          <w:lang w:eastAsia="zh-CN"/>
        </w:rPr>
        <w:t>.胎基应浸透,不应有未被浸渍处。</w:t>
      </w:r>
    </w:p>
    <w:p w14:paraId="4BCD3993">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d.</w:t>
      </w:r>
      <w:r>
        <w:rPr>
          <w:rFonts w:hint="eastAsia" w:ascii="宋体" w:hAnsi="宋体" w:eastAsia="宋体" w:cs="宋体"/>
          <w:color w:val="auto"/>
          <w:sz w:val="24"/>
          <w:szCs w:val="24"/>
          <w:lang w:eastAsia="zh-CN"/>
        </w:rPr>
        <w:t>隔离膜与下涂层黏结良好,无破损。</w:t>
      </w:r>
    </w:p>
    <w:p w14:paraId="1B268709">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2.宽度偏差±1.0cm内。</w:t>
      </w:r>
    </w:p>
    <w:p w14:paraId="30171473">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3.不透水性30min,0.3MPa 条件下不透水。</w:t>
      </w:r>
    </w:p>
    <w:p w14:paraId="22E501A7">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.拉伸性能  最大拉力 N/50mm≥1400/最大拉力时延伸率≥6.0%。</w:t>
      </w:r>
    </w:p>
    <w:p w14:paraId="467D2169">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.热老化/最大拉力保持率≥70.0%；最大拉力时延伸率保持率≥75.0%。</w:t>
      </w:r>
    </w:p>
    <w:p w14:paraId="497791E6">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质量损失率±2.0%；尺寸变化率±2.0%。</w:t>
      </w:r>
    </w:p>
    <w:p w14:paraId="0B24F123">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低温柔性/-10℃无裂纹；-20℃(必要时)无裂纹；-30℃(必要时)无裂纹。</w:t>
      </w:r>
    </w:p>
    <w:p w14:paraId="23437142">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⑤、交通指示牌</w:t>
      </w:r>
      <w:r>
        <w:rPr>
          <w:rFonts w:hint="eastAsia" w:ascii="宋体" w:hAnsi="宋体" w:eastAsia="宋体" w:cs="宋体"/>
          <w:color w:val="auto"/>
          <w:sz w:val="24"/>
          <w:szCs w:val="24"/>
          <w:lang w:eastAsia="zh-CN"/>
        </w:rPr>
        <w:t xml:space="preserve">符合GB5768.2-2022；检测（验）依据：  </w:t>
      </w:r>
    </w:p>
    <w:p w14:paraId="6D5CA486">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基本要求​</w:t>
      </w:r>
    </w:p>
    <w:p w14:paraId="1620A7B0">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auto"/>
          <w:sz w:val="24"/>
          <w:szCs w:val="24"/>
          <w:lang w:eastAsia="zh-CN"/>
        </w:rPr>
        <w:t>1）.道路交通标志以颜色、形状、字符、图形等向道路使用者传递交通控制、引导信息。</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2）. 道路交通标志应符合以下原则：</w:t>
      </w:r>
      <w:r>
        <w:rPr>
          <w:rFonts w:hint="eastAsia" w:ascii="宋体" w:hAnsi="宋体" w:eastAsia="宋体" w:cs="宋体"/>
          <w:color w:val="auto"/>
          <w:sz w:val="24"/>
          <w:szCs w:val="24"/>
          <w:lang w:eastAsia="zh-CN"/>
        </w:rPr>
        <w:br w:type="textWrapping"/>
      </w:r>
      <w:r>
        <w:rPr>
          <w:rFonts w:hint="eastAsia" w:ascii="宋体" w:hAnsi="宋体" w:eastAsia="宋体" w:cs="宋体"/>
          <w:color w:val="auto"/>
          <w:sz w:val="24"/>
          <w:szCs w:val="24"/>
          <w:lang w:eastAsia="zh-CN"/>
        </w:rPr>
        <w:t> a) 满足道路使用者需求；</w:t>
      </w:r>
      <w:r>
        <w:rPr>
          <w:rFonts w:hint="eastAsia" w:ascii="宋体" w:hAnsi="宋体" w:eastAsia="宋体" w:cs="宋体"/>
          <w:color w:val="000000" w:themeColor="text1"/>
          <w:sz w:val="24"/>
          <w:szCs w:val="24"/>
          <w:lang w:eastAsia="zh-CN"/>
          <w14:textFill>
            <w14:solidFill>
              <w14:schemeClr w14:val="tx1"/>
            </w14:solidFill>
          </w14:textFill>
        </w:rPr>
        <w:br w:type="textWrapping"/>
      </w:r>
      <w:r>
        <w:rPr>
          <w:rFonts w:hint="eastAsia" w:ascii="宋体" w:hAnsi="宋体" w:eastAsia="宋体" w:cs="宋体"/>
          <w:color w:val="000000" w:themeColor="text1"/>
          <w:sz w:val="24"/>
          <w:szCs w:val="24"/>
          <w:lang w:eastAsia="zh-CN"/>
          <w14:textFill>
            <w14:solidFill>
              <w14:schemeClr w14:val="tx1"/>
            </w14:solidFill>
          </w14:textFill>
        </w:rPr>
        <w:t> b) 引起道路使用者关注；</w:t>
      </w:r>
      <w:r>
        <w:rPr>
          <w:rFonts w:hint="eastAsia" w:ascii="宋体" w:hAnsi="宋体" w:eastAsia="宋体" w:cs="宋体"/>
          <w:color w:val="000000" w:themeColor="text1"/>
          <w:sz w:val="24"/>
          <w:szCs w:val="24"/>
          <w:lang w:eastAsia="zh-CN"/>
          <w14:textFill>
            <w14:solidFill>
              <w14:schemeClr w14:val="tx1"/>
            </w14:solidFill>
          </w14:textFill>
        </w:rPr>
        <w:br w:type="textWrapping"/>
      </w:r>
      <w:r>
        <w:rPr>
          <w:rFonts w:hint="eastAsia" w:ascii="宋体" w:hAnsi="宋体" w:eastAsia="宋体" w:cs="宋体"/>
          <w:color w:val="000000" w:themeColor="text1"/>
          <w:sz w:val="24"/>
          <w:szCs w:val="24"/>
          <w:lang w:eastAsia="zh-CN"/>
          <w14:textFill>
            <w14:solidFill>
              <w14:schemeClr w14:val="tx1"/>
            </w14:solidFill>
          </w14:textFill>
        </w:rPr>
        <w:t> c) 传递明确、简洁的含义；</w:t>
      </w:r>
      <w:r>
        <w:rPr>
          <w:rFonts w:hint="eastAsia" w:ascii="宋体" w:hAnsi="宋体" w:eastAsia="宋体" w:cs="宋体"/>
          <w:color w:val="000000" w:themeColor="text1"/>
          <w:sz w:val="24"/>
          <w:szCs w:val="24"/>
          <w14:textFill>
            <w14:solidFill>
              <w14:schemeClr w14:val="tx1"/>
            </w14:solidFill>
          </w14:textFill>
        </w:rPr>
        <w:br w:type="textWrapping"/>
      </w:r>
      <w:r>
        <w:rPr>
          <w:rFonts w:hint="eastAsia" w:ascii="宋体" w:hAnsi="宋体" w:eastAsia="宋体" w:cs="宋体"/>
          <w:color w:val="000000" w:themeColor="text1"/>
          <w:sz w:val="24"/>
          <w:szCs w:val="24"/>
          <w14:textFill>
            <w14:solidFill>
              <w14:schemeClr w14:val="tx1"/>
            </w14:solidFill>
          </w14:textFill>
        </w:rPr>
        <w:t> d) 获得道路使用者的遵从；</w:t>
      </w:r>
      <w:r>
        <w:rPr>
          <w:rFonts w:hint="eastAsia" w:ascii="宋体" w:hAnsi="宋体" w:eastAsia="宋体" w:cs="宋体"/>
          <w:color w:val="000000" w:themeColor="text1"/>
          <w:sz w:val="24"/>
          <w:szCs w:val="24"/>
          <w14:textFill>
            <w14:solidFill>
              <w14:schemeClr w14:val="tx1"/>
            </w14:solidFill>
          </w14:textFill>
        </w:rPr>
        <w:br w:type="textWrapping"/>
      </w:r>
      <w:r>
        <w:rPr>
          <w:rFonts w:hint="eastAsia" w:ascii="宋体" w:hAnsi="宋体" w:eastAsia="宋体" w:cs="宋体"/>
          <w:color w:val="000000" w:themeColor="text1"/>
          <w:sz w:val="24"/>
          <w:szCs w:val="24"/>
          <w14:textFill>
            <w14:solidFill>
              <w14:schemeClr w14:val="tx1"/>
            </w14:solidFill>
          </w14:textFill>
        </w:rPr>
        <w:t> e) 给道路使用者的合理反应提供充足的时间。</w:t>
      </w:r>
      <w:r>
        <w:rPr>
          <w:rFonts w:hint="eastAsia" w:ascii="宋体" w:hAnsi="宋体" w:eastAsia="宋体" w:cs="宋体"/>
          <w:color w:val="000000" w:themeColor="text1"/>
          <w:sz w:val="24"/>
          <w:szCs w:val="24"/>
          <w14:textFill>
            <w14:solidFill>
              <w14:schemeClr w14:val="tx1"/>
            </w14:solidFill>
          </w14:textFill>
        </w:rPr>
        <w:br w:type="textWrapping"/>
      </w:r>
      <w:r>
        <w:rPr>
          <w:rFonts w:hint="eastAsia" w:ascii="宋体" w:hAnsi="宋体" w:eastAsia="宋体" w:cs="宋体"/>
          <w:color w:val="000000" w:themeColor="text1"/>
          <w:sz w:val="24"/>
          <w:szCs w:val="24"/>
          <w14:textFill>
            <w14:solidFill>
              <w14:schemeClr w14:val="tx1"/>
            </w14:solidFill>
          </w14:textFill>
        </w:rPr>
        <w:t>3）. 应防止出现信息不足或过载的现象。</w:t>
      </w:r>
      <w:r>
        <w:rPr>
          <w:rFonts w:hint="eastAsia" w:ascii="宋体" w:hAnsi="宋体" w:eastAsia="宋体" w:cs="宋体"/>
          <w:color w:val="000000" w:themeColor="text1"/>
          <w:sz w:val="24"/>
          <w:szCs w:val="24"/>
          <w14:textFill>
            <w14:solidFill>
              <w14:schemeClr w14:val="tx1"/>
            </w14:solidFill>
          </w14:textFill>
        </w:rPr>
        <w:br w:type="textWrapping"/>
      </w:r>
      <w:r>
        <w:rPr>
          <w:rFonts w:hint="eastAsia" w:ascii="宋体" w:hAnsi="宋体" w:eastAsia="宋体" w:cs="宋体"/>
          <w:color w:val="000000" w:themeColor="text1"/>
          <w:sz w:val="24"/>
          <w:szCs w:val="24"/>
          <w14:textFill>
            <w14:solidFill>
              <w14:schemeClr w14:val="tx1"/>
            </w14:solidFill>
          </w14:textFill>
        </w:rPr>
        <w:t>4）. 重要的信息可合理重复。</w:t>
      </w:r>
      <w:r>
        <w:rPr>
          <w:rFonts w:hint="eastAsia" w:ascii="宋体" w:hAnsi="宋体" w:eastAsia="宋体" w:cs="宋体"/>
          <w:color w:val="000000" w:themeColor="text1"/>
          <w:sz w:val="24"/>
          <w:szCs w:val="24"/>
          <w14:textFill>
            <w14:solidFill>
              <w14:schemeClr w14:val="tx1"/>
            </w14:solidFill>
          </w14:textFill>
        </w:rPr>
        <w:br w:type="textWrapping"/>
      </w:r>
      <w:r>
        <w:rPr>
          <w:rFonts w:hint="eastAsia" w:ascii="宋体" w:hAnsi="宋体" w:eastAsia="宋体" w:cs="宋体"/>
          <w:color w:val="000000" w:themeColor="text1"/>
          <w:sz w:val="24"/>
          <w:szCs w:val="24"/>
          <w:lang w:eastAsia="zh-CN"/>
          <w14:textFill>
            <w14:solidFill>
              <w14:schemeClr w14:val="tx1"/>
            </w14:solidFill>
          </w14:textFill>
        </w:rPr>
        <w:t>5）. 标志和标线配合使用时，应含义一致、互为补充，不应产生歧义，并与其他设施相协调，不应与信号灯矛盾。</w:t>
      </w:r>
    </w:p>
    <w:p w14:paraId="7DCDB9EA">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2.颜色</w:t>
      </w:r>
      <w:r>
        <w:rPr>
          <w:rFonts w:hint="eastAsia" w:ascii="宋体" w:hAnsi="宋体" w:eastAsia="宋体" w:cs="宋体"/>
          <w:color w:val="000000" w:themeColor="text1"/>
          <w:sz w:val="24"/>
          <w:szCs w:val="24"/>
          <w:lang w:eastAsia="zh-CN"/>
          <w14:textFill>
            <w14:solidFill>
              <w14:schemeClr w14:val="tx1"/>
            </w14:solidFill>
          </w14:textFill>
        </w:rPr>
        <w:t>​交通标志颜色白天夜间应保持一致。</w:t>
      </w:r>
    </w:p>
    <w:p w14:paraId="586241F0">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3.型号</w:t>
      </w:r>
      <w:r>
        <w:rPr>
          <w:rFonts w:hint="eastAsia" w:ascii="宋体" w:hAnsi="宋体" w:eastAsia="宋体" w:cs="宋体"/>
          <w:color w:val="000000" w:themeColor="text1"/>
          <w:sz w:val="24"/>
          <w:szCs w:val="24"/>
          <w:lang w:eastAsia="zh-CN"/>
          <w14:textFill>
            <w14:solidFill>
              <w14:schemeClr w14:val="tx1"/>
            </w14:solidFill>
          </w14:textFill>
        </w:rPr>
        <w:t>​△700</w:t>
      </w:r>
    </w:p>
    <w:p w14:paraId="4C887ECF">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4.字符​</w:t>
      </w:r>
    </w:p>
    <w:p w14:paraId="2B75B73F">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000000" w:themeColor="text1"/>
          <w:sz w:val="24"/>
          <w:szCs w:val="24"/>
          <w:lang w:eastAsia="zh-CN"/>
          <w14:textFill>
            <w14:solidFill>
              <w14:schemeClr w14:val="tx1"/>
            </w14:solidFill>
          </w14:textFill>
        </w:rPr>
        <w:t>1) .规范、无歧义。</w:t>
      </w:r>
      <w:r>
        <w:rPr>
          <w:rFonts w:hint="eastAsia" w:ascii="宋体" w:hAnsi="宋体" w:eastAsia="宋体" w:cs="宋体"/>
          <w:color w:val="000000" w:themeColor="text1"/>
          <w:sz w:val="24"/>
          <w:szCs w:val="24"/>
          <w:lang w:eastAsia="zh-CN"/>
          <w14:textFill>
            <w14:solidFill>
              <w14:schemeClr w14:val="tx1"/>
            </w14:solidFill>
          </w14:textFill>
        </w:rPr>
        <w:br w:type="textWrapping"/>
      </w:r>
      <w:r>
        <w:rPr>
          <w:rFonts w:hint="eastAsia" w:ascii="宋体" w:hAnsi="宋体" w:eastAsia="宋体" w:cs="宋体"/>
          <w:color w:val="000000" w:themeColor="text1"/>
          <w:sz w:val="24"/>
          <w:szCs w:val="24"/>
          <w:lang w:eastAsia="zh-CN"/>
          <w14:textFill>
            <w14:solidFill>
              <w14:schemeClr w14:val="tx1"/>
            </w14:solidFill>
          </w14:textFill>
        </w:rPr>
        <w:t>2). 按从左至右、从上至下顺序排列。一个地名不应写成两行或两列；一块标志上文字不应既有横排又有竖排。</w:t>
      </w:r>
      <w:r>
        <w:rPr>
          <w:rFonts w:hint="eastAsia" w:ascii="宋体" w:hAnsi="宋体" w:eastAsia="宋体" w:cs="宋体"/>
          <w:color w:val="000000" w:themeColor="text1"/>
          <w:sz w:val="24"/>
          <w:szCs w:val="24"/>
          <w:lang w:eastAsia="zh-CN"/>
          <w14:textFill>
            <w14:solidFill>
              <w14:schemeClr w14:val="tx1"/>
            </w14:solidFill>
          </w14:textFill>
        </w:rPr>
        <w:br w:type="textWrapping"/>
      </w:r>
      <w:r>
        <w:rPr>
          <w:rFonts w:hint="eastAsia" w:ascii="宋体" w:hAnsi="宋体" w:eastAsia="宋体" w:cs="宋体"/>
          <w:color w:val="000000" w:themeColor="text1"/>
          <w:sz w:val="24"/>
          <w:szCs w:val="24"/>
          <w:lang w:eastAsia="zh-CN"/>
          <w14:textFill>
            <w14:solidFill>
              <w14:schemeClr w14:val="tx1"/>
            </w14:solidFill>
          </w14:textFill>
        </w:rPr>
        <w:t>3). 根据需要，可并用汉字和其他少数民族文字。标志上文字不应超过2种。除有特殊规定之外，汉字应排在其他文字上方。</w:t>
      </w:r>
      <w:r>
        <w:rPr>
          <w:rFonts w:hint="eastAsia" w:ascii="宋体" w:hAnsi="宋体" w:eastAsia="宋体" w:cs="宋体"/>
          <w:color w:val="000000" w:themeColor="text1"/>
          <w:sz w:val="24"/>
          <w:szCs w:val="24"/>
          <w:lang w:eastAsia="zh-CN"/>
          <w14:textFill>
            <w14:solidFill>
              <w14:schemeClr w14:val="tx1"/>
            </w14:solidFill>
          </w14:textFill>
        </w:rPr>
        <w:br w:type="textWrapping"/>
      </w:r>
      <w:r>
        <w:rPr>
          <w:rFonts w:hint="eastAsia" w:ascii="宋体" w:hAnsi="宋体" w:eastAsia="宋体" w:cs="宋体"/>
          <w:color w:val="000000" w:themeColor="text1"/>
          <w:sz w:val="24"/>
          <w:szCs w:val="24"/>
          <w:lang w:eastAsia="zh-CN"/>
          <w14:textFill>
            <w14:solidFill>
              <w14:schemeClr w14:val="tx1"/>
            </w14:solidFill>
          </w14:textFill>
        </w:rPr>
        <w:t>4). 标志上使用英文时，</w:t>
      </w:r>
      <w:r>
        <w:rPr>
          <w:rFonts w:hint="eastAsia" w:ascii="宋体" w:hAnsi="宋体" w:eastAsia="宋体" w:cs="宋体"/>
          <w:color w:val="000000" w:themeColor="text1"/>
          <w:sz w:val="24"/>
          <w:szCs w:val="24"/>
          <w14:textFill>
            <w14:solidFill>
              <w14:schemeClr w14:val="tx1"/>
            </w14:solidFill>
          </w14:textFill>
        </w:rPr>
        <w:t>地名用汉语拼音，应按照GB17733的规定执行，第一个字母大写，其余小写；交通标志专用名词宜全部大写。</w:t>
      </w:r>
      <w:r>
        <w:rPr>
          <w:rFonts w:hint="eastAsia" w:ascii="宋体" w:hAnsi="宋体" w:eastAsia="宋体" w:cs="宋体"/>
          <w:color w:val="000000" w:themeColor="text1"/>
          <w:sz w:val="24"/>
          <w:szCs w:val="24"/>
          <w14:textFill>
            <w14:solidFill>
              <w14:schemeClr w14:val="tx1"/>
            </w14:solidFill>
          </w14:textFill>
        </w:rPr>
        <w:br w:type="textWrapping"/>
      </w:r>
      <w:r>
        <w:rPr>
          <w:rFonts w:hint="eastAsia" w:ascii="宋体" w:hAnsi="宋体" w:eastAsia="宋体" w:cs="宋体"/>
          <w:color w:val="000000" w:themeColor="text1"/>
          <w:sz w:val="24"/>
          <w:szCs w:val="24"/>
          <w:lang w:eastAsia="zh-CN"/>
          <w14:textFill>
            <w14:solidFill>
              <w14:schemeClr w14:val="tx1"/>
            </w14:solidFill>
          </w14:textFill>
        </w:rPr>
        <w:t>5). 出口标志上的字母应大写。</w:t>
      </w:r>
      <w:r>
        <w:rPr>
          <w:rFonts w:hint="eastAsia" w:ascii="宋体" w:hAnsi="宋体" w:eastAsia="宋体" w:cs="宋体"/>
          <w:color w:val="000000" w:themeColor="text1"/>
          <w:sz w:val="24"/>
          <w:szCs w:val="24"/>
          <w:lang w:eastAsia="zh-CN"/>
          <w14:textFill>
            <w14:solidFill>
              <w14:schemeClr w14:val="tx1"/>
            </w14:solidFill>
          </w14:textFill>
        </w:rPr>
        <w:br w:type="textWrapping"/>
      </w:r>
      <w:r>
        <w:rPr>
          <w:rFonts w:hint="eastAsia" w:ascii="宋体" w:hAnsi="宋体" w:eastAsia="宋体" w:cs="宋体"/>
          <w:color w:val="auto"/>
          <w:sz w:val="24"/>
          <w:szCs w:val="24"/>
          <w:lang w:eastAsia="zh-CN"/>
        </w:rPr>
        <w:t>6). 汉字、字母、阿拉伯数字等应采用道路交通标志字体。</w:t>
      </w:r>
    </w:p>
    <w:p w14:paraId="5E03C2E1">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 阿拉伯数字和其他文字高度与汉字高宽的关系​</w:t>
      </w:r>
    </w:p>
    <w:p w14:paraId="51580728">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1）.字母或少数民族文字（大小写）高度应为汉字高度 h的 1/3至 </w:t>
      </w:r>
    </w:p>
    <w:p w14:paraId="39176612">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w:t>
      </w:r>
    </w:p>
    <w:p w14:paraId="6E569986">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）字高（阿拉伯数字）应为汉字高度 h。</w:t>
      </w:r>
    </w:p>
    <w:p w14:paraId="785C4176">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字宽（阿拉伯数字）应为汉字高度 h的 1/</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至</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 xml:space="preserve"> </w:t>
      </w:r>
    </w:p>
    <w:p w14:paraId="4B55C052">
      <w:pPr>
        <w:widowControl w:val="0"/>
        <w:kinsoku/>
        <w:autoSpaceDE/>
        <w:autoSpaceDN/>
        <w:adjustRightInd/>
        <w:snapToGrid/>
        <w:spacing w:line="420" w:lineRule="exac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4)笔划粗（</w:t>
      </w:r>
      <w:r>
        <w:rPr>
          <w:rFonts w:hint="eastAsia" w:ascii="宋体" w:hAnsi="宋体" w:eastAsia="宋体" w:cs="宋体"/>
          <w:color w:val="auto"/>
          <w:sz w:val="24"/>
          <w:szCs w:val="24"/>
          <w:lang w:eastAsia="zh-CN"/>
        </w:rPr>
        <w:t>阿拉伯数字</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应为汉字高度 h的 1/</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至</w:t>
      </w:r>
      <w:r>
        <w:rPr>
          <w:rFonts w:hint="eastAsia" w:ascii="宋体" w:hAnsi="宋体" w:eastAsia="宋体" w:cs="宋体"/>
          <w:color w:val="auto"/>
          <w:sz w:val="24"/>
          <w:szCs w:val="24"/>
          <w:lang w:val="en-US" w:eastAsia="zh-CN"/>
        </w:rPr>
        <w:t>1/5。</w:t>
      </w:r>
    </w:p>
    <w:p w14:paraId="6FC8032D">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 标志板​</w:t>
      </w:r>
    </w:p>
    <w:p w14:paraId="672EBE05">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1).材质 应采用3mm厚铝合金板</w:t>
      </w:r>
    </w:p>
    <w:p w14:paraId="073CBC95">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2).抗拉强度≥ 289.3 MPa</w:t>
      </w:r>
    </w:p>
    <w:p w14:paraId="401B4FC9">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3).延伸率4% - 10%</w:t>
      </w:r>
    </w:p>
    <w:p w14:paraId="72D09993">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7</w:t>
      </w:r>
      <w:r>
        <w:rPr>
          <w:rFonts w:hint="eastAsia" w:ascii="宋体" w:hAnsi="宋体" w:eastAsia="宋体" w:cs="宋体"/>
          <w:color w:val="auto"/>
          <w:sz w:val="24"/>
          <w:szCs w:val="24"/>
          <w:lang w:eastAsia="zh-CN"/>
        </w:rPr>
        <w:t>. 杆体​</w:t>
      </w:r>
    </w:p>
    <w:p w14:paraId="47A08826">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1）.材质Q235钢材</w:t>
      </w:r>
    </w:p>
    <w:p w14:paraId="7493FB6F">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2）.处理方式热镀锌处理</w:t>
      </w:r>
    </w:p>
    <w:p w14:paraId="6C21C529">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3）.镀层厚度≥ 78 μm</w:t>
      </w:r>
    </w:p>
    <w:p w14:paraId="6695AF34">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4）.防腐性能</w:t>
      </w:r>
      <w:r>
        <w:rPr>
          <w:rFonts w:hint="eastAsia" w:ascii="宋体" w:hAnsi="宋体" w:eastAsia="宋体" w:cs="宋体"/>
          <w:color w:val="000000" w:themeColor="text1"/>
          <w:sz w:val="24"/>
          <w:szCs w:val="24"/>
          <w:lang w:val="en-US" w:eastAsia="zh-CN"/>
          <w14:textFill>
            <w14:solidFill>
              <w14:schemeClr w14:val="tx1"/>
            </w14:solidFill>
          </w14:textFill>
        </w:rPr>
        <w:t xml:space="preserve">  </w:t>
      </w:r>
      <w:r>
        <w:rPr>
          <w:rFonts w:hint="eastAsia" w:ascii="宋体" w:hAnsi="宋体" w:eastAsia="宋体" w:cs="宋体"/>
          <w:color w:val="000000" w:themeColor="text1"/>
          <w:sz w:val="24"/>
          <w:szCs w:val="24"/>
          <w:lang w:eastAsia="zh-CN"/>
          <w14:textFill>
            <w14:solidFill>
              <w14:schemeClr w14:val="tx1"/>
            </w14:solidFill>
          </w14:textFill>
        </w:rPr>
        <w:t>48小时盐雾试验无锈蚀</w:t>
      </w:r>
    </w:p>
    <w:p w14:paraId="176F3ABB">
      <w:pPr>
        <w:spacing w:before="184" w:line="360" w:lineRule="auto"/>
        <w:rPr>
          <w:rFonts w:hint="eastAsia" w:ascii="宋体" w:hAnsi="宋体" w:eastAsia="宋体" w:cs="宋体"/>
          <w:b/>
          <w:bCs/>
          <w:color w:val="000000" w:themeColor="text1"/>
          <w:spacing w:val="1"/>
          <w:position w:val="17"/>
          <w:sz w:val="24"/>
          <w:szCs w:val="24"/>
          <w:lang w:eastAsia="zh-CN"/>
          <w14:textFill>
            <w14:solidFill>
              <w14:schemeClr w14:val="tx1"/>
            </w14:solidFill>
          </w14:textFill>
        </w:rPr>
      </w:pPr>
      <w:r>
        <w:rPr>
          <w:rFonts w:hint="eastAsia" w:ascii="宋体" w:hAnsi="宋体" w:eastAsia="宋体" w:cs="宋体"/>
          <w:b/>
          <w:bCs/>
          <w:color w:val="000000" w:themeColor="text1"/>
          <w:spacing w:val="1"/>
          <w:position w:val="17"/>
          <w:sz w:val="24"/>
          <w:szCs w:val="24"/>
          <w:highlight w:val="white"/>
          <w:lang w:eastAsia="zh-CN"/>
          <w14:textFill>
            <w14:solidFill>
              <w14:schemeClr w14:val="tx1"/>
            </w14:solidFill>
          </w14:textFill>
        </w:rPr>
        <w:t>注：以上材料①②③④⑤</w:t>
      </w:r>
      <w:r>
        <w:rPr>
          <w:rFonts w:hint="eastAsia" w:ascii="宋体" w:hAnsi="宋体" w:eastAsia="宋体" w:cs="宋体"/>
          <w:b/>
          <w:bCs/>
          <w:color w:val="000000" w:themeColor="text1"/>
          <w:spacing w:val="1"/>
          <w:position w:val="17"/>
          <w:sz w:val="24"/>
          <w:szCs w:val="24"/>
          <w:lang w:eastAsia="zh-CN"/>
          <w14:textFill>
            <w14:solidFill>
              <w14:schemeClr w14:val="tx1"/>
            </w14:solidFill>
          </w14:textFill>
        </w:rPr>
        <w:t>提供具有相应检测资质的检测机构出具的具有CMA标识的第三方检验检测中心出具的具备二维码防伪标识的检（测）验报告原件彩色扫描件、检测机构在全国认证认可信息公共服务平台查询截图，检测报告在出具报告的检测机构官网查询认证结果</w:t>
      </w:r>
      <w:r>
        <w:rPr>
          <w:rFonts w:hint="eastAsia" w:ascii="宋体" w:hAnsi="宋体" w:eastAsia="宋体" w:cs="宋体"/>
          <w:b/>
          <w:bCs/>
          <w:color w:val="auto"/>
          <w:spacing w:val="1"/>
          <w:position w:val="17"/>
          <w:sz w:val="24"/>
          <w:szCs w:val="24"/>
          <w:lang w:eastAsia="zh-CN"/>
        </w:rPr>
        <w:t>截图，需加盖</w:t>
      </w:r>
      <w:r>
        <w:rPr>
          <w:rFonts w:hint="eastAsia" w:ascii="宋体" w:hAnsi="宋体" w:eastAsia="宋体" w:cs="宋体"/>
          <w:b/>
          <w:bCs/>
          <w:color w:val="auto"/>
          <w:spacing w:val="1"/>
          <w:position w:val="17"/>
          <w:sz w:val="24"/>
          <w:szCs w:val="24"/>
          <w:lang w:val="en-US" w:eastAsia="zh-CN"/>
        </w:rPr>
        <w:t>供应商</w:t>
      </w:r>
      <w:r>
        <w:rPr>
          <w:rFonts w:hint="eastAsia" w:ascii="宋体" w:hAnsi="宋体" w:eastAsia="宋体" w:cs="宋体"/>
          <w:b/>
          <w:bCs/>
          <w:color w:val="auto"/>
          <w:spacing w:val="1"/>
          <w:position w:val="17"/>
          <w:sz w:val="24"/>
          <w:szCs w:val="24"/>
          <w:lang w:eastAsia="zh-CN"/>
        </w:rPr>
        <w:t>公章。</w:t>
      </w:r>
    </w:p>
    <w:p w14:paraId="212CCD6F">
      <w:pPr>
        <w:spacing w:before="184" w:line="360" w:lineRule="auto"/>
        <w:ind w:firstLine="484" w:firstLineChars="200"/>
        <w:rPr>
          <w:rFonts w:hint="eastAsia" w:ascii="宋体" w:hAnsi="宋体" w:eastAsia="宋体" w:cs="宋体"/>
          <w:color w:val="000000" w:themeColor="text1"/>
          <w:spacing w:val="1"/>
          <w:position w:val="17"/>
          <w:sz w:val="24"/>
          <w:szCs w:val="24"/>
          <w:highlight w:val="white"/>
          <w:lang w:eastAsia="zh-CN"/>
          <w14:textFill>
            <w14:solidFill>
              <w14:schemeClr w14:val="tx1"/>
            </w14:solidFill>
          </w14:textFill>
        </w:rPr>
      </w:pPr>
      <w:r>
        <w:rPr>
          <w:rFonts w:hint="eastAsia" w:ascii="宋体" w:hAnsi="宋体" w:eastAsia="宋体" w:cs="宋体"/>
          <w:color w:val="000000" w:themeColor="text1"/>
          <w:spacing w:val="1"/>
          <w:position w:val="17"/>
          <w:sz w:val="24"/>
          <w:szCs w:val="24"/>
          <w:highlight w:val="white"/>
          <w:lang w:eastAsia="zh-CN"/>
          <w14:textFill>
            <w14:solidFill>
              <w14:schemeClr w14:val="tx1"/>
            </w14:solidFill>
          </w14:textFill>
        </w:rPr>
        <w:t>供应商提供的证明材料必须真实有效。在中标结果公示后1个工作日内须按采购人要求提交原件审核。采购人有权向第三方检测机构及相关部门核实相关材料(包括但不限于检测报告及相应的检验发票)的真实性。如证实成交供应商提供虚假材料，采购人将相关材料上报至同级财政监管部门，追究其以虚假材料谋取中标的法律责任。</w:t>
      </w:r>
    </w:p>
    <w:p w14:paraId="4B259A75">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3、工程相关要求</w:t>
      </w:r>
    </w:p>
    <w:p w14:paraId="187D6C94">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3.1谈判文件工</w:t>
      </w:r>
      <w:r>
        <w:rPr>
          <w:rFonts w:hint="eastAsia" w:ascii="宋体" w:hAnsi="宋体" w:eastAsia="宋体" w:cs="宋体"/>
          <w:color w:val="auto"/>
          <w:sz w:val="24"/>
          <w:szCs w:val="24"/>
          <w:lang w:eastAsia="zh-CN"/>
        </w:rPr>
        <w:t>程量清单中的安全生产费、施工环保费、施工建设费、保</w:t>
      </w:r>
      <w:r>
        <w:rPr>
          <w:rFonts w:hint="eastAsia" w:ascii="宋体" w:hAnsi="宋体" w:eastAsia="宋体" w:cs="宋体"/>
          <w:color w:val="000000" w:themeColor="text1"/>
          <w:sz w:val="24"/>
          <w:szCs w:val="24"/>
          <w:lang w:eastAsia="zh-CN"/>
          <w14:textFill>
            <w14:solidFill>
              <w14:schemeClr w14:val="tx1"/>
            </w14:solidFill>
          </w14:textFill>
        </w:rPr>
        <w:t>险费（固定费率或固定金额）、暂估价、暂列金额（如有）均属于不可竞争费，不得让利，否则视为无效响应。本施工项目安全生产专项工程费不得下浮（包括二次报价）。</w:t>
      </w:r>
    </w:p>
    <w:p w14:paraId="4F86D7A7">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3.2凡成交供应商采购的主要材料，必须提供出厂合格证书及试验资料原件给采购人查验，否则，采购人有权制止使用并追究成交供应商的违约责任。</w:t>
      </w:r>
    </w:p>
    <w:p w14:paraId="5FCB2735">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3.3成交供应商应按照本文件中提供的工程量清单，根据项目特征描述的内容及有关要求实施合同工程，直到项目被改变为止。</w:t>
      </w:r>
    </w:p>
    <w:p w14:paraId="0D389502">
      <w:pPr>
        <w:widowControl w:val="0"/>
        <w:kinsoku/>
        <w:autoSpaceDE/>
        <w:autoSpaceDN/>
        <w:adjustRightInd/>
        <w:snapToGrid/>
        <w:spacing w:line="4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000000" w:themeColor="text1"/>
          <w:sz w:val="24"/>
          <w:szCs w:val="24"/>
          <w:lang w:eastAsia="zh-CN"/>
          <w14:textFill>
            <w14:solidFill>
              <w14:schemeClr w14:val="tx1"/>
            </w14:solidFill>
          </w14:textFill>
        </w:rPr>
        <w:t>3.4供应商应充分考虑本项目在施工期间各类建材的市场风险和国家政策性调整等风险因素及自身响应报价风险和成交后自身的经济承受能力，慎重确定合理利润，自主响应报价，承诺不盲目压价低于成本恶性竞争。响应报价中报价一览明</w:t>
      </w:r>
      <w:r>
        <w:rPr>
          <w:rFonts w:hint="eastAsia" w:ascii="宋体" w:hAnsi="宋体" w:eastAsia="宋体" w:cs="宋体"/>
          <w:color w:val="auto"/>
          <w:sz w:val="24"/>
          <w:szCs w:val="24"/>
          <w:lang w:eastAsia="zh-CN"/>
        </w:rPr>
        <w:t>细表附自行编制软件版预算报价扫描件并加盖本单位</w:t>
      </w:r>
      <w:r>
        <w:rPr>
          <w:rFonts w:hint="eastAsia" w:ascii="宋体" w:hAnsi="宋体" w:eastAsia="宋体" w:cs="宋体"/>
          <w:color w:val="auto"/>
          <w:sz w:val="24"/>
          <w:szCs w:val="24"/>
          <w:lang w:val="en-US" w:eastAsia="zh-CN"/>
        </w:rPr>
        <w:t>报价编制人和复核人的</w:t>
      </w:r>
      <w:r>
        <w:rPr>
          <w:rFonts w:hint="eastAsia" w:ascii="宋体" w:hAnsi="宋体" w:eastAsia="宋体" w:cs="宋体"/>
          <w:color w:val="auto"/>
          <w:sz w:val="24"/>
          <w:szCs w:val="24"/>
          <w:lang w:eastAsia="zh-CN"/>
        </w:rPr>
        <w:t>注册造价工程师执业印章，并提供本单位注册造价师证书及开标前6个月任意一个月社保，否则视为无效响应。最终总价报价应为首次总价报价同比例下浮，供应商应在提供纸质版的响应文件的同时提供最终报价的完整清单并加盖本单位</w:t>
      </w:r>
      <w:r>
        <w:rPr>
          <w:rFonts w:hint="eastAsia" w:ascii="宋体" w:hAnsi="宋体" w:eastAsia="宋体" w:cs="宋体"/>
          <w:color w:val="auto"/>
          <w:sz w:val="24"/>
          <w:szCs w:val="24"/>
          <w:lang w:val="en-US" w:eastAsia="zh-CN"/>
        </w:rPr>
        <w:t>报价编制人和复核人的</w:t>
      </w:r>
      <w:r>
        <w:rPr>
          <w:rFonts w:hint="eastAsia" w:ascii="宋体" w:hAnsi="宋体" w:eastAsia="宋体" w:cs="宋体"/>
          <w:color w:val="auto"/>
          <w:sz w:val="24"/>
          <w:szCs w:val="24"/>
          <w:lang w:eastAsia="zh-CN"/>
        </w:rPr>
        <w:t>注册造价工程师执业印章（</w:t>
      </w:r>
      <w:r>
        <w:rPr>
          <w:rFonts w:hint="eastAsia" w:ascii="宋体" w:hAnsi="宋体" w:eastAsia="宋体" w:cs="宋体"/>
          <w:color w:val="auto"/>
          <w:sz w:val="24"/>
          <w:szCs w:val="24"/>
          <w:lang w:val="en-US" w:eastAsia="zh-CN"/>
        </w:rPr>
        <w:t>其中复核人应为本单位一级</w:t>
      </w:r>
      <w:r>
        <w:rPr>
          <w:rFonts w:hint="eastAsia" w:ascii="宋体" w:hAnsi="宋体" w:eastAsia="宋体" w:cs="宋体"/>
          <w:color w:val="auto"/>
          <w:sz w:val="24"/>
          <w:szCs w:val="24"/>
          <w:lang w:eastAsia="zh-CN"/>
        </w:rPr>
        <w:t>注册造价工程师）。</w:t>
      </w:r>
    </w:p>
    <w:p w14:paraId="144E5E12">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3.5成交供应商应按照采购人提供的施工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1C423B99">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4、人员及业绩要求：</w:t>
      </w:r>
    </w:p>
    <w:p w14:paraId="5CCA6B7C">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4.1项目负责人：具备公路工程二级（含）以上注册建造师证书（不含临时建造师）资格，具备有效的安全生产考核合格(交安B类)证书.</w:t>
      </w:r>
    </w:p>
    <w:p w14:paraId="742325F8">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（响应供应商提供证书原件彩色扫描件、开标前六个月任意一个月（不含开标当月）供应商为其缴纳的社保证明，并加盖供应商公章。）</w:t>
      </w:r>
    </w:p>
    <w:p w14:paraId="42508141">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4.2项目总工：具有公路工程或公路与桥梁工程类似相关专业的中级及以上职称证书，具备有效的安全生产考核合格(交安B类)证书</w:t>
      </w:r>
    </w:p>
    <w:p w14:paraId="70C7C178">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（响应供应商提供证书原件彩色扫描件、开标前六个月任意一个月（不含开标当月）供应商为其缴纳的社保证明，并加盖供应商公章。）</w:t>
      </w:r>
    </w:p>
    <w:p w14:paraId="159566F2">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4.3四大员：具有施工员、质量员、安全员（交安C）、材料员各一名。施工员和质量员为市政专业，</w:t>
      </w:r>
    </w:p>
    <w:p w14:paraId="68203A0C">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响应供应商提供行政管理部门颁发的有效的岗位证书或培训证书原件彩色扫描件、开标前六个月任意一个月（不含开标当月）供应商为其缴纳的社保证明，并加盖供应商公章。）</w:t>
      </w:r>
    </w:p>
    <w:p w14:paraId="5A2ECB95">
      <w:pPr>
        <w:widowControl w:val="0"/>
        <w:kinsoku/>
        <w:autoSpaceDE/>
        <w:autoSpaceDN/>
        <w:adjustRightInd/>
        <w:snapToGrid/>
        <w:spacing w:line="420" w:lineRule="exact"/>
        <w:ind w:firstLine="480" w:firstLineChars="200"/>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4.4本项目需另配备钢筋工、油漆工、混凝土工、砌筑工等专业人员，满足其中两种工种即可，提供住建管理部门颁发的有效的岗位证书或职业培训证书原件彩色扫描件。</w:t>
      </w:r>
    </w:p>
    <w:p w14:paraId="2C2C3E3C">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（响应供应商提供证书原件彩色扫描件、开标前六个月任意一个月（不含开标当月）供应商为其缴纳的社保证明，并加盖供应商公章。）</w:t>
      </w:r>
    </w:p>
    <w:p w14:paraId="091B84F2">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注：以上拟派人员（</w:t>
      </w:r>
      <w:r>
        <w:rPr>
          <w:rFonts w:hint="eastAsia" w:ascii="宋体" w:hAnsi="宋体" w:eastAsia="宋体" w:cs="宋体"/>
          <w:color w:val="auto"/>
          <w:sz w:val="24"/>
          <w:szCs w:val="24"/>
          <w:lang w:val="en-US" w:eastAsia="zh-CN"/>
        </w:rPr>
        <w:t>4.1至4.4中的全部人员</w:t>
      </w:r>
      <w:r>
        <w:rPr>
          <w:rFonts w:hint="eastAsia" w:ascii="宋体" w:hAnsi="宋体" w:eastAsia="宋体" w:cs="宋体"/>
          <w:color w:val="auto"/>
          <w:sz w:val="24"/>
          <w:szCs w:val="24"/>
          <w:lang w:eastAsia="zh-CN"/>
        </w:rPr>
        <w:t>）不得重复，提供相应证书原件彩色扫描件及供应商为其缴纳的投标截止时间前6个月内（不含开标当月）任意一个月的社保证明。以上全部人员（</w:t>
      </w:r>
      <w:r>
        <w:rPr>
          <w:rFonts w:hint="eastAsia" w:ascii="宋体" w:hAnsi="宋体" w:eastAsia="宋体" w:cs="宋体"/>
          <w:color w:val="auto"/>
          <w:sz w:val="24"/>
          <w:szCs w:val="24"/>
          <w:lang w:val="en-US" w:eastAsia="zh-CN"/>
        </w:rPr>
        <w:t>4.1至4.3中的全部人员</w:t>
      </w:r>
      <w:r>
        <w:rPr>
          <w:rFonts w:hint="eastAsia" w:ascii="宋体" w:hAnsi="宋体" w:eastAsia="宋体" w:cs="宋体"/>
          <w:color w:val="auto"/>
          <w:sz w:val="24"/>
          <w:szCs w:val="24"/>
          <w:lang w:eastAsia="zh-CN"/>
        </w:rPr>
        <w:t>）供应商承诺无在建工程（提供承诺函）。</w:t>
      </w:r>
    </w:p>
    <w:p w14:paraId="030F445F">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val="en-US" w:eastAsia="en-US"/>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 xml:space="preserve">4.5 </w:t>
      </w:r>
      <w:r>
        <w:rPr>
          <w:rFonts w:hint="eastAsia" w:ascii="宋体" w:hAnsi="宋体" w:eastAsia="宋体" w:cs="宋体"/>
          <w:color w:val="000000" w:themeColor="text1"/>
          <w:sz w:val="24"/>
          <w:szCs w:val="24"/>
          <w:lang w:val="en-US" w:eastAsia="en-US"/>
          <w14:textFill>
            <w14:solidFill>
              <w14:schemeClr w14:val="tx1"/>
            </w14:solidFill>
          </w14:textFill>
        </w:rPr>
        <w:t>业绩</w:t>
      </w:r>
      <w:r>
        <w:rPr>
          <w:rFonts w:hint="eastAsia" w:ascii="宋体" w:hAnsi="宋体" w:eastAsia="宋体" w:cs="宋体"/>
          <w:color w:val="000000" w:themeColor="text1"/>
          <w:sz w:val="24"/>
          <w:szCs w:val="24"/>
          <w:lang w:val="en-US" w:eastAsia="zh-CN"/>
          <w14:textFill>
            <w14:solidFill>
              <w14:schemeClr w14:val="tx1"/>
            </w14:solidFill>
          </w14:textFill>
        </w:rPr>
        <w:t>要求</w:t>
      </w:r>
      <w:r>
        <w:rPr>
          <w:rFonts w:hint="eastAsia" w:ascii="宋体" w:hAnsi="宋体" w:eastAsia="宋体" w:cs="宋体"/>
          <w:color w:val="000000" w:themeColor="text1"/>
          <w:sz w:val="24"/>
          <w:szCs w:val="24"/>
          <w:lang w:val="en-US" w:eastAsia="en-US"/>
          <w14:textFill>
            <w14:solidFill>
              <w14:schemeClr w14:val="tx1"/>
            </w14:solidFill>
          </w14:textFill>
        </w:rPr>
        <w:t>：</w:t>
      </w:r>
    </w:p>
    <w:p w14:paraId="5E583098">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供应商自2023年1月1日以来【以合同签订时间为准】,须提供2个公路项目施工业绩。</w:t>
      </w:r>
    </w:p>
    <w:p w14:paraId="7447CAC2">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需提交项目中标（成交）通知书、项目施工合同、竣工验收备案表或竣工验收报告（至少有四方责任主体盖章）的</w:t>
      </w:r>
      <w:r>
        <w:rPr>
          <w:rFonts w:hint="eastAsia" w:ascii="宋体" w:hAnsi="宋体" w:eastAsia="宋体" w:cs="宋体"/>
          <w:color w:val="000000" w:themeColor="text1"/>
          <w:sz w:val="24"/>
          <w:szCs w:val="24"/>
          <w:lang w:eastAsia="zh-CN"/>
          <w14:textFill>
            <w14:solidFill>
              <w14:schemeClr w14:val="tx1"/>
            </w14:solidFill>
          </w14:textFill>
        </w:rPr>
        <w:t>原件彩色扫描件</w:t>
      </w:r>
      <w:r>
        <w:rPr>
          <w:rFonts w:hint="eastAsia" w:ascii="宋体" w:hAnsi="宋体" w:eastAsia="宋体" w:cs="宋体"/>
          <w:color w:val="000000" w:themeColor="text1"/>
          <w:sz w:val="24"/>
          <w:szCs w:val="24"/>
          <w:lang w:val="en-US" w:eastAsia="zh-CN"/>
          <w14:textFill>
            <w14:solidFill>
              <w14:schemeClr w14:val="tx1"/>
            </w14:solidFill>
          </w14:textFill>
        </w:rPr>
        <w:t>进行佐证。</w:t>
      </w:r>
    </w:p>
    <w:p w14:paraId="131EAB8C">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5、其他要求：</w:t>
      </w:r>
    </w:p>
    <w:p w14:paraId="78983A46">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5.1本项目未经采购人同意不允许转包、分包，情节严重的将终止合同。</w:t>
      </w:r>
    </w:p>
    <w:p w14:paraId="5040C2A6">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5.2采购人在签订合同时，须要求中标单位提供本项目负责人、项目总工及四大员证书原件进行核实，若未提供证件及证件核实不符，采购人将拒签合同。</w:t>
      </w:r>
    </w:p>
    <w:p w14:paraId="684ADD1B">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5.3在项目施工过程中，合同内规定的项目负责人每月在施工现场不得少于22天，施工员、质量员及安全员每月在施工现场不得少于22 天。上述人员离开工地前需提前24小时书面向采购人和监理总监请假，在得到发包人同意后方可离开。否则承包人须向采购人按每人 1000 元/次支付违约金。</w:t>
      </w:r>
    </w:p>
    <w:p w14:paraId="77B008FB">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5.4中标人在项目实施或服务过程中发生的重大人员、产品质量事故，或因成交人管理不善等原因造成的人员伤亡等责任事故均由中标人负责，采购人不承担任何法律及经济责任。</w:t>
      </w:r>
    </w:p>
    <w:p w14:paraId="1254B8DA">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5.5供应商可自行安排时间进行实地考察，以获得由供应商自己负责的有关编制响应文件和签署合同的所有信息，一旦成交这种考察即被认为其结果已在响应文件中的充分反映，考察现场的费用及安全问题由供应商自行承担。</w:t>
      </w:r>
    </w:p>
    <w:p w14:paraId="017351EE">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5.6中标人须对设备（材料）的运输、施工、调试直到交付使用前提供安全保障，在此过程中发生的一切故障，后果及责任均由中标人承担。</w:t>
      </w:r>
    </w:p>
    <w:p w14:paraId="75D18469">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5.7中标人应保证，采购人在中华人民共和国使用成交人所提供工程的任何一部分时，免受第三方提出的侵犯其专利权、商标权或工业设计权的起诉。</w:t>
      </w:r>
    </w:p>
    <w:p w14:paraId="2CD1110F">
      <w:pPr>
        <w:widowControl w:val="0"/>
        <w:kinsoku/>
        <w:autoSpaceDE/>
        <w:autoSpaceDN/>
        <w:adjustRightInd/>
        <w:snapToGrid/>
        <w:spacing w:line="420" w:lineRule="exact"/>
        <w:ind w:firstLine="480" w:firstLineChars="200"/>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5.8中标人不得拖欠农民工工资。当发生农民工工资纠纷时（非甲方原因），施工单位应积极应对，及时处理。当纠纷干扰到采购人时，采购人可以对中标人进行处罚，每干扰一次处罚人民币 5000元，从工程款中扣除。参与本项目的投标人需提供工伤保险参保承诺和无拖欠农民工工资承诺函，未按要求提交承诺函或提供不实的，将视为无效标，由投标人自行负责。</w:t>
      </w:r>
    </w:p>
    <w:p w14:paraId="645DB560">
      <w:pPr>
        <w:widowControl w:val="0"/>
        <w:numPr>
          <w:ilvl w:val="0"/>
          <w:numId w:val="3"/>
        </w:numPr>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为规范投标行为，此次招投标严格按照《注册造价工程师管理办法》(建设部令第 150 号)和《建设工程工程量清单计价标准》(GB/T50500-2013)的要求，要求投标人递交的投标报价工程量清单文件应由本公司注册造价工程师编制,加盖注册造价工程师个人名章（或签名）和执业专用章并由一级注册造价工程师审核后签字(章)和加盖执业专用章，编制人和审核人不得为同一人，如未签字(章)、未加盖执业专用章或该注册造价工程师未在投标单位注册的，其投标无效。</w:t>
      </w:r>
    </w:p>
    <w:p w14:paraId="3B886599">
      <w:pPr>
        <w:widowControl w:val="0"/>
        <w:numPr>
          <w:ilvl w:val="0"/>
          <w:numId w:val="0"/>
        </w:numPr>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（提供造价编制人及审核人的注册造价工程师证书原件彩色扫描件及投标人为其缴纳的投标截止时间前6个月内（不含开标当月）任意一个月的社保证明）。</w:t>
      </w:r>
    </w:p>
    <w:p w14:paraId="039104B2">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（二）、商务要求</w:t>
      </w:r>
    </w:p>
    <w:p w14:paraId="0B995A21">
      <w:pPr>
        <w:widowControl w:val="0"/>
        <w:kinsoku/>
        <w:autoSpaceDE/>
        <w:autoSpaceDN/>
        <w:adjustRightInd/>
        <w:snapToGrid/>
        <w:spacing w:line="420" w:lineRule="exact"/>
        <w:textAlignment w:val="auto"/>
        <w:rPr>
          <w:rFonts w:hint="eastAsia" w:ascii="宋体" w:hAnsi="宋体" w:eastAsia="宋体" w:cs="宋体"/>
          <w:color w:val="auto"/>
          <w:sz w:val="24"/>
          <w:szCs w:val="24"/>
          <w:lang w:eastAsia="zh-CN"/>
        </w:rPr>
      </w:pPr>
      <w:r>
        <w:rPr>
          <w:rFonts w:hint="eastAsia" w:ascii="宋体" w:hAnsi="宋体" w:eastAsia="宋体" w:cs="宋体"/>
          <w:color w:val="000000" w:themeColor="text1"/>
          <w:sz w:val="24"/>
          <w:szCs w:val="24"/>
          <w:lang w:eastAsia="zh-CN"/>
          <w14:textFill>
            <w14:solidFill>
              <w14:schemeClr w14:val="tx1"/>
            </w14:solidFill>
          </w14:textFill>
        </w:rPr>
        <w:t>1</w:t>
      </w:r>
      <w:r>
        <w:rPr>
          <w:rFonts w:hint="eastAsia" w:ascii="宋体" w:hAnsi="宋体" w:eastAsia="宋体" w:cs="宋体"/>
          <w:color w:val="auto"/>
          <w:sz w:val="24"/>
          <w:szCs w:val="24"/>
          <w:lang w:eastAsia="zh-CN"/>
        </w:rPr>
        <w:t>、付款方式：双方签订合同后，项目施工期间成交供应商可按照项目实施进度</w:t>
      </w:r>
      <w:r>
        <w:rPr>
          <w:rFonts w:hint="eastAsia" w:ascii="宋体" w:hAnsi="宋体" w:eastAsia="宋体" w:cs="宋体"/>
          <w:color w:val="auto"/>
          <w:sz w:val="24"/>
          <w:szCs w:val="24"/>
          <w:lang w:val="en-US" w:eastAsia="zh-CN"/>
        </w:rPr>
        <w:t>按月</w:t>
      </w:r>
      <w:r>
        <w:rPr>
          <w:rFonts w:hint="eastAsia" w:ascii="宋体" w:hAnsi="宋体" w:eastAsia="宋体" w:cs="宋体"/>
          <w:color w:val="auto"/>
          <w:sz w:val="24"/>
          <w:szCs w:val="24"/>
          <w:lang w:eastAsia="zh-CN"/>
        </w:rPr>
        <w:t>提供工程进度预算申请拨付相应</w:t>
      </w:r>
      <w:r>
        <w:rPr>
          <w:rFonts w:hint="eastAsia" w:ascii="宋体" w:hAnsi="宋体" w:eastAsia="宋体" w:cs="宋体"/>
          <w:color w:val="auto"/>
          <w:sz w:val="24"/>
          <w:szCs w:val="24"/>
          <w:lang w:val="en-US" w:eastAsia="zh-CN"/>
        </w:rPr>
        <w:t>月</w:t>
      </w:r>
      <w:r>
        <w:rPr>
          <w:rFonts w:hint="eastAsia" w:ascii="宋体" w:hAnsi="宋体" w:eastAsia="宋体" w:cs="宋体"/>
          <w:color w:val="auto"/>
          <w:sz w:val="24"/>
          <w:szCs w:val="24"/>
          <w:lang w:eastAsia="zh-CN"/>
        </w:rPr>
        <w:t>进度80%比例的工程款（预算需经业主及监理审核签字）；提供工程的进度决算，但进度款最高拨付不超过合同价的80%。项目竣工验收合格、决算、审计后，采购人拨付最终审计结算价的97%至成交供应商，余</w:t>
      </w:r>
      <w:r>
        <w:rPr>
          <w:rFonts w:hint="eastAsia" w:ascii="宋体" w:hAnsi="宋体" w:eastAsia="宋体" w:cs="宋体"/>
          <w:color w:val="auto"/>
          <w:sz w:val="24"/>
          <w:szCs w:val="24"/>
          <w:lang w:val="en-US" w:eastAsia="zh-CN"/>
        </w:rPr>
        <w:t>款3%</w:t>
      </w:r>
      <w:r>
        <w:rPr>
          <w:rFonts w:hint="eastAsia" w:ascii="宋体" w:hAnsi="宋体" w:eastAsia="宋体" w:cs="宋体"/>
          <w:color w:val="auto"/>
          <w:sz w:val="24"/>
          <w:szCs w:val="24"/>
          <w:lang w:eastAsia="zh-CN"/>
        </w:rPr>
        <w:t>在质保期满后且成交供应商完全履行保修责任后付清(余</w:t>
      </w:r>
      <w:r>
        <w:rPr>
          <w:rFonts w:hint="eastAsia" w:ascii="宋体" w:hAnsi="宋体" w:eastAsia="宋体" w:cs="宋体"/>
          <w:color w:val="auto"/>
          <w:sz w:val="24"/>
          <w:szCs w:val="24"/>
          <w:lang w:val="en-US" w:eastAsia="zh-CN"/>
        </w:rPr>
        <w:t>款3%</w:t>
      </w:r>
      <w:r>
        <w:rPr>
          <w:rFonts w:hint="eastAsia" w:ascii="宋体" w:hAnsi="宋体" w:eastAsia="宋体" w:cs="宋体"/>
          <w:color w:val="auto"/>
          <w:sz w:val="24"/>
          <w:szCs w:val="24"/>
          <w:lang w:eastAsia="zh-CN"/>
        </w:rPr>
        <w:t>不计息)。付款前须经建设单位、监理单位等审核签字后有效。</w:t>
      </w:r>
    </w:p>
    <w:p w14:paraId="372145E6">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auto"/>
          <w:sz w:val="24"/>
          <w:szCs w:val="24"/>
          <w:lang w:eastAsia="zh-CN"/>
        </w:rPr>
        <w:t>2、服务期：合同签订后 150 天完成相关工作。（以</w:t>
      </w:r>
      <w:r>
        <w:rPr>
          <w:rFonts w:hint="eastAsia" w:ascii="宋体" w:hAnsi="宋体" w:eastAsia="宋体" w:cs="宋体"/>
          <w:color w:val="000000" w:themeColor="text1"/>
          <w:sz w:val="24"/>
          <w:szCs w:val="24"/>
          <w:lang w:eastAsia="zh-CN"/>
          <w14:textFill>
            <w14:solidFill>
              <w14:schemeClr w14:val="tx1"/>
            </w14:solidFill>
          </w14:textFill>
        </w:rPr>
        <w:t>签订合同为准）</w:t>
      </w:r>
    </w:p>
    <w:p w14:paraId="6FDCF51C">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3、服务地点：采购人指定地点。</w:t>
      </w:r>
    </w:p>
    <w:p w14:paraId="1C7E1932">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4、现场踏勘：采购人不组织踏勘现场，投标人应自行安排实地踏勘。一旦中标，不得以不了解现场情况为理由而提出额外费用，采购单位将不予考虑。踏勘现场的费用自理，在现场考察过程中，投标如果发生人身伤亡、财务或其它损失，不论何种原因造成，均由投标人自己承担。</w:t>
      </w:r>
    </w:p>
    <w:p w14:paraId="6B90206F">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5、质量保证期：本项目成交合同项下所有工程自验收合格之日起 12 个月，因产品质量、施工技术原因导致的问题，负责免费维修或更换。质量保证期从工程获得竣工验收之日算起。在质量保证期内，接采购人或使用单位通知后4小时内必须响应，12 小时到达现场，24小时解决。</w:t>
      </w:r>
    </w:p>
    <w:p w14:paraId="6A868C59">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6、验收</w:t>
      </w:r>
    </w:p>
    <w:p w14:paraId="68A9DB4C">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6.1应符合本标准和相关专业验收规范的规定。</w:t>
      </w:r>
    </w:p>
    <w:p w14:paraId="4CF45A48">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6.2应符合工程勘察、设计文件的要求。</w:t>
      </w:r>
    </w:p>
    <w:p w14:paraId="086DC2E6">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6.3参加验收的各方人员应具备规定的资格。</w:t>
      </w:r>
    </w:p>
    <w:p w14:paraId="2609E892">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6.4验收应在施工单位自行检查评定的基础上进行。</w:t>
      </w:r>
    </w:p>
    <w:p w14:paraId="3EC13095">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6.5隐蔽工程在隐蔽前应由施工单位通知有关单位进行验收，并形成验收文件。</w:t>
      </w:r>
    </w:p>
    <w:p w14:paraId="08107FB1">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6.6中标人应在具备合同验收条件后向采购人提供包含验收方案、具体验收项目、验收目的、验收标准等的验收申请。</w:t>
      </w:r>
    </w:p>
    <w:p w14:paraId="2B02B801">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6.7检测验收标准应符合国家最新相关标准，验收费用由成交人负责。</w:t>
      </w:r>
    </w:p>
    <w:p w14:paraId="1687880C">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6.8本工程的工程质量应符合国家工程质量验收标准合格及以上要求，供应商应按现行的国家施工验收规范和质量评定标准、施工说明书、设备说明书等技术文件为依据施工。响应供应商应保证招标方及用户不受到第三方关于侵犯专利权的指控，任何第三方如果提出指控，中标方应与第三方交涉，承担可能发生的一切法律责任费用和后果，并全额赔偿招标方和用户的损失。</w:t>
      </w:r>
    </w:p>
    <w:p w14:paraId="36C7D9F0">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本项目为交钥匙工程，如果发生工程量减少，则按供应商的报价，减少相应费用，如果按需要发生工程量增加，供应商必须提供，并且不增加响应的费用。响应报价应是谈判文件和施工图纸所约定的招标范围内全部内容的价格体现，应以人民币报价。响应报价应包括但不限于施工机械、劳务、材料(包括采购人选定的材料，供应商所供材料的运输到现场的卸力及采购保管费用等)、垂直运输费、临时设施(包括场地内施工用水、电及场内施工道路等)、缺陷修补、安全文明施工费、临街面的安全围护(按县里规定要求做好安全围护)、组织措施费、施工管理费、各项规费、利润、保险、各专业工程间配合费、税金等一切费用。</w:t>
      </w:r>
    </w:p>
    <w:p w14:paraId="501AFC17">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en-US"/>
          <w14:textFill>
            <w14:solidFill>
              <w14:schemeClr w14:val="tx1"/>
            </w14:solidFill>
          </w14:textFill>
        </w:rPr>
      </w:pPr>
      <w:r>
        <w:rPr>
          <w:rFonts w:hint="eastAsia" w:ascii="宋体" w:hAnsi="宋体" w:eastAsia="宋体" w:cs="宋体"/>
          <w:color w:val="000000" w:themeColor="text1"/>
          <w:sz w:val="24"/>
          <w:szCs w:val="24"/>
          <w:lang w:val="en-US" w:eastAsia="en-US"/>
          <w14:textFill>
            <w14:solidFill>
              <w14:schemeClr w14:val="tx1"/>
            </w14:solidFill>
          </w14:textFill>
        </w:rPr>
        <w:t>信誉要求：</w:t>
      </w:r>
    </w:p>
    <w:p w14:paraId="3E18FBC0">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投标人自开标之日起(含开标之日)前36个月内在中华人民共和国境内没有发生被住房和城乡建设行政主管部门通报的围标串标、谋取中标、弄虚作假、项目转包、违法分包问题。（投标人出具加盖单位公章和法定代表人签字或盖章的承诺书）。</w:t>
      </w:r>
    </w:p>
    <w:p w14:paraId="0981EA09">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（2）、投标人自开标之日起(含开标之日)前36个月内在中华人民共和国境内没有发生过中标后弃标行为。（投标人出具加盖单位公章和法定代表人签字或盖章的承诺书）</w:t>
      </w:r>
    </w:p>
    <w:p w14:paraId="58B15AB3">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9、供应商在成交后，需将加盖单位公章与投标单位造价人员印鉴的完整工程量清单作为最后报价的附件于签合同之前提交给采购人，否则，视为无效响应。若最后报价与响应文件中报价一致的，可不提供附件。</w:t>
      </w:r>
    </w:p>
    <w:p w14:paraId="24846C34">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1</w:t>
      </w:r>
      <w:r>
        <w:rPr>
          <w:rFonts w:hint="eastAsia" w:ascii="宋体" w:hAnsi="宋体" w:eastAsia="宋体" w:cs="宋体"/>
          <w:color w:val="000000" w:themeColor="text1"/>
          <w:sz w:val="24"/>
          <w:szCs w:val="24"/>
          <w:lang w:val="en-US" w:eastAsia="zh-CN"/>
          <w14:textFill>
            <w14:solidFill>
              <w14:schemeClr w14:val="tx1"/>
            </w14:solidFill>
          </w14:textFill>
        </w:rPr>
        <w:t>0</w:t>
      </w:r>
      <w:r>
        <w:rPr>
          <w:rFonts w:hint="eastAsia" w:ascii="宋体" w:hAnsi="宋体" w:eastAsia="宋体" w:cs="宋体"/>
          <w:color w:val="000000" w:themeColor="text1"/>
          <w:sz w:val="24"/>
          <w:szCs w:val="24"/>
          <w:lang w:eastAsia="zh-CN"/>
          <w14:textFill>
            <w14:solidFill>
              <w14:schemeClr w14:val="tx1"/>
            </w14:solidFill>
          </w14:textFill>
        </w:rPr>
        <w:t>、其它未尽事宜，与采购人签订合同时再商议。</w:t>
      </w:r>
    </w:p>
    <w:p w14:paraId="09F4721E">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p>
    <w:p w14:paraId="3D074BF3">
      <w:pPr>
        <w:widowControl w:val="0"/>
        <w:kinsoku/>
        <w:autoSpaceDE/>
        <w:autoSpaceDN/>
        <w:adjustRightInd/>
        <w:snapToGrid/>
        <w:spacing w:line="420" w:lineRule="exact"/>
        <w:textAlignment w:val="auto"/>
        <w:rPr>
          <w:rFonts w:hint="eastAsia" w:ascii="宋体" w:hAnsi="宋体" w:eastAsia="宋体" w:cs="宋体"/>
          <w:color w:val="000000" w:themeColor="text1"/>
          <w:sz w:val="24"/>
          <w:szCs w:val="24"/>
          <w:lang w:eastAsia="zh-CN"/>
          <w14:textFill>
            <w14:solidFill>
              <w14:schemeClr w14:val="tx1"/>
            </w14:solidFill>
          </w14:textFill>
        </w:rPr>
      </w:pPr>
    </w:p>
    <w:p w14:paraId="42B1FE61">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Arial Narrow">
    <w:altName w:val="Arial"/>
    <w:panose1 w:val="020B0606020202030204"/>
    <w:charset w:val="00"/>
    <w:family w:val="auto"/>
    <w:pitch w:val="default"/>
    <w:sig w:usb0="00000000" w:usb1="00000000" w:usb2="00000000" w:usb3="00000000" w:csb0="2000009F" w:csb1="DFD7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 w:name="KSOF3D47F291">
    <w:panose1 w:val="020B0604020202020204"/>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p w14:paraId="446452A1">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E3B981"/>
    <w:multiLevelType w:val="singleLevel"/>
    <w:tmpl w:val="8AE3B981"/>
    <w:lvl w:ilvl="0" w:tentative="0">
      <w:start w:val="1"/>
      <w:numFmt w:val="decimal"/>
      <w:lvlText w:val="%1."/>
      <w:lvlJc w:val="left"/>
      <w:pPr>
        <w:tabs>
          <w:tab w:val="left" w:pos="312"/>
        </w:tabs>
      </w:pPr>
    </w:lvl>
  </w:abstractNum>
  <w:abstractNum w:abstractNumId="1">
    <w:nsid w:val="ADC4A212"/>
    <w:multiLevelType w:val="singleLevel"/>
    <w:tmpl w:val="ADC4A212"/>
    <w:lvl w:ilvl="0" w:tentative="0">
      <w:start w:val="1"/>
      <w:numFmt w:val="decimal"/>
      <w:suff w:val="nothing"/>
      <w:lvlText w:val="%1、"/>
      <w:lvlJc w:val="left"/>
    </w:lvl>
  </w:abstractNum>
  <w:abstractNum w:abstractNumId="2">
    <w:nsid w:val="CBAFFF59"/>
    <w:multiLevelType w:val="singleLevel"/>
    <w:tmpl w:val="CBAFFF59"/>
    <w:lvl w:ilvl="0" w:tentative="0">
      <w:start w:val="6"/>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FB1074"/>
    <w:rsid w:val="4EFB1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page number"/>
    <w:basedOn w:val="6"/>
    <w:qFormat/>
    <w:uiPriority w:val="99"/>
    <w:rPr>
      <w:rFonts w:cs="Times New Roman"/>
    </w:rPr>
  </w:style>
  <w:style w:type="character" w:customStyle="1" w:styleId="8">
    <w:name w:val="font41"/>
    <w:basedOn w:val="6"/>
    <w:qFormat/>
    <w:uiPriority w:val="0"/>
    <w:rPr>
      <w:rFonts w:hint="eastAsia" w:ascii="微软雅黑" w:hAnsi="微软雅黑" w:eastAsia="微软雅黑" w:cs="微软雅黑"/>
      <w:color w:val="000000"/>
      <w:sz w:val="40"/>
      <w:szCs w:val="40"/>
      <w:u w:val="none"/>
    </w:rPr>
  </w:style>
  <w:style w:type="character" w:customStyle="1" w:styleId="9">
    <w:name w:val="font11"/>
    <w:basedOn w:val="6"/>
    <w:qFormat/>
    <w:uiPriority w:val="0"/>
    <w:rPr>
      <w:rFonts w:hint="eastAsia" w:ascii="微软雅黑" w:hAnsi="微软雅黑" w:eastAsia="微软雅黑" w:cs="微软雅黑"/>
      <w:color w:val="000000"/>
      <w:sz w:val="18"/>
      <w:szCs w:val="18"/>
      <w:u w:val="none"/>
    </w:rPr>
  </w:style>
  <w:style w:type="character" w:customStyle="1" w:styleId="10">
    <w:name w:val="font21"/>
    <w:basedOn w:val="6"/>
    <w:qFormat/>
    <w:uiPriority w:val="0"/>
    <w:rPr>
      <w:rFonts w:hint="eastAsia" w:ascii="微软雅黑" w:hAnsi="微软雅黑" w:eastAsia="微软雅黑" w:cs="微软雅黑"/>
      <w:color w:val="000000"/>
      <w:sz w:val="18"/>
      <w:szCs w:val="1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2026-04-03T07:40:00Z</dcterms:created>
  <dc:creator>泡芙，</dc:creator>
  <cp:lastModifiedBy>泡芙，</cp:lastModifiedBy>
  <dcterms:modified xsi:type="dcterms:W3CDTF">2026-04-03T07:40:43Z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D3AAE36697BD4CB1BABB4A17415D5242_11</vt:lpwstr>
  </property>
  <property fmtid="{D5CDD505-2E9C-101B-9397-08002B2CF9AE}" pid="4" name="KSOTemplateDocerSaveRecord">
    <vt:lpwstr>eyJoZGlkIjoiNzI1MzljODBiNDliMzEyMzFlZWNlN2EzYjU0N2YzMWEiLCJ1c2VySWQiOiI2NzUwMDkyODMifQ==</vt:lpwstr>
  </property>
</Properties>
</file>