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00CBA6">
      <w:pPr>
        <w:pageBreakBefore w:val="0"/>
        <w:widowControl w:val="0"/>
        <w:wordWrap/>
        <w:overflowPunct/>
        <w:topLinePunct w:val="0"/>
        <w:bidi w:val="0"/>
        <w:spacing w:before="63" w:line="224" w:lineRule="auto"/>
        <w:jc w:val="cente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bookmarkStart w:id="7" w:name="_GoBack"/>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道路交通事故等相关司法检测鉴定服务</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bookmarkEnd w:id="7"/>
    <w:p w14:paraId="68CB5216">
      <w:pPr>
        <w:pageBreakBefore w:val="0"/>
        <w:widowControl w:val="0"/>
        <w:wordWrap/>
        <w:overflowPunct/>
        <w:topLinePunct w:val="0"/>
        <w:bidi w:val="0"/>
        <w:spacing w:line="309" w:lineRule="auto"/>
        <w:jc w:val="center"/>
        <w:rPr>
          <w:color w:val="auto"/>
          <w:highlight w:val="none"/>
          <w:lang w:eastAsia="zh-CN"/>
        </w:rPr>
      </w:pPr>
    </w:p>
    <w:p w14:paraId="3885CCBC">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4088002A">
      <w:pPr>
        <w:pageBreakBefore w:val="0"/>
        <w:widowControl w:val="0"/>
        <w:wordWrap/>
        <w:overflowPunct/>
        <w:topLinePunct w:val="0"/>
        <w:bidi w:val="0"/>
        <w:spacing w:before="64"/>
        <w:rPr>
          <w:color w:val="auto"/>
          <w:highlight w:val="none"/>
        </w:rPr>
      </w:pPr>
      <w:r>
        <w:rPr>
          <w:rFonts w:hint="eastAsia" w:ascii="宋体" w:hAnsi="宋体" w:eastAsia="宋体" w:cs="宋体"/>
          <w:color w:val="auto"/>
          <w:highlight w:val="none"/>
        </w:rPr>
        <w:drawing>
          <wp:anchor distT="0" distB="0" distL="0" distR="0" simplePos="0" relativeHeight="251659264" behindDoc="1" locked="0" layoutInCell="1" allowOverlap="1">
            <wp:simplePos x="0" y="0"/>
            <wp:positionH relativeFrom="column">
              <wp:posOffset>-201930</wp:posOffset>
            </wp:positionH>
            <wp:positionV relativeFrom="paragraph">
              <wp:posOffset>184150</wp:posOffset>
            </wp:positionV>
            <wp:extent cx="1165225" cy="1001395"/>
            <wp:effectExtent l="0" t="0" r="6350" b="825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165225" cy="1001395"/>
                    </a:xfrm>
                    <a:prstGeom prst="rect">
                      <a:avLst/>
                    </a:prstGeom>
                  </pic:spPr>
                </pic:pic>
              </a:graphicData>
            </a:graphic>
          </wp:anchor>
        </w:drawing>
      </w:r>
    </w:p>
    <w:tbl>
      <w:tblPr>
        <w:tblStyle w:val="6"/>
        <w:tblW w:w="9254"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62"/>
        <w:gridCol w:w="900"/>
        <w:gridCol w:w="7392"/>
      </w:tblGrid>
      <w:tr w14:paraId="7815D2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962" w:type="dxa"/>
            <w:tcBorders>
              <w:right w:val="nil"/>
            </w:tcBorders>
          </w:tcPr>
          <w:p w14:paraId="09E5E074">
            <w:pPr>
              <w:pageBreakBefore w:val="0"/>
              <w:widowControl w:val="0"/>
              <w:wordWrap/>
              <w:overflowPunct/>
              <w:topLinePunct w:val="0"/>
              <w:bidi w:val="0"/>
              <w:spacing w:before="183" w:line="223"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名</w:t>
            </w:r>
          </w:p>
          <w:p w14:paraId="574239D9">
            <w:pPr>
              <w:pStyle w:val="7"/>
              <w:pageBreakBefore w:val="0"/>
              <w:widowControl w:val="0"/>
              <w:wordWrap/>
              <w:overflowPunct/>
              <w:topLinePunct w:val="0"/>
              <w:bidi w:val="0"/>
              <w:spacing w:line="245" w:lineRule="auto"/>
              <w:rPr>
                <w:rFonts w:hint="eastAsia" w:ascii="宋体" w:hAnsi="宋体" w:eastAsia="宋体" w:cs="宋体"/>
                <w:color w:val="auto"/>
                <w:highlight w:val="none"/>
              </w:rPr>
            </w:pPr>
          </w:p>
          <w:p w14:paraId="66031A97">
            <w:pPr>
              <w:pStyle w:val="7"/>
              <w:pageBreakBefore w:val="0"/>
              <w:widowControl w:val="0"/>
              <w:wordWrap/>
              <w:overflowPunct/>
              <w:topLinePunct w:val="0"/>
              <w:bidi w:val="0"/>
              <w:spacing w:line="246" w:lineRule="auto"/>
              <w:rPr>
                <w:rFonts w:hint="eastAsia" w:ascii="宋体" w:hAnsi="宋体" w:eastAsia="宋体" w:cs="宋体"/>
                <w:color w:val="auto"/>
                <w:highlight w:val="none"/>
              </w:rPr>
            </w:pPr>
          </w:p>
          <w:p w14:paraId="188F5DB6">
            <w:pPr>
              <w:pageBreakBefore w:val="0"/>
              <w:widowControl w:val="0"/>
              <w:wordWrap/>
              <w:overflowPunct/>
              <w:topLinePunct w:val="0"/>
              <w:bidi w:val="0"/>
              <w:spacing w:before="78" w:line="219"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5889FFB2">
            <w:pPr>
              <w:pStyle w:val="7"/>
              <w:pageBreakBefore w:val="0"/>
              <w:widowControl w:val="0"/>
              <w:wordWrap/>
              <w:overflowPunct/>
              <w:topLinePunct w:val="0"/>
              <w:bidi w:val="0"/>
              <w:spacing w:line="338" w:lineRule="auto"/>
              <w:rPr>
                <w:rFonts w:hint="eastAsia" w:ascii="宋体" w:hAnsi="宋体" w:eastAsia="宋体" w:cs="宋体"/>
                <w:color w:val="auto"/>
                <w:highlight w:val="none"/>
              </w:rPr>
            </w:pPr>
          </w:p>
          <w:p w14:paraId="43A8C8DB">
            <w:pPr>
              <w:pageBreakBefore w:val="0"/>
              <w:widowControl w:val="0"/>
              <w:wordWrap/>
              <w:overflowPunct/>
              <w:topLinePunct w:val="0"/>
              <w:bidi w:val="0"/>
              <w:spacing w:before="78" w:line="220" w:lineRule="auto"/>
              <w:ind w:left="13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900" w:type="dxa"/>
            <w:tcBorders>
              <w:left w:val="nil"/>
            </w:tcBorders>
          </w:tcPr>
          <w:p w14:paraId="57E8D763">
            <w:pPr>
              <w:pStyle w:val="7"/>
              <w:pageBreakBefore w:val="0"/>
              <w:widowControl w:val="0"/>
              <w:wordWrap/>
              <w:overflowPunct/>
              <w:topLinePunct w:val="0"/>
              <w:bidi w:val="0"/>
              <w:spacing w:line="263" w:lineRule="auto"/>
              <w:rPr>
                <w:rFonts w:hint="eastAsia" w:ascii="宋体" w:hAnsi="宋体" w:eastAsia="宋体" w:cs="宋体"/>
                <w:color w:val="auto"/>
                <w:highlight w:val="none"/>
              </w:rPr>
            </w:pPr>
          </w:p>
          <w:p w14:paraId="0AA4E67F">
            <w:pPr>
              <w:pStyle w:val="7"/>
              <w:pageBreakBefore w:val="0"/>
              <w:widowControl w:val="0"/>
              <w:wordWrap/>
              <w:overflowPunct/>
              <w:topLinePunct w:val="0"/>
              <w:bidi w:val="0"/>
              <w:spacing w:line="263" w:lineRule="auto"/>
              <w:rPr>
                <w:rFonts w:hint="eastAsia" w:ascii="宋体" w:hAnsi="宋体" w:eastAsia="宋体" w:cs="宋体"/>
                <w:color w:val="auto"/>
                <w:highlight w:val="none"/>
              </w:rPr>
            </w:pPr>
          </w:p>
          <w:p w14:paraId="5BFDE121">
            <w:pPr>
              <w:pageBreakBefore w:val="0"/>
              <w:widowControl w:val="0"/>
              <w:wordWrap/>
              <w:overflowPunct/>
              <w:topLinePunct w:val="0"/>
              <w:bidi w:val="0"/>
              <w:spacing w:before="78" w:line="221"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p w14:paraId="3F74A0F7">
            <w:pPr>
              <w:pageBreakBefore w:val="0"/>
              <w:widowControl w:val="0"/>
              <w:wordWrap/>
              <w:overflowPunct/>
              <w:topLinePunct w:val="0"/>
              <w:bidi w:val="0"/>
              <w:spacing w:before="78" w:line="221" w:lineRule="auto"/>
              <w:rPr>
                <w:rFonts w:hint="eastAsia" w:ascii="宋体" w:hAnsi="宋体" w:eastAsia="宋体" w:cs="宋体"/>
                <w:color w:val="auto"/>
                <w:sz w:val="24"/>
                <w:szCs w:val="24"/>
                <w:highlight w:val="none"/>
              </w:rPr>
            </w:pPr>
          </w:p>
          <w:p w14:paraId="76D08D39">
            <w:pPr>
              <w:pageBreakBefore w:val="0"/>
              <w:widowControl w:val="0"/>
              <w:wordWrap/>
              <w:overflowPunct/>
              <w:topLinePunct w:val="0"/>
              <w:bidi w:val="0"/>
              <w:spacing w:before="78" w:line="221"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容</w:t>
            </w:r>
          </w:p>
        </w:tc>
        <w:tc>
          <w:tcPr>
            <w:tcW w:w="7392" w:type="dxa"/>
            <w:vAlign w:val="center"/>
          </w:tcPr>
          <w:p w14:paraId="08836F91">
            <w:pPr>
              <w:pStyle w:val="7"/>
              <w:pageBreakBefore w:val="0"/>
              <w:widowControl w:val="0"/>
              <w:wordWrap/>
              <w:overflowPunct/>
              <w:topLinePunct w:val="0"/>
              <w:bidi w:val="0"/>
              <w:jc w:val="center"/>
              <w:rPr>
                <w:rFonts w:hint="eastAsia" w:ascii="宋体" w:hAnsi="宋体" w:eastAsia="宋体" w:cs="宋体"/>
                <w:color w:val="auto"/>
                <w:highlight w:val="none"/>
              </w:rPr>
            </w:pPr>
            <w:r>
              <w:rPr>
                <w:rFonts w:hint="eastAsia" w:ascii="宋体" w:hAnsi="宋体" w:eastAsia="宋体" w:cs="宋体"/>
                <w:b/>
                <w:bCs/>
                <w:color w:val="333333"/>
                <w:sz w:val="21"/>
                <w:szCs w:val="21"/>
                <w:lang w:eastAsia="zh-CN"/>
              </w:rPr>
              <w:t>道路交通事故等相关司法检测鉴定服务采购</w:t>
            </w:r>
            <w:r>
              <w:rPr>
                <w:rFonts w:hint="eastAsia" w:ascii="宋体" w:hAnsi="宋体" w:eastAsia="宋体" w:cs="宋体"/>
                <w:b/>
                <w:bCs/>
                <w:color w:val="333333"/>
                <w:sz w:val="21"/>
                <w:szCs w:val="21"/>
              </w:rPr>
              <w:t>项目</w:t>
            </w:r>
          </w:p>
        </w:tc>
      </w:tr>
      <w:tr w14:paraId="624A39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862" w:type="dxa"/>
            <w:gridSpan w:val="2"/>
          </w:tcPr>
          <w:p w14:paraId="44BC1956">
            <w:pPr>
              <w:pageBreakBefore w:val="0"/>
              <w:widowControl w:val="0"/>
              <w:wordWrap/>
              <w:overflowPunct/>
              <w:topLinePunct w:val="0"/>
              <w:bidi w:val="0"/>
              <w:spacing w:before="253" w:line="219" w:lineRule="auto"/>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数量</w:t>
            </w:r>
          </w:p>
        </w:tc>
        <w:tc>
          <w:tcPr>
            <w:tcW w:w="7392" w:type="dxa"/>
            <w:vAlign w:val="center"/>
          </w:tcPr>
          <w:p w14:paraId="4D8F2419">
            <w:pPr>
              <w:pageBreakBefore w:val="0"/>
              <w:widowControl w:val="0"/>
              <w:wordWrap/>
              <w:overflowPunct/>
              <w:topLinePunct w:val="0"/>
              <w:bidi w:val="0"/>
              <w:spacing w:before="253" w:line="219" w:lineRule="auto"/>
              <w:ind w:left="1188"/>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2年</w:t>
            </w:r>
          </w:p>
        </w:tc>
      </w:tr>
      <w:tr w14:paraId="5DB086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862" w:type="dxa"/>
            <w:gridSpan w:val="2"/>
          </w:tcPr>
          <w:p w14:paraId="45B53B1C">
            <w:pPr>
              <w:pageBreakBefore w:val="0"/>
              <w:widowControl w:val="0"/>
              <w:wordWrap/>
              <w:overflowPunct/>
              <w:topLinePunct w:val="0"/>
              <w:bidi w:val="0"/>
              <w:spacing w:before="253" w:line="219" w:lineRule="auto"/>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hint="eastAsia" w:ascii="宋体" w:hAnsi="宋体" w:eastAsia="宋体" w:cs="宋体"/>
                <w:color w:val="auto"/>
                <w:spacing w:val="-5"/>
                <w:sz w:val="24"/>
                <w:szCs w:val="24"/>
                <w:highlight w:val="none"/>
              </w:rPr>
              <w:t>期</w:t>
            </w:r>
          </w:p>
        </w:tc>
        <w:tc>
          <w:tcPr>
            <w:tcW w:w="7392" w:type="dxa"/>
            <w:vAlign w:val="center"/>
          </w:tcPr>
          <w:p w14:paraId="484590FC">
            <w:pPr>
              <w:pageBreakBefore w:val="0"/>
              <w:widowControl w:val="0"/>
              <w:wordWrap/>
              <w:overflowPunct/>
              <w:topLinePunct w:val="0"/>
              <w:bidi w:val="0"/>
              <w:spacing w:before="256" w:line="219" w:lineRule="auto"/>
              <w:ind w:left="951"/>
              <w:rPr>
                <w:rFonts w:hint="default"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val="en-US" w:eastAsia="zh-CN"/>
              </w:rPr>
              <w:t>签订合同后两年内</w:t>
            </w:r>
          </w:p>
        </w:tc>
      </w:tr>
      <w:tr w14:paraId="5A0513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862" w:type="dxa"/>
            <w:gridSpan w:val="2"/>
          </w:tcPr>
          <w:p w14:paraId="30F08622">
            <w:pPr>
              <w:pageBreakBefore w:val="0"/>
              <w:widowControl w:val="0"/>
              <w:wordWrap/>
              <w:overflowPunct/>
              <w:topLinePunct w:val="0"/>
              <w:bidi w:val="0"/>
              <w:spacing w:before="256" w:line="219" w:lineRule="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hint="eastAsia" w:ascii="宋体" w:hAnsi="宋体" w:eastAsia="宋体" w:cs="宋体"/>
                <w:color w:val="auto"/>
                <w:spacing w:val="-4"/>
                <w:sz w:val="24"/>
                <w:szCs w:val="24"/>
                <w:highlight w:val="none"/>
              </w:rPr>
              <w:t>地点</w:t>
            </w:r>
          </w:p>
        </w:tc>
        <w:tc>
          <w:tcPr>
            <w:tcW w:w="7392" w:type="dxa"/>
            <w:vAlign w:val="center"/>
          </w:tcPr>
          <w:p w14:paraId="56284465">
            <w:pPr>
              <w:pageBreakBefore w:val="0"/>
              <w:widowControl w:val="0"/>
              <w:wordWrap/>
              <w:overflowPunct/>
              <w:topLinePunct w:val="0"/>
              <w:bidi w:val="0"/>
              <w:spacing w:before="256" w:line="219" w:lineRule="auto"/>
              <w:ind w:left="951"/>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采购人指定地点</w:t>
            </w:r>
          </w:p>
        </w:tc>
      </w:tr>
      <w:tr w14:paraId="036E5A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1862" w:type="dxa"/>
            <w:gridSpan w:val="2"/>
          </w:tcPr>
          <w:p w14:paraId="2DA6E69D">
            <w:pPr>
              <w:pageBreakBefore w:val="0"/>
              <w:widowControl w:val="0"/>
              <w:wordWrap/>
              <w:overflowPunct/>
              <w:topLinePunct w:val="0"/>
              <w:bidi w:val="0"/>
              <w:spacing w:before="256" w:line="221" w:lineRule="auto"/>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备注</w:t>
            </w:r>
          </w:p>
        </w:tc>
        <w:tc>
          <w:tcPr>
            <w:tcW w:w="7392" w:type="dxa"/>
          </w:tcPr>
          <w:p w14:paraId="13429FD8">
            <w:pPr>
              <w:pStyle w:val="7"/>
              <w:pageBreakBefore w:val="0"/>
              <w:widowControl w:val="0"/>
              <w:wordWrap/>
              <w:overflowPunct/>
              <w:topLinePunct w:val="0"/>
              <w:bidi w:val="0"/>
              <w:ind w:firstLine="482" w:firstLineChars="200"/>
              <w:rPr>
                <w:rFonts w:hint="eastAsia" w:ascii="宋体" w:hAnsi="宋体" w:eastAsia="宋体" w:cs="宋体"/>
                <w:color w:val="auto"/>
                <w:highlight w:val="none"/>
              </w:rPr>
            </w:pPr>
            <w:r>
              <w:rPr>
                <w:rFonts w:hint="eastAsia" w:ascii="宋体" w:hAnsi="宋体" w:eastAsia="宋体" w:cs="宋体"/>
                <w:b/>
                <w:bCs/>
                <w:color w:val="auto"/>
                <w:spacing w:val="0"/>
                <w:position w:val="0"/>
                <w:sz w:val="24"/>
                <w:szCs w:val="24"/>
                <w:lang w:eastAsia="zh-CN"/>
              </w:rPr>
              <w:t>由于以下</w:t>
            </w:r>
            <w:r>
              <w:rPr>
                <w:rFonts w:hint="eastAsia" w:ascii="宋体" w:hAnsi="宋体" w:eastAsia="宋体" w:cs="宋体"/>
                <w:b/>
                <w:bCs/>
                <w:color w:val="auto"/>
                <w:spacing w:val="0"/>
                <w:position w:val="0"/>
                <w:sz w:val="24"/>
                <w:szCs w:val="24"/>
                <w:lang w:val="en-US" w:eastAsia="zh-CN"/>
              </w:rPr>
              <w:t>14项</w:t>
            </w:r>
            <w:r>
              <w:rPr>
                <w:rFonts w:hint="eastAsia" w:ascii="宋体" w:hAnsi="宋体" w:eastAsia="宋体" w:cs="宋体"/>
                <w:b/>
                <w:bCs/>
                <w:color w:val="auto"/>
                <w:spacing w:val="0"/>
                <w:position w:val="0"/>
                <w:sz w:val="24"/>
                <w:szCs w:val="24"/>
                <w:lang w:eastAsia="zh-CN"/>
              </w:rPr>
              <w:t>司法鉴定服务种类服务的数量存在不确定性，本项目是投标人所报的分项单根据以往的数据预估的数量。投标人应承诺</w:t>
            </w:r>
            <w:r>
              <w:rPr>
                <w:rStyle w:val="8"/>
                <w:rFonts w:hint="eastAsia" w:ascii="宋体" w:hAnsi="宋体" w:eastAsia="宋体" w:cs="宋体"/>
                <w:b/>
                <w:bCs/>
                <w:color w:val="auto"/>
                <w:kern w:val="2"/>
                <w:sz w:val="24"/>
                <w:szCs w:val="24"/>
                <w:lang w:val="en-US" w:eastAsia="zh-CN" w:bidi="ar-SA"/>
              </w:rPr>
              <w:t>全年鉴定费用最高不超过中标价，超过中标价，则按中标价支付全年司法鉴定费；若达不到中标价，则按中标价的90%计算支付</w:t>
            </w:r>
            <w:r>
              <w:rPr>
                <w:rFonts w:hint="eastAsia" w:ascii="宋体" w:hAnsi="宋体" w:eastAsia="宋体" w:cs="宋体"/>
                <w:b/>
                <w:bCs/>
                <w:snapToGrid w:val="0"/>
                <w:color w:val="000000"/>
                <w:kern w:val="0"/>
                <w:sz w:val="24"/>
                <w:szCs w:val="24"/>
                <w:lang w:val="en-US" w:eastAsia="zh-CN" w:bidi="ar"/>
              </w:rPr>
              <w:t>（投标文件中提供承诺函）</w:t>
            </w:r>
          </w:p>
        </w:tc>
      </w:tr>
    </w:tbl>
    <w:p w14:paraId="18469742">
      <w:pPr>
        <w:pageBreakBefore w:val="0"/>
        <w:widowControl w:val="0"/>
        <w:wordWrap/>
        <w:overflowPunct/>
        <w:topLinePunct w:val="0"/>
        <w:bidi w:val="0"/>
        <w:rPr>
          <w:color w:val="auto"/>
          <w:highlight w:val="none"/>
        </w:rPr>
      </w:pPr>
    </w:p>
    <w:p w14:paraId="7A3D69D8">
      <w:pPr>
        <w:pStyle w:val="2"/>
        <w:keepNext w:val="0"/>
        <w:keepLines w:val="0"/>
        <w:pageBreakBefore w:val="0"/>
        <w:numPr>
          <w:ilvl w:val="0"/>
          <w:numId w:val="0"/>
        </w:numPr>
        <w:kinsoku/>
        <w:wordWrap/>
        <w:overflowPunct/>
        <w:topLinePunct w:val="0"/>
        <w:bidi w:val="0"/>
        <w:spacing w:after="0" w:line="360" w:lineRule="auto"/>
        <w:textAlignment w:val="auto"/>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详细要求</w:t>
      </w:r>
    </w:p>
    <w:p w14:paraId="26229A01">
      <w:pPr>
        <w:keepNext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eastAsia" w:ascii="宋体" w:hAnsi="宋体" w:eastAsia="宋体" w:cs="宋体"/>
          <w:color w:val="auto"/>
          <w:kern w:val="28"/>
          <w:sz w:val="24"/>
          <w:u w:val="single"/>
          <w:lang w:eastAsia="zh-CN"/>
        </w:rPr>
      </w:pPr>
      <w:r>
        <w:rPr>
          <w:rFonts w:hint="eastAsia" w:ascii="宋体" w:hAnsi="宋体" w:eastAsia="宋体" w:cs="宋体"/>
          <w:b/>
          <w:bCs w:val="0"/>
          <w:color w:val="auto"/>
          <w:kern w:val="0"/>
          <w:sz w:val="24"/>
          <w:lang w:eastAsia="zh-CN"/>
        </w:rPr>
        <w:t>（一）</w:t>
      </w:r>
      <w:r>
        <w:rPr>
          <w:rFonts w:hint="eastAsia" w:ascii="宋体" w:hAnsi="宋体" w:eastAsia="宋体" w:cs="宋体"/>
          <w:b/>
          <w:bCs w:val="0"/>
          <w:color w:val="auto"/>
          <w:kern w:val="0"/>
          <w:sz w:val="24"/>
        </w:rPr>
        <w:t>项目名称：</w:t>
      </w:r>
      <w:r>
        <w:rPr>
          <w:rFonts w:hint="eastAsia" w:ascii="宋体" w:hAnsi="宋体" w:eastAsia="宋体" w:cs="宋体"/>
          <w:color w:val="auto"/>
          <w:kern w:val="28"/>
          <w:sz w:val="24"/>
          <w:u w:val="single"/>
          <w:lang w:val="en-US" w:eastAsia="zh-CN"/>
        </w:rPr>
        <w:t>道路交通事故等相关司法检测鉴定服务项目</w:t>
      </w:r>
    </w:p>
    <w:p w14:paraId="7B9522EA">
      <w:pPr>
        <w:spacing w:line="360" w:lineRule="auto"/>
        <w:ind w:firstLine="482" w:firstLineChars="200"/>
        <w:textAlignment w:val="auto"/>
        <w:rPr>
          <w:rFonts w:hint="eastAsia" w:ascii="宋体" w:hAnsi="宋体" w:eastAsia="宋体" w:cs="宋体"/>
          <w:b w:val="0"/>
          <w:bCs/>
          <w:color w:val="auto"/>
          <w:kern w:val="0"/>
          <w:sz w:val="24"/>
        </w:rPr>
      </w:pPr>
      <w:r>
        <w:rPr>
          <w:rFonts w:hint="eastAsia" w:ascii="宋体" w:hAnsi="宋体" w:eastAsia="宋体" w:cs="宋体"/>
          <w:b/>
          <w:bCs w:val="0"/>
          <w:color w:val="auto"/>
          <w:kern w:val="0"/>
          <w:sz w:val="24"/>
          <w:lang w:eastAsia="zh-CN"/>
        </w:rPr>
        <w:t>（二）</w:t>
      </w:r>
      <w:r>
        <w:rPr>
          <w:rFonts w:hint="eastAsia" w:ascii="宋体" w:hAnsi="宋体" w:eastAsia="宋体" w:cs="宋体"/>
          <w:b/>
          <w:bCs w:val="0"/>
          <w:color w:val="auto"/>
          <w:kern w:val="0"/>
          <w:sz w:val="24"/>
        </w:rPr>
        <w:t>采购项目预算金额：</w:t>
      </w:r>
      <w:r>
        <w:rPr>
          <w:rFonts w:hint="eastAsia" w:ascii="宋体" w:hAnsi="宋体" w:eastAsia="宋体" w:cs="宋体"/>
          <w:color w:val="auto"/>
          <w:kern w:val="28"/>
          <w:sz w:val="24"/>
          <w:u w:val="single"/>
          <w:lang w:eastAsia="zh-CN"/>
        </w:rPr>
        <w:t>壹佰零肆万元整（</w:t>
      </w:r>
      <w:r>
        <w:rPr>
          <w:rFonts w:hint="eastAsia" w:ascii="宋体" w:hAnsi="宋体" w:eastAsia="宋体" w:cs="宋体"/>
          <w:color w:val="auto"/>
          <w:kern w:val="28"/>
          <w:sz w:val="24"/>
          <w:u w:val="single"/>
          <w:lang w:val="en-US" w:eastAsia="zh-CN"/>
        </w:rPr>
        <w:t>1040000</w:t>
      </w:r>
      <w:r>
        <w:rPr>
          <w:rFonts w:hint="eastAsia" w:ascii="宋体" w:hAnsi="宋体" w:eastAsia="宋体" w:cs="宋体"/>
          <w:color w:val="auto"/>
          <w:kern w:val="28"/>
          <w:sz w:val="24"/>
          <w:u w:val="single"/>
          <w:lang w:eastAsia="zh-CN"/>
        </w:rPr>
        <w:t>.00元）</w:t>
      </w:r>
    </w:p>
    <w:p w14:paraId="47D1AC68">
      <w:pPr>
        <w:numPr>
          <w:ilvl w:val="0"/>
          <w:numId w:val="0"/>
        </w:numPr>
        <w:spacing w:line="360" w:lineRule="auto"/>
        <w:ind w:firstLine="482" w:firstLineChars="200"/>
        <w:rPr>
          <w:rFonts w:hint="eastAsia" w:ascii="宋体" w:hAnsi="宋体" w:eastAsia="宋体" w:cs="宋体"/>
          <w:color w:val="auto"/>
          <w:sz w:val="24"/>
          <w:szCs w:val="24"/>
          <w:lang w:eastAsia="zh-CN"/>
        </w:rPr>
      </w:pPr>
      <w:bookmarkStart w:id="1" w:name="_Toc405281548"/>
      <w:bookmarkStart w:id="2" w:name="_Toc422140853"/>
      <w:bookmarkStart w:id="3" w:name="_Toc446683699"/>
      <w:bookmarkStart w:id="4" w:name="_Toc416813471"/>
      <w:bookmarkStart w:id="5" w:name="_Toc25876"/>
      <w:bookmarkStart w:id="6" w:name="_Toc529783384"/>
      <w:r>
        <w:rPr>
          <w:rFonts w:hint="eastAsia" w:ascii="宋体" w:hAnsi="宋体" w:eastAsia="宋体" w:cs="宋体"/>
          <w:b/>
          <w:bCs/>
          <w:color w:val="auto"/>
          <w:sz w:val="24"/>
          <w:szCs w:val="24"/>
          <w:lang w:eastAsia="zh-CN"/>
        </w:rPr>
        <w:t>（三）服务明细预算</w:t>
      </w:r>
      <w:r>
        <w:rPr>
          <w:rFonts w:hint="eastAsia" w:ascii="宋体" w:hAnsi="宋体" w:eastAsia="宋体" w:cs="宋体"/>
          <w:color w:val="auto"/>
          <w:sz w:val="24"/>
          <w:szCs w:val="24"/>
          <w:lang w:eastAsia="zh-CN"/>
        </w:rPr>
        <w:t>：</w:t>
      </w:r>
    </w:p>
    <w:tbl>
      <w:tblPr>
        <w:tblStyle w:val="4"/>
        <w:tblW w:w="87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6"/>
        <w:gridCol w:w="4471"/>
        <w:gridCol w:w="1428"/>
        <w:gridCol w:w="1823"/>
      </w:tblGrid>
      <w:tr w14:paraId="218D5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16" w:type="dxa"/>
            <w:vAlign w:val="center"/>
          </w:tcPr>
          <w:p w14:paraId="25EE4837">
            <w:pPr>
              <w:pStyle w:val="9"/>
              <w:jc w:val="center"/>
              <w:rPr>
                <w:rFonts w:hint="eastAsia"/>
                <w:vertAlign w:val="baseline"/>
                <w:lang w:eastAsia="zh-CN"/>
              </w:rPr>
            </w:pPr>
            <w:r>
              <w:rPr>
                <w:rFonts w:hint="eastAsia"/>
                <w:vertAlign w:val="baseline"/>
                <w:lang w:eastAsia="zh-CN"/>
              </w:rPr>
              <w:t>序号</w:t>
            </w:r>
          </w:p>
        </w:tc>
        <w:tc>
          <w:tcPr>
            <w:tcW w:w="5899" w:type="dxa"/>
            <w:gridSpan w:val="2"/>
            <w:vAlign w:val="center"/>
          </w:tcPr>
          <w:p w14:paraId="10E475E4">
            <w:pPr>
              <w:pStyle w:val="9"/>
              <w:jc w:val="center"/>
              <w:rPr>
                <w:rFonts w:hint="eastAsia"/>
                <w:vertAlign w:val="baseline"/>
                <w:lang w:eastAsia="zh-CN"/>
              </w:rPr>
            </w:pPr>
            <w:r>
              <w:rPr>
                <w:rFonts w:hint="eastAsia"/>
                <w:vertAlign w:val="baseline"/>
                <w:lang w:eastAsia="zh-CN"/>
              </w:rPr>
              <w:t>鉴定内容</w:t>
            </w:r>
          </w:p>
        </w:tc>
        <w:tc>
          <w:tcPr>
            <w:tcW w:w="1823" w:type="dxa"/>
            <w:vAlign w:val="center"/>
          </w:tcPr>
          <w:p w14:paraId="4A784777">
            <w:pPr>
              <w:pStyle w:val="9"/>
              <w:jc w:val="center"/>
              <w:rPr>
                <w:rFonts w:hint="eastAsia"/>
                <w:vertAlign w:val="baseline"/>
                <w:lang w:eastAsia="zh-CN"/>
              </w:rPr>
            </w:pPr>
            <w:r>
              <w:rPr>
                <w:rFonts w:hint="eastAsia"/>
                <w:vertAlign w:val="baseline"/>
                <w:lang w:eastAsia="zh-CN"/>
              </w:rPr>
              <w:t>单价（元</w:t>
            </w:r>
            <w:r>
              <w:rPr>
                <w:rFonts w:hint="eastAsia"/>
                <w:vertAlign w:val="baseline"/>
                <w:lang w:val="en-US" w:eastAsia="zh-CN"/>
              </w:rPr>
              <w:t>/次</w:t>
            </w:r>
            <w:r>
              <w:rPr>
                <w:rFonts w:hint="eastAsia"/>
                <w:vertAlign w:val="baseline"/>
                <w:lang w:eastAsia="zh-CN"/>
              </w:rPr>
              <w:t>）</w:t>
            </w:r>
          </w:p>
        </w:tc>
      </w:tr>
      <w:tr w14:paraId="7CF9D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16" w:type="dxa"/>
            <w:vAlign w:val="center"/>
          </w:tcPr>
          <w:p w14:paraId="584FE830">
            <w:pPr>
              <w:pStyle w:val="9"/>
              <w:jc w:val="center"/>
              <w:rPr>
                <w:rFonts w:hint="default"/>
                <w:vertAlign w:val="baseline"/>
                <w:lang w:val="en-US" w:eastAsia="zh-CN"/>
              </w:rPr>
            </w:pPr>
            <w:r>
              <w:rPr>
                <w:rFonts w:hint="eastAsia"/>
                <w:vertAlign w:val="baseline"/>
                <w:lang w:val="en-US" w:eastAsia="zh-CN"/>
              </w:rPr>
              <w:t>1</w:t>
            </w:r>
          </w:p>
        </w:tc>
        <w:tc>
          <w:tcPr>
            <w:tcW w:w="4471" w:type="dxa"/>
            <w:vMerge w:val="restart"/>
            <w:vAlign w:val="center"/>
          </w:tcPr>
          <w:p w14:paraId="71088C32">
            <w:pPr>
              <w:pStyle w:val="9"/>
              <w:jc w:val="center"/>
              <w:rPr>
                <w:rFonts w:hint="eastAsia"/>
                <w:vertAlign w:val="baseline"/>
                <w:lang w:eastAsia="zh-CN"/>
              </w:rPr>
            </w:pPr>
            <w:r>
              <w:rPr>
                <w:rFonts w:hint="eastAsia" w:ascii="宋体" w:hAnsi="宋体" w:eastAsia="宋体" w:cs="宋体"/>
                <w:color w:val="auto"/>
                <w:sz w:val="24"/>
                <w:szCs w:val="24"/>
                <w:vertAlign w:val="baseline"/>
                <w:lang w:val="en-US" w:eastAsia="zh-CN"/>
              </w:rPr>
              <w:t>涉案需要的车辆安全技术性能鉴定</w:t>
            </w:r>
          </w:p>
        </w:tc>
        <w:tc>
          <w:tcPr>
            <w:tcW w:w="1428" w:type="dxa"/>
            <w:vAlign w:val="center"/>
          </w:tcPr>
          <w:p w14:paraId="695FF323">
            <w:pPr>
              <w:pStyle w:val="9"/>
              <w:jc w:val="center"/>
              <w:rPr>
                <w:rFonts w:hint="eastAsia"/>
                <w:vertAlign w:val="baseline"/>
                <w:lang w:eastAsia="zh-CN"/>
              </w:rPr>
            </w:pPr>
            <w:r>
              <w:rPr>
                <w:rFonts w:hint="eastAsia"/>
                <w:vertAlign w:val="baseline"/>
                <w:lang w:val="en-US" w:eastAsia="zh-CN"/>
              </w:rPr>
              <w:t>两轮车</w:t>
            </w:r>
          </w:p>
        </w:tc>
        <w:tc>
          <w:tcPr>
            <w:tcW w:w="1823" w:type="dxa"/>
            <w:vAlign w:val="center"/>
          </w:tcPr>
          <w:p w14:paraId="68C032B7">
            <w:pPr>
              <w:pStyle w:val="9"/>
              <w:jc w:val="center"/>
              <w:rPr>
                <w:rFonts w:hint="default"/>
                <w:vertAlign w:val="baseline"/>
                <w:lang w:val="en-US" w:eastAsia="zh-CN"/>
              </w:rPr>
            </w:pPr>
            <w:r>
              <w:rPr>
                <w:rFonts w:hint="eastAsia"/>
                <w:vertAlign w:val="baseline"/>
                <w:lang w:val="en-US" w:eastAsia="zh-CN"/>
              </w:rPr>
              <w:t>368.33</w:t>
            </w:r>
          </w:p>
        </w:tc>
      </w:tr>
      <w:tr w14:paraId="15CDE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16" w:type="dxa"/>
            <w:vAlign w:val="center"/>
          </w:tcPr>
          <w:p w14:paraId="20B7067D">
            <w:pPr>
              <w:pStyle w:val="9"/>
              <w:jc w:val="center"/>
              <w:rPr>
                <w:rFonts w:hint="default"/>
                <w:vertAlign w:val="baseline"/>
                <w:lang w:val="en-US" w:eastAsia="zh-CN"/>
              </w:rPr>
            </w:pPr>
            <w:r>
              <w:rPr>
                <w:rFonts w:hint="eastAsia"/>
                <w:vertAlign w:val="baseline"/>
                <w:lang w:val="en-US" w:eastAsia="zh-CN"/>
              </w:rPr>
              <w:t>2</w:t>
            </w:r>
          </w:p>
        </w:tc>
        <w:tc>
          <w:tcPr>
            <w:tcW w:w="4471" w:type="dxa"/>
            <w:vMerge w:val="continue"/>
            <w:vAlign w:val="center"/>
          </w:tcPr>
          <w:p w14:paraId="73EA5B7A">
            <w:pPr>
              <w:pStyle w:val="9"/>
              <w:jc w:val="center"/>
              <w:rPr>
                <w:rFonts w:hint="eastAsia"/>
                <w:vertAlign w:val="baseline"/>
                <w:lang w:eastAsia="zh-CN"/>
              </w:rPr>
            </w:pPr>
          </w:p>
        </w:tc>
        <w:tc>
          <w:tcPr>
            <w:tcW w:w="1428" w:type="dxa"/>
            <w:vAlign w:val="center"/>
          </w:tcPr>
          <w:p w14:paraId="1711DAFB">
            <w:pPr>
              <w:pStyle w:val="9"/>
              <w:jc w:val="center"/>
              <w:rPr>
                <w:rFonts w:hint="eastAsia"/>
                <w:vertAlign w:val="baseline"/>
                <w:lang w:eastAsia="zh-CN"/>
              </w:rPr>
            </w:pPr>
            <w:r>
              <w:rPr>
                <w:rFonts w:hint="eastAsia"/>
                <w:vertAlign w:val="baseline"/>
                <w:lang w:val="en-US" w:eastAsia="zh-CN"/>
              </w:rPr>
              <w:t>三轮车</w:t>
            </w:r>
          </w:p>
        </w:tc>
        <w:tc>
          <w:tcPr>
            <w:tcW w:w="1823" w:type="dxa"/>
            <w:vAlign w:val="center"/>
          </w:tcPr>
          <w:p w14:paraId="0868C607">
            <w:pPr>
              <w:pStyle w:val="9"/>
              <w:jc w:val="center"/>
              <w:rPr>
                <w:rFonts w:hint="default"/>
                <w:vertAlign w:val="baseline"/>
                <w:lang w:val="en-US" w:eastAsia="zh-CN"/>
              </w:rPr>
            </w:pPr>
            <w:r>
              <w:rPr>
                <w:rFonts w:hint="eastAsia"/>
                <w:vertAlign w:val="baseline"/>
                <w:lang w:val="en-US" w:eastAsia="zh-CN"/>
              </w:rPr>
              <w:t>468.33</w:t>
            </w:r>
          </w:p>
        </w:tc>
      </w:tr>
      <w:tr w14:paraId="5D60D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16" w:type="dxa"/>
            <w:vAlign w:val="center"/>
          </w:tcPr>
          <w:p w14:paraId="20DFF4C2">
            <w:pPr>
              <w:pStyle w:val="9"/>
              <w:jc w:val="center"/>
              <w:rPr>
                <w:rFonts w:hint="default"/>
                <w:vertAlign w:val="baseline"/>
                <w:lang w:val="en-US" w:eastAsia="zh-CN"/>
              </w:rPr>
            </w:pPr>
            <w:r>
              <w:rPr>
                <w:rFonts w:hint="eastAsia"/>
                <w:vertAlign w:val="baseline"/>
                <w:lang w:val="en-US" w:eastAsia="zh-CN"/>
              </w:rPr>
              <w:t>3</w:t>
            </w:r>
          </w:p>
        </w:tc>
        <w:tc>
          <w:tcPr>
            <w:tcW w:w="4471" w:type="dxa"/>
            <w:vMerge w:val="continue"/>
            <w:vAlign w:val="center"/>
          </w:tcPr>
          <w:p w14:paraId="113B5625">
            <w:pPr>
              <w:pStyle w:val="9"/>
              <w:jc w:val="center"/>
              <w:rPr>
                <w:rFonts w:hint="eastAsia"/>
                <w:vertAlign w:val="baseline"/>
                <w:lang w:eastAsia="zh-CN"/>
              </w:rPr>
            </w:pPr>
          </w:p>
        </w:tc>
        <w:tc>
          <w:tcPr>
            <w:tcW w:w="1428" w:type="dxa"/>
            <w:vAlign w:val="center"/>
          </w:tcPr>
          <w:p w14:paraId="4C17A61A">
            <w:pPr>
              <w:pStyle w:val="9"/>
              <w:jc w:val="center"/>
              <w:rPr>
                <w:rFonts w:hint="eastAsia"/>
                <w:vertAlign w:val="baseline"/>
                <w:lang w:eastAsia="zh-CN"/>
              </w:rPr>
            </w:pPr>
            <w:r>
              <w:rPr>
                <w:rFonts w:hint="eastAsia"/>
                <w:vertAlign w:val="baseline"/>
                <w:lang w:val="en-US" w:eastAsia="zh-CN"/>
              </w:rPr>
              <w:t>四轮车</w:t>
            </w:r>
          </w:p>
        </w:tc>
        <w:tc>
          <w:tcPr>
            <w:tcW w:w="1823" w:type="dxa"/>
            <w:vAlign w:val="center"/>
          </w:tcPr>
          <w:p w14:paraId="7694F349">
            <w:pPr>
              <w:pStyle w:val="9"/>
              <w:jc w:val="center"/>
              <w:rPr>
                <w:rFonts w:hint="default"/>
                <w:vertAlign w:val="baseline"/>
                <w:lang w:val="en-US" w:eastAsia="zh-CN"/>
              </w:rPr>
            </w:pPr>
            <w:r>
              <w:rPr>
                <w:rFonts w:hint="eastAsia"/>
                <w:vertAlign w:val="baseline"/>
                <w:lang w:val="en-US" w:eastAsia="zh-CN"/>
              </w:rPr>
              <w:t>905</w:t>
            </w:r>
          </w:p>
        </w:tc>
      </w:tr>
      <w:tr w14:paraId="5D805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16" w:type="dxa"/>
            <w:vAlign w:val="center"/>
          </w:tcPr>
          <w:p w14:paraId="4F137719">
            <w:pPr>
              <w:pStyle w:val="9"/>
              <w:jc w:val="center"/>
              <w:rPr>
                <w:rFonts w:hint="default"/>
                <w:vertAlign w:val="baseline"/>
                <w:lang w:val="en-US" w:eastAsia="zh-CN"/>
              </w:rPr>
            </w:pPr>
            <w:r>
              <w:rPr>
                <w:rFonts w:hint="eastAsia"/>
                <w:vertAlign w:val="baseline"/>
                <w:lang w:val="en-US" w:eastAsia="zh-CN"/>
              </w:rPr>
              <w:t>4</w:t>
            </w:r>
          </w:p>
        </w:tc>
        <w:tc>
          <w:tcPr>
            <w:tcW w:w="4471" w:type="dxa"/>
            <w:vMerge w:val="restart"/>
            <w:vAlign w:val="center"/>
          </w:tcPr>
          <w:p w14:paraId="01207936">
            <w:pPr>
              <w:pStyle w:val="9"/>
              <w:jc w:val="center"/>
              <w:rPr>
                <w:rFonts w:hint="eastAsia"/>
                <w:vertAlign w:val="baseline"/>
                <w:lang w:eastAsia="zh-CN"/>
              </w:rPr>
            </w:pPr>
            <w:r>
              <w:rPr>
                <w:rFonts w:hint="eastAsia" w:ascii="宋体" w:hAnsi="宋体" w:cs="宋体"/>
                <w:color w:val="auto"/>
                <w:sz w:val="24"/>
                <w:szCs w:val="24"/>
                <w:vertAlign w:val="baseline"/>
                <w:lang w:val="en-US" w:eastAsia="zh-CN"/>
              </w:rPr>
              <w:t>车辆痕迹</w:t>
            </w:r>
            <w:r>
              <w:rPr>
                <w:rFonts w:hint="eastAsia" w:ascii="宋体" w:hAnsi="宋体" w:eastAsia="宋体" w:cs="宋体"/>
                <w:color w:val="auto"/>
                <w:sz w:val="24"/>
                <w:szCs w:val="24"/>
                <w:vertAlign w:val="baseline"/>
                <w:lang w:val="en-US" w:eastAsia="zh-CN"/>
              </w:rPr>
              <w:t>鉴定（包含路面痕迹、视频）</w:t>
            </w:r>
          </w:p>
        </w:tc>
        <w:tc>
          <w:tcPr>
            <w:tcW w:w="1428" w:type="dxa"/>
            <w:vAlign w:val="center"/>
          </w:tcPr>
          <w:p w14:paraId="6BC2282F">
            <w:pPr>
              <w:pStyle w:val="9"/>
              <w:jc w:val="center"/>
              <w:rPr>
                <w:rFonts w:hint="eastAsia"/>
                <w:vertAlign w:val="baseline"/>
                <w:lang w:eastAsia="zh-CN"/>
              </w:rPr>
            </w:pPr>
            <w:r>
              <w:rPr>
                <w:rFonts w:hint="eastAsia"/>
                <w:vertAlign w:val="baseline"/>
                <w:lang w:val="en-US" w:eastAsia="zh-CN"/>
              </w:rPr>
              <w:t>两轮车</w:t>
            </w:r>
          </w:p>
        </w:tc>
        <w:tc>
          <w:tcPr>
            <w:tcW w:w="1823" w:type="dxa"/>
            <w:vAlign w:val="center"/>
          </w:tcPr>
          <w:p w14:paraId="5CE3A56B">
            <w:pPr>
              <w:pStyle w:val="9"/>
              <w:jc w:val="center"/>
              <w:rPr>
                <w:rFonts w:hint="default"/>
                <w:vertAlign w:val="baseline"/>
                <w:lang w:val="en-US" w:eastAsia="zh-CN"/>
              </w:rPr>
            </w:pPr>
            <w:r>
              <w:rPr>
                <w:rFonts w:hint="eastAsia"/>
                <w:vertAlign w:val="baseline"/>
                <w:lang w:val="en-US" w:eastAsia="zh-CN"/>
              </w:rPr>
              <w:t>185</w:t>
            </w:r>
          </w:p>
        </w:tc>
      </w:tr>
      <w:tr w14:paraId="2690E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16" w:type="dxa"/>
            <w:vAlign w:val="center"/>
          </w:tcPr>
          <w:p w14:paraId="35FAEEC2">
            <w:pPr>
              <w:pStyle w:val="9"/>
              <w:jc w:val="center"/>
              <w:rPr>
                <w:rFonts w:hint="default"/>
                <w:vertAlign w:val="baseline"/>
                <w:lang w:val="en-US" w:eastAsia="zh-CN"/>
              </w:rPr>
            </w:pPr>
            <w:r>
              <w:rPr>
                <w:rFonts w:hint="eastAsia"/>
                <w:vertAlign w:val="baseline"/>
                <w:lang w:val="en-US" w:eastAsia="zh-CN"/>
              </w:rPr>
              <w:t>5</w:t>
            </w:r>
          </w:p>
        </w:tc>
        <w:tc>
          <w:tcPr>
            <w:tcW w:w="4471" w:type="dxa"/>
            <w:vMerge w:val="continue"/>
            <w:vAlign w:val="center"/>
          </w:tcPr>
          <w:p w14:paraId="7F142F9E">
            <w:pPr>
              <w:pStyle w:val="9"/>
              <w:jc w:val="center"/>
              <w:rPr>
                <w:rFonts w:hint="eastAsia"/>
                <w:vertAlign w:val="baseline"/>
                <w:lang w:eastAsia="zh-CN"/>
              </w:rPr>
            </w:pPr>
          </w:p>
        </w:tc>
        <w:tc>
          <w:tcPr>
            <w:tcW w:w="1428" w:type="dxa"/>
            <w:vAlign w:val="center"/>
          </w:tcPr>
          <w:p w14:paraId="4FE5E828">
            <w:pPr>
              <w:pStyle w:val="9"/>
              <w:jc w:val="center"/>
              <w:rPr>
                <w:rFonts w:hint="eastAsia"/>
                <w:vertAlign w:val="baseline"/>
                <w:lang w:eastAsia="zh-CN"/>
              </w:rPr>
            </w:pPr>
            <w:r>
              <w:rPr>
                <w:rFonts w:hint="eastAsia"/>
                <w:vertAlign w:val="baseline"/>
                <w:lang w:val="en-US" w:eastAsia="zh-CN"/>
              </w:rPr>
              <w:t>三轮车</w:t>
            </w:r>
          </w:p>
        </w:tc>
        <w:tc>
          <w:tcPr>
            <w:tcW w:w="1823" w:type="dxa"/>
            <w:vAlign w:val="center"/>
          </w:tcPr>
          <w:p w14:paraId="2F869E4C">
            <w:pPr>
              <w:pStyle w:val="9"/>
              <w:jc w:val="center"/>
              <w:rPr>
                <w:rFonts w:hint="default"/>
                <w:vertAlign w:val="baseline"/>
                <w:lang w:val="en-US" w:eastAsia="zh-CN"/>
              </w:rPr>
            </w:pPr>
            <w:r>
              <w:rPr>
                <w:rFonts w:hint="eastAsia"/>
                <w:vertAlign w:val="baseline"/>
                <w:lang w:val="en-US" w:eastAsia="zh-CN"/>
              </w:rPr>
              <w:t>280</w:t>
            </w:r>
          </w:p>
        </w:tc>
      </w:tr>
      <w:tr w14:paraId="48374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16" w:type="dxa"/>
            <w:vAlign w:val="center"/>
          </w:tcPr>
          <w:p w14:paraId="4F1F38F3">
            <w:pPr>
              <w:pStyle w:val="9"/>
              <w:jc w:val="center"/>
              <w:rPr>
                <w:rFonts w:hint="default"/>
                <w:vertAlign w:val="baseline"/>
                <w:lang w:val="en-US" w:eastAsia="zh-CN"/>
              </w:rPr>
            </w:pPr>
            <w:r>
              <w:rPr>
                <w:rFonts w:hint="eastAsia"/>
                <w:vertAlign w:val="baseline"/>
                <w:lang w:val="en-US" w:eastAsia="zh-CN"/>
              </w:rPr>
              <w:t>6</w:t>
            </w:r>
          </w:p>
        </w:tc>
        <w:tc>
          <w:tcPr>
            <w:tcW w:w="4471" w:type="dxa"/>
            <w:vMerge w:val="continue"/>
            <w:vAlign w:val="center"/>
          </w:tcPr>
          <w:p w14:paraId="2EE8D86A">
            <w:pPr>
              <w:pStyle w:val="9"/>
              <w:jc w:val="center"/>
              <w:rPr>
                <w:rFonts w:hint="eastAsia"/>
                <w:vertAlign w:val="baseline"/>
                <w:lang w:eastAsia="zh-CN"/>
              </w:rPr>
            </w:pPr>
          </w:p>
        </w:tc>
        <w:tc>
          <w:tcPr>
            <w:tcW w:w="1428" w:type="dxa"/>
            <w:vAlign w:val="center"/>
          </w:tcPr>
          <w:p w14:paraId="592F8FE7">
            <w:pPr>
              <w:pStyle w:val="9"/>
              <w:jc w:val="center"/>
              <w:rPr>
                <w:rFonts w:hint="eastAsia"/>
                <w:vertAlign w:val="baseline"/>
                <w:lang w:eastAsia="zh-CN"/>
              </w:rPr>
            </w:pPr>
            <w:r>
              <w:rPr>
                <w:rFonts w:hint="eastAsia"/>
                <w:vertAlign w:val="baseline"/>
                <w:lang w:val="en-US" w:eastAsia="zh-CN"/>
              </w:rPr>
              <w:t>四轮车</w:t>
            </w:r>
          </w:p>
        </w:tc>
        <w:tc>
          <w:tcPr>
            <w:tcW w:w="1823" w:type="dxa"/>
            <w:vAlign w:val="center"/>
          </w:tcPr>
          <w:p w14:paraId="41CDFA76">
            <w:pPr>
              <w:pStyle w:val="9"/>
              <w:jc w:val="center"/>
              <w:rPr>
                <w:rFonts w:hint="default"/>
                <w:vertAlign w:val="baseline"/>
                <w:lang w:val="en-US" w:eastAsia="zh-CN"/>
              </w:rPr>
            </w:pPr>
            <w:r>
              <w:rPr>
                <w:rFonts w:hint="eastAsia"/>
                <w:vertAlign w:val="baseline"/>
                <w:lang w:val="en-US" w:eastAsia="zh-CN"/>
              </w:rPr>
              <w:t>365</w:t>
            </w:r>
          </w:p>
        </w:tc>
      </w:tr>
      <w:tr w14:paraId="1C25B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016" w:type="dxa"/>
            <w:vAlign w:val="center"/>
          </w:tcPr>
          <w:p w14:paraId="6C95CD7F">
            <w:pPr>
              <w:pStyle w:val="9"/>
              <w:jc w:val="center"/>
              <w:rPr>
                <w:rFonts w:hint="default"/>
                <w:vertAlign w:val="baseline"/>
                <w:lang w:val="en-US" w:eastAsia="zh-CN"/>
              </w:rPr>
            </w:pPr>
            <w:r>
              <w:rPr>
                <w:rFonts w:hint="eastAsia"/>
                <w:vertAlign w:val="baseline"/>
                <w:lang w:val="en-US" w:eastAsia="zh-CN"/>
              </w:rPr>
              <w:t>7</w:t>
            </w:r>
          </w:p>
        </w:tc>
        <w:tc>
          <w:tcPr>
            <w:tcW w:w="4471" w:type="dxa"/>
            <w:vMerge w:val="restart"/>
            <w:vAlign w:val="center"/>
          </w:tcPr>
          <w:p w14:paraId="37362AC5">
            <w:pPr>
              <w:pStyle w:val="9"/>
              <w:jc w:val="center"/>
              <w:rPr>
                <w:rFonts w:hint="eastAsia"/>
                <w:vertAlign w:val="baseline"/>
                <w:lang w:eastAsia="zh-CN"/>
              </w:rPr>
            </w:pPr>
            <w:r>
              <w:rPr>
                <w:rFonts w:hint="eastAsia" w:ascii="宋体" w:hAnsi="宋体" w:cs="宋体"/>
                <w:color w:val="auto"/>
                <w:sz w:val="24"/>
                <w:szCs w:val="24"/>
                <w:vertAlign w:val="baseline"/>
                <w:lang w:val="en-US" w:eastAsia="zh-CN"/>
              </w:rPr>
              <w:t>车辆（</w:t>
            </w:r>
            <w:r>
              <w:rPr>
                <w:rFonts w:hint="eastAsia" w:ascii="宋体" w:hAnsi="宋体" w:eastAsia="宋体" w:cs="宋体"/>
                <w:color w:val="auto"/>
                <w:sz w:val="24"/>
                <w:szCs w:val="24"/>
                <w:vertAlign w:val="baseline"/>
                <w:lang w:val="en-US" w:eastAsia="zh-CN"/>
              </w:rPr>
              <w:t>机非</w:t>
            </w:r>
            <w:r>
              <w:rPr>
                <w:rFonts w:hint="eastAsia" w:ascii="宋体" w:hAnsi="宋体" w:cs="宋体"/>
                <w:color w:val="auto"/>
                <w:sz w:val="24"/>
                <w:szCs w:val="24"/>
                <w:vertAlign w:val="baseline"/>
                <w:lang w:val="en-US" w:eastAsia="zh-CN"/>
              </w:rPr>
              <w:t>）</w:t>
            </w:r>
            <w:r>
              <w:rPr>
                <w:rFonts w:hint="eastAsia" w:ascii="宋体" w:hAnsi="宋体" w:eastAsia="宋体" w:cs="宋体"/>
                <w:color w:val="auto"/>
                <w:sz w:val="24"/>
                <w:szCs w:val="24"/>
                <w:vertAlign w:val="baseline"/>
                <w:lang w:val="en-US" w:eastAsia="zh-CN"/>
              </w:rPr>
              <w:t>属性鉴定</w:t>
            </w:r>
          </w:p>
        </w:tc>
        <w:tc>
          <w:tcPr>
            <w:tcW w:w="1428" w:type="dxa"/>
            <w:vAlign w:val="center"/>
          </w:tcPr>
          <w:p w14:paraId="5EF691CE">
            <w:pPr>
              <w:pStyle w:val="9"/>
              <w:jc w:val="center"/>
              <w:rPr>
                <w:rFonts w:hint="eastAsia"/>
                <w:vertAlign w:val="baseline"/>
                <w:lang w:eastAsia="zh-CN"/>
              </w:rPr>
            </w:pPr>
            <w:r>
              <w:rPr>
                <w:rFonts w:hint="eastAsia"/>
                <w:vertAlign w:val="baseline"/>
                <w:lang w:val="en-US" w:eastAsia="zh-CN"/>
              </w:rPr>
              <w:t>两轮车</w:t>
            </w:r>
          </w:p>
        </w:tc>
        <w:tc>
          <w:tcPr>
            <w:tcW w:w="1823" w:type="dxa"/>
            <w:vAlign w:val="center"/>
          </w:tcPr>
          <w:p w14:paraId="4CB76B72">
            <w:pPr>
              <w:pStyle w:val="9"/>
              <w:jc w:val="center"/>
              <w:rPr>
                <w:rFonts w:hint="default"/>
                <w:vertAlign w:val="baseline"/>
                <w:lang w:val="en-US" w:eastAsia="zh-CN"/>
              </w:rPr>
            </w:pPr>
            <w:r>
              <w:rPr>
                <w:rFonts w:hint="eastAsia"/>
                <w:vertAlign w:val="baseline"/>
                <w:lang w:val="en-US" w:eastAsia="zh-CN"/>
              </w:rPr>
              <w:t>371.67</w:t>
            </w:r>
          </w:p>
        </w:tc>
      </w:tr>
      <w:tr w14:paraId="0C581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016" w:type="dxa"/>
            <w:vAlign w:val="center"/>
          </w:tcPr>
          <w:p w14:paraId="1CEEF97B">
            <w:pPr>
              <w:pStyle w:val="9"/>
              <w:jc w:val="center"/>
              <w:rPr>
                <w:rFonts w:hint="default"/>
                <w:vertAlign w:val="baseline"/>
                <w:lang w:val="en-US" w:eastAsia="zh-CN"/>
              </w:rPr>
            </w:pPr>
            <w:r>
              <w:rPr>
                <w:rFonts w:hint="eastAsia"/>
                <w:vertAlign w:val="baseline"/>
                <w:lang w:val="en-US" w:eastAsia="zh-CN"/>
              </w:rPr>
              <w:t>8</w:t>
            </w:r>
          </w:p>
        </w:tc>
        <w:tc>
          <w:tcPr>
            <w:tcW w:w="4471" w:type="dxa"/>
            <w:vMerge w:val="continue"/>
            <w:vAlign w:val="center"/>
          </w:tcPr>
          <w:p w14:paraId="22CAAB65">
            <w:pPr>
              <w:pStyle w:val="9"/>
              <w:jc w:val="center"/>
              <w:rPr>
                <w:rFonts w:hint="eastAsia"/>
                <w:vertAlign w:val="baseline"/>
                <w:lang w:eastAsia="zh-CN"/>
              </w:rPr>
            </w:pPr>
          </w:p>
        </w:tc>
        <w:tc>
          <w:tcPr>
            <w:tcW w:w="1428" w:type="dxa"/>
            <w:vAlign w:val="center"/>
          </w:tcPr>
          <w:p w14:paraId="50DB750A">
            <w:pPr>
              <w:pStyle w:val="9"/>
              <w:jc w:val="center"/>
              <w:rPr>
                <w:rFonts w:hint="eastAsia"/>
                <w:vertAlign w:val="baseline"/>
                <w:lang w:eastAsia="zh-CN"/>
              </w:rPr>
            </w:pPr>
            <w:r>
              <w:rPr>
                <w:rFonts w:hint="eastAsia"/>
                <w:vertAlign w:val="baseline"/>
                <w:lang w:val="en-US" w:eastAsia="zh-CN"/>
              </w:rPr>
              <w:t>三轮车</w:t>
            </w:r>
          </w:p>
        </w:tc>
        <w:tc>
          <w:tcPr>
            <w:tcW w:w="1823" w:type="dxa"/>
            <w:vAlign w:val="center"/>
          </w:tcPr>
          <w:p w14:paraId="63E45525">
            <w:pPr>
              <w:pStyle w:val="9"/>
              <w:jc w:val="center"/>
              <w:rPr>
                <w:rFonts w:hint="default"/>
                <w:vertAlign w:val="baseline"/>
                <w:lang w:val="en-US" w:eastAsia="zh-CN"/>
              </w:rPr>
            </w:pPr>
            <w:r>
              <w:rPr>
                <w:rFonts w:hint="eastAsia"/>
                <w:vertAlign w:val="baseline"/>
                <w:lang w:val="en-US" w:eastAsia="zh-CN"/>
              </w:rPr>
              <w:t>465</w:t>
            </w:r>
          </w:p>
        </w:tc>
      </w:tr>
      <w:tr w14:paraId="2FA85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016" w:type="dxa"/>
            <w:vAlign w:val="center"/>
          </w:tcPr>
          <w:p w14:paraId="1460ED04">
            <w:pPr>
              <w:pStyle w:val="9"/>
              <w:jc w:val="center"/>
              <w:rPr>
                <w:rFonts w:hint="default"/>
                <w:vertAlign w:val="baseline"/>
                <w:lang w:val="en-US" w:eastAsia="zh-CN"/>
              </w:rPr>
            </w:pPr>
            <w:r>
              <w:rPr>
                <w:rFonts w:hint="eastAsia"/>
                <w:vertAlign w:val="baseline"/>
                <w:lang w:val="en-US" w:eastAsia="zh-CN"/>
              </w:rPr>
              <w:t>9</w:t>
            </w:r>
          </w:p>
        </w:tc>
        <w:tc>
          <w:tcPr>
            <w:tcW w:w="4471" w:type="dxa"/>
            <w:vMerge w:val="continue"/>
            <w:vAlign w:val="center"/>
          </w:tcPr>
          <w:p w14:paraId="66DD25C2">
            <w:pPr>
              <w:pStyle w:val="9"/>
              <w:jc w:val="center"/>
              <w:rPr>
                <w:rFonts w:hint="eastAsia"/>
                <w:vertAlign w:val="baseline"/>
                <w:lang w:eastAsia="zh-CN"/>
              </w:rPr>
            </w:pPr>
          </w:p>
        </w:tc>
        <w:tc>
          <w:tcPr>
            <w:tcW w:w="1428" w:type="dxa"/>
            <w:vAlign w:val="center"/>
          </w:tcPr>
          <w:p w14:paraId="71D49762">
            <w:pPr>
              <w:pStyle w:val="9"/>
              <w:jc w:val="center"/>
              <w:rPr>
                <w:rFonts w:hint="eastAsia"/>
                <w:vertAlign w:val="baseline"/>
                <w:lang w:eastAsia="zh-CN"/>
              </w:rPr>
            </w:pPr>
            <w:r>
              <w:rPr>
                <w:rFonts w:hint="eastAsia"/>
                <w:vertAlign w:val="baseline"/>
                <w:lang w:val="en-US" w:eastAsia="zh-CN"/>
              </w:rPr>
              <w:t>四轮车</w:t>
            </w:r>
          </w:p>
        </w:tc>
        <w:tc>
          <w:tcPr>
            <w:tcW w:w="1823" w:type="dxa"/>
            <w:vAlign w:val="center"/>
          </w:tcPr>
          <w:p w14:paraId="0CAF43FB">
            <w:pPr>
              <w:pStyle w:val="9"/>
              <w:jc w:val="center"/>
              <w:rPr>
                <w:rFonts w:hint="default"/>
                <w:vertAlign w:val="baseline"/>
                <w:lang w:val="en-US" w:eastAsia="zh-CN"/>
              </w:rPr>
            </w:pPr>
            <w:r>
              <w:rPr>
                <w:rFonts w:hint="eastAsia"/>
                <w:vertAlign w:val="baseline"/>
                <w:lang w:val="en-US" w:eastAsia="zh-CN"/>
              </w:rPr>
              <w:t>900</w:t>
            </w:r>
          </w:p>
        </w:tc>
      </w:tr>
      <w:tr w14:paraId="659C6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016" w:type="dxa"/>
            <w:vAlign w:val="center"/>
          </w:tcPr>
          <w:p w14:paraId="133D9361">
            <w:pPr>
              <w:pStyle w:val="9"/>
              <w:jc w:val="center"/>
              <w:rPr>
                <w:rFonts w:hint="default"/>
                <w:vertAlign w:val="baseline"/>
                <w:lang w:val="en-US" w:eastAsia="zh-CN"/>
              </w:rPr>
            </w:pPr>
            <w:r>
              <w:rPr>
                <w:rFonts w:hint="eastAsia"/>
                <w:vertAlign w:val="baseline"/>
                <w:lang w:val="en-US" w:eastAsia="zh-CN"/>
              </w:rPr>
              <w:t>10</w:t>
            </w:r>
          </w:p>
        </w:tc>
        <w:tc>
          <w:tcPr>
            <w:tcW w:w="4471" w:type="dxa"/>
            <w:vAlign w:val="center"/>
          </w:tcPr>
          <w:p w14:paraId="1DDA08C6">
            <w:pPr>
              <w:pStyle w:val="9"/>
              <w:jc w:val="center"/>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法医毒物鉴定（血液中乙醇含量测定）</w:t>
            </w:r>
          </w:p>
        </w:tc>
        <w:tc>
          <w:tcPr>
            <w:tcW w:w="1428" w:type="dxa"/>
            <w:vAlign w:val="center"/>
          </w:tcPr>
          <w:p w14:paraId="53454221">
            <w:pPr>
              <w:pStyle w:val="9"/>
              <w:jc w:val="center"/>
              <w:rPr>
                <w:rFonts w:hint="eastAsia" w:ascii="宋体" w:hAnsi="宋体" w:eastAsia="宋体" w:cs="宋体"/>
                <w:color w:val="auto"/>
                <w:sz w:val="24"/>
                <w:szCs w:val="24"/>
                <w:vertAlign w:val="baseline"/>
                <w:lang w:val="en-US" w:eastAsia="zh-CN"/>
              </w:rPr>
            </w:pPr>
          </w:p>
        </w:tc>
        <w:tc>
          <w:tcPr>
            <w:tcW w:w="1823" w:type="dxa"/>
            <w:vAlign w:val="center"/>
          </w:tcPr>
          <w:p w14:paraId="796314D0">
            <w:pPr>
              <w:pStyle w:val="9"/>
              <w:jc w:val="center"/>
              <w:rPr>
                <w:rFonts w:hint="default"/>
                <w:vertAlign w:val="baseline"/>
                <w:lang w:val="en-US" w:eastAsia="zh-CN"/>
              </w:rPr>
            </w:pPr>
            <w:r>
              <w:rPr>
                <w:rFonts w:hint="eastAsia"/>
                <w:vertAlign w:val="baseline"/>
                <w:lang w:val="en-US" w:eastAsia="zh-CN"/>
              </w:rPr>
              <w:t>591.75</w:t>
            </w:r>
          </w:p>
        </w:tc>
      </w:tr>
      <w:tr w14:paraId="35CF1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016" w:type="dxa"/>
            <w:vAlign w:val="center"/>
          </w:tcPr>
          <w:p w14:paraId="540CB217">
            <w:pPr>
              <w:pStyle w:val="9"/>
              <w:jc w:val="center"/>
              <w:rPr>
                <w:rFonts w:hint="default"/>
                <w:vertAlign w:val="baseline"/>
                <w:lang w:val="en-US" w:eastAsia="zh-CN"/>
              </w:rPr>
            </w:pPr>
            <w:r>
              <w:rPr>
                <w:rFonts w:hint="eastAsia"/>
                <w:vertAlign w:val="baseline"/>
                <w:lang w:val="en-US" w:eastAsia="zh-CN"/>
              </w:rPr>
              <w:t>11</w:t>
            </w:r>
          </w:p>
        </w:tc>
        <w:tc>
          <w:tcPr>
            <w:tcW w:w="4471" w:type="dxa"/>
            <w:vAlign w:val="center"/>
          </w:tcPr>
          <w:p w14:paraId="63BD7B66">
            <w:pPr>
              <w:widowControl w:val="0"/>
              <w:numPr>
                <w:ilvl w:val="0"/>
                <w:numId w:val="0"/>
              </w:numPr>
              <w:spacing w:line="360" w:lineRule="auto"/>
              <w:ind w:left="0" w:leftChars="0" w:firstLine="0" w:firstLineChars="0"/>
              <w:jc w:val="center"/>
              <w:rPr>
                <w:rFonts w:hint="eastAsia"/>
                <w:vertAlign w:val="baseline"/>
                <w:lang w:eastAsia="zh-CN"/>
              </w:rPr>
            </w:pPr>
            <w:r>
              <w:rPr>
                <w:rFonts w:hint="eastAsia" w:ascii="宋体" w:hAnsi="宋体" w:eastAsia="宋体" w:cs="宋体"/>
                <w:color w:val="auto"/>
                <w:sz w:val="24"/>
                <w:szCs w:val="24"/>
                <w:vertAlign w:val="baseline"/>
                <w:lang w:val="en-US" w:eastAsia="zh-CN"/>
              </w:rPr>
              <w:t>法医临床鉴定</w:t>
            </w:r>
          </w:p>
        </w:tc>
        <w:tc>
          <w:tcPr>
            <w:tcW w:w="1428" w:type="dxa"/>
            <w:vAlign w:val="center"/>
          </w:tcPr>
          <w:p w14:paraId="5B75287F">
            <w:pPr>
              <w:pStyle w:val="9"/>
              <w:jc w:val="center"/>
              <w:rPr>
                <w:rFonts w:hint="eastAsia"/>
                <w:vertAlign w:val="baseline"/>
                <w:lang w:eastAsia="zh-CN"/>
              </w:rPr>
            </w:pPr>
            <w:r>
              <w:rPr>
                <w:rFonts w:hint="eastAsia" w:ascii="宋体" w:hAnsi="宋体" w:eastAsia="宋体" w:cs="宋体"/>
                <w:color w:val="auto"/>
                <w:sz w:val="24"/>
                <w:szCs w:val="24"/>
                <w:vertAlign w:val="baseline"/>
                <w:lang w:val="en-US" w:eastAsia="zh-CN"/>
              </w:rPr>
              <w:t>损伤程度鉴定</w:t>
            </w:r>
          </w:p>
        </w:tc>
        <w:tc>
          <w:tcPr>
            <w:tcW w:w="1823" w:type="dxa"/>
            <w:vAlign w:val="center"/>
          </w:tcPr>
          <w:p w14:paraId="0D01551E">
            <w:pPr>
              <w:pStyle w:val="9"/>
              <w:jc w:val="center"/>
              <w:rPr>
                <w:rFonts w:hint="default"/>
                <w:vertAlign w:val="baseline"/>
                <w:lang w:val="en-US" w:eastAsia="zh-CN"/>
              </w:rPr>
            </w:pPr>
            <w:r>
              <w:rPr>
                <w:rFonts w:hint="eastAsia"/>
                <w:vertAlign w:val="baseline"/>
                <w:lang w:val="en-US" w:eastAsia="zh-CN"/>
              </w:rPr>
              <w:t>643.75</w:t>
            </w:r>
          </w:p>
        </w:tc>
      </w:tr>
      <w:tr w14:paraId="677FD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1016" w:type="dxa"/>
            <w:vAlign w:val="center"/>
          </w:tcPr>
          <w:p w14:paraId="673CDDC5">
            <w:pPr>
              <w:pStyle w:val="9"/>
              <w:jc w:val="center"/>
              <w:rPr>
                <w:rFonts w:hint="default"/>
                <w:vertAlign w:val="baseline"/>
                <w:lang w:val="en-US" w:eastAsia="zh-CN"/>
              </w:rPr>
            </w:pPr>
            <w:r>
              <w:rPr>
                <w:rFonts w:hint="eastAsia"/>
                <w:vertAlign w:val="baseline"/>
                <w:lang w:val="en-US" w:eastAsia="zh-CN"/>
              </w:rPr>
              <w:t>12</w:t>
            </w:r>
          </w:p>
        </w:tc>
        <w:tc>
          <w:tcPr>
            <w:tcW w:w="4471" w:type="dxa"/>
            <w:vAlign w:val="center"/>
          </w:tcPr>
          <w:p w14:paraId="14BBE142">
            <w:pPr>
              <w:widowControl w:val="0"/>
              <w:numPr>
                <w:ilvl w:val="0"/>
                <w:numId w:val="0"/>
              </w:numPr>
              <w:spacing w:line="360" w:lineRule="auto"/>
              <w:ind w:left="0" w:leftChars="0" w:firstLine="0" w:firstLineChars="0"/>
              <w:jc w:val="center"/>
              <w:rPr>
                <w:rFonts w:hint="eastAsia" w:ascii="宋体" w:hAnsi="宋体" w:eastAsia="宋体" w:cs="宋体"/>
                <w:color w:val="auto"/>
                <w:sz w:val="24"/>
                <w:szCs w:val="24"/>
                <w:vertAlign w:val="baseline"/>
                <w:lang w:val="en-US" w:eastAsia="zh-CN"/>
              </w:rPr>
            </w:pPr>
            <w:r>
              <w:rPr>
                <w:rFonts w:hint="eastAsia" w:ascii="宋体" w:hAnsi="宋体" w:cs="宋体"/>
                <w:color w:val="auto"/>
                <w:sz w:val="24"/>
                <w:szCs w:val="24"/>
                <w:vertAlign w:val="baseline"/>
                <w:lang w:val="en-US" w:eastAsia="zh-CN"/>
              </w:rPr>
              <w:t>车速鉴定</w:t>
            </w:r>
          </w:p>
        </w:tc>
        <w:tc>
          <w:tcPr>
            <w:tcW w:w="1428" w:type="dxa"/>
            <w:vAlign w:val="center"/>
          </w:tcPr>
          <w:p w14:paraId="1971A1D3">
            <w:pPr>
              <w:pStyle w:val="9"/>
              <w:jc w:val="center"/>
              <w:rPr>
                <w:rFonts w:hint="eastAsia"/>
                <w:vertAlign w:val="baseline"/>
                <w:lang w:eastAsia="zh-CN"/>
              </w:rPr>
            </w:pPr>
          </w:p>
        </w:tc>
        <w:tc>
          <w:tcPr>
            <w:tcW w:w="1823" w:type="dxa"/>
            <w:vAlign w:val="center"/>
          </w:tcPr>
          <w:p w14:paraId="70BF7005">
            <w:pPr>
              <w:pStyle w:val="9"/>
              <w:jc w:val="center"/>
              <w:rPr>
                <w:rFonts w:hint="default"/>
                <w:vertAlign w:val="baseline"/>
                <w:lang w:val="en-US" w:eastAsia="zh-CN"/>
              </w:rPr>
            </w:pPr>
            <w:r>
              <w:rPr>
                <w:rFonts w:hint="eastAsia"/>
                <w:vertAlign w:val="baseline"/>
                <w:lang w:val="en-US" w:eastAsia="zh-CN"/>
              </w:rPr>
              <w:t>1786.67</w:t>
            </w:r>
          </w:p>
        </w:tc>
      </w:tr>
      <w:tr w14:paraId="6FA1A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016" w:type="dxa"/>
            <w:vAlign w:val="center"/>
          </w:tcPr>
          <w:p w14:paraId="7ABC9D20">
            <w:pPr>
              <w:pStyle w:val="9"/>
              <w:jc w:val="center"/>
              <w:rPr>
                <w:rFonts w:hint="default"/>
                <w:vertAlign w:val="baseline"/>
                <w:lang w:val="en-US" w:eastAsia="zh-CN"/>
              </w:rPr>
            </w:pPr>
            <w:r>
              <w:rPr>
                <w:rFonts w:hint="eastAsia"/>
                <w:vertAlign w:val="baseline"/>
                <w:lang w:val="en-US" w:eastAsia="zh-CN"/>
              </w:rPr>
              <w:t>13</w:t>
            </w:r>
          </w:p>
        </w:tc>
        <w:tc>
          <w:tcPr>
            <w:tcW w:w="4471" w:type="dxa"/>
            <w:vMerge w:val="restart"/>
            <w:vAlign w:val="center"/>
          </w:tcPr>
          <w:p w14:paraId="420E57A0">
            <w:pPr>
              <w:widowControl w:val="0"/>
              <w:numPr>
                <w:ilvl w:val="0"/>
                <w:numId w:val="0"/>
              </w:numPr>
              <w:spacing w:line="360" w:lineRule="auto"/>
              <w:ind w:left="0" w:leftChars="0" w:firstLine="0" w:firstLineChars="0"/>
              <w:jc w:val="center"/>
              <w:rPr>
                <w:rFonts w:hint="eastAsia"/>
                <w:vertAlign w:val="baseline"/>
                <w:lang w:eastAsia="zh-CN"/>
              </w:rPr>
            </w:pPr>
            <w:r>
              <w:rPr>
                <w:rFonts w:hint="eastAsia" w:ascii="宋体" w:hAnsi="宋体" w:eastAsia="宋体" w:cs="宋体"/>
                <w:color w:val="auto"/>
                <w:sz w:val="24"/>
                <w:szCs w:val="24"/>
                <w:vertAlign w:val="baseline"/>
                <w:lang w:val="en-US" w:eastAsia="zh-CN"/>
              </w:rPr>
              <w:t>法医病理鉴定</w:t>
            </w:r>
          </w:p>
        </w:tc>
        <w:tc>
          <w:tcPr>
            <w:tcW w:w="1428" w:type="dxa"/>
            <w:vAlign w:val="center"/>
          </w:tcPr>
          <w:p w14:paraId="7B6BBAE8">
            <w:pPr>
              <w:pStyle w:val="9"/>
              <w:jc w:val="center"/>
              <w:rPr>
                <w:rFonts w:hint="eastAsia"/>
                <w:vertAlign w:val="baseline"/>
                <w:lang w:eastAsia="zh-CN"/>
              </w:rPr>
            </w:pPr>
            <w:r>
              <w:rPr>
                <w:rFonts w:hint="eastAsia" w:ascii="宋体" w:hAnsi="宋体" w:eastAsia="宋体" w:cs="宋体"/>
                <w:color w:val="auto"/>
                <w:sz w:val="24"/>
                <w:szCs w:val="24"/>
                <w:vertAlign w:val="baseline"/>
                <w:lang w:val="en-US" w:eastAsia="zh-CN"/>
              </w:rPr>
              <w:t>尸表检验</w:t>
            </w:r>
          </w:p>
        </w:tc>
        <w:tc>
          <w:tcPr>
            <w:tcW w:w="1823" w:type="dxa"/>
            <w:vAlign w:val="center"/>
          </w:tcPr>
          <w:p w14:paraId="49984D04">
            <w:pPr>
              <w:pStyle w:val="9"/>
              <w:jc w:val="center"/>
              <w:rPr>
                <w:rFonts w:hint="default"/>
                <w:vertAlign w:val="baseline"/>
                <w:lang w:val="en-US" w:eastAsia="zh-CN"/>
              </w:rPr>
            </w:pPr>
            <w:r>
              <w:rPr>
                <w:rFonts w:hint="eastAsia"/>
                <w:vertAlign w:val="baseline"/>
                <w:lang w:val="en-US" w:eastAsia="zh-CN"/>
              </w:rPr>
              <w:t>1671.67</w:t>
            </w:r>
          </w:p>
        </w:tc>
      </w:tr>
      <w:tr w14:paraId="22B0F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016" w:type="dxa"/>
            <w:vAlign w:val="center"/>
          </w:tcPr>
          <w:p w14:paraId="49344D38">
            <w:pPr>
              <w:pStyle w:val="9"/>
              <w:jc w:val="center"/>
              <w:rPr>
                <w:rFonts w:hint="default"/>
                <w:vertAlign w:val="baseline"/>
                <w:lang w:val="en-US" w:eastAsia="zh-CN"/>
              </w:rPr>
            </w:pPr>
            <w:r>
              <w:rPr>
                <w:rFonts w:hint="eastAsia"/>
                <w:vertAlign w:val="baseline"/>
                <w:lang w:val="en-US" w:eastAsia="zh-CN"/>
              </w:rPr>
              <w:t>14</w:t>
            </w:r>
          </w:p>
        </w:tc>
        <w:tc>
          <w:tcPr>
            <w:tcW w:w="4471" w:type="dxa"/>
            <w:vMerge w:val="continue"/>
            <w:vAlign w:val="center"/>
          </w:tcPr>
          <w:p w14:paraId="77C03841">
            <w:pPr>
              <w:widowControl w:val="0"/>
              <w:numPr>
                <w:ilvl w:val="0"/>
                <w:numId w:val="0"/>
              </w:numPr>
              <w:spacing w:line="360" w:lineRule="auto"/>
              <w:ind w:left="0" w:leftChars="0" w:firstLine="0" w:firstLineChars="0"/>
              <w:jc w:val="center"/>
              <w:rPr>
                <w:rFonts w:hint="eastAsia" w:ascii="宋体" w:hAnsi="宋体" w:eastAsia="宋体" w:cs="宋体"/>
                <w:color w:val="auto"/>
                <w:sz w:val="24"/>
                <w:szCs w:val="24"/>
                <w:vertAlign w:val="baseline"/>
                <w:lang w:val="en-US" w:eastAsia="zh-CN"/>
              </w:rPr>
            </w:pPr>
          </w:p>
        </w:tc>
        <w:tc>
          <w:tcPr>
            <w:tcW w:w="1428" w:type="dxa"/>
            <w:vAlign w:val="center"/>
          </w:tcPr>
          <w:p w14:paraId="2E033C0B">
            <w:pPr>
              <w:pStyle w:val="9"/>
              <w:jc w:val="center"/>
              <w:rPr>
                <w:rFonts w:hint="eastAsia"/>
                <w:vertAlign w:val="baseline"/>
                <w:lang w:eastAsia="zh-CN"/>
              </w:rPr>
            </w:pPr>
            <w:r>
              <w:rPr>
                <w:rFonts w:hint="eastAsia" w:ascii="宋体" w:hAnsi="宋体" w:eastAsia="宋体" w:cs="宋体"/>
                <w:color w:val="auto"/>
                <w:sz w:val="24"/>
                <w:szCs w:val="24"/>
                <w:vertAlign w:val="baseline"/>
                <w:lang w:val="en-US" w:eastAsia="zh-CN"/>
              </w:rPr>
              <w:t>尸体解剖</w:t>
            </w:r>
          </w:p>
        </w:tc>
        <w:tc>
          <w:tcPr>
            <w:tcW w:w="1823" w:type="dxa"/>
            <w:vAlign w:val="center"/>
          </w:tcPr>
          <w:p w14:paraId="610004D2">
            <w:pPr>
              <w:pStyle w:val="9"/>
              <w:jc w:val="center"/>
              <w:rPr>
                <w:rFonts w:hint="default"/>
                <w:vertAlign w:val="baseline"/>
                <w:lang w:val="en-US" w:eastAsia="zh-CN"/>
              </w:rPr>
            </w:pPr>
            <w:r>
              <w:rPr>
                <w:rFonts w:hint="eastAsia"/>
                <w:vertAlign w:val="baseline"/>
                <w:lang w:val="en-US" w:eastAsia="zh-CN"/>
              </w:rPr>
              <w:t>9300</w:t>
            </w:r>
          </w:p>
        </w:tc>
      </w:tr>
    </w:tbl>
    <w:p w14:paraId="6FB799D7">
      <w:pPr>
        <w:numPr>
          <w:ilvl w:val="0"/>
          <w:numId w:val="0"/>
        </w:numPr>
        <w:spacing w:line="360" w:lineRule="auto"/>
        <w:ind w:firstLine="480" w:firstLineChars="200"/>
        <w:rPr>
          <w:rFonts w:hint="eastAsia" w:ascii="宋体" w:hAnsi="宋体" w:cs="宋体"/>
          <w:b/>
          <w:bCs/>
          <w:color w:val="auto"/>
          <w:sz w:val="24"/>
          <w:szCs w:val="24"/>
          <w:lang w:val="en-US" w:eastAsia="zh-CN"/>
        </w:rPr>
      </w:pPr>
      <w:r>
        <w:rPr>
          <w:rFonts w:hint="eastAsia" w:ascii="宋体" w:hAnsi="宋体" w:cs="宋体"/>
          <w:b/>
          <w:bCs/>
          <w:color w:val="auto"/>
          <w:sz w:val="24"/>
          <w:szCs w:val="24"/>
          <w:lang w:val="en-US" w:eastAsia="zh-CN"/>
        </w:rPr>
        <w:t>（四）服务内容：</w:t>
      </w:r>
    </w:p>
    <w:p w14:paraId="115B5926">
      <w:pPr>
        <w:spacing w:line="360" w:lineRule="auto"/>
        <w:ind w:firstLine="480" w:firstLineChars="200"/>
        <w:rPr>
          <w:rFonts w:hint="eastAsia"/>
          <w:sz w:val="24"/>
          <w:szCs w:val="24"/>
          <w:lang w:eastAsia="zh-CN"/>
        </w:rPr>
      </w:pPr>
      <w:r>
        <w:rPr>
          <w:rFonts w:hint="eastAsia"/>
          <w:sz w:val="24"/>
          <w:szCs w:val="24"/>
          <w:lang w:val="en-US" w:eastAsia="zh-CN"/>
        </w:rPr>
        <w:t>1、</w:t>
      </w:r>
      <w:r>
        <w:rPr>
          <w:rFonts w:hint="eastAsia"/>
          <w:sz w:val="24"/>
          <w:szCs w:val="24"/>
          <w:lang w:eastAsia="zh-CN"/>
        </w:rPr>
        <w:t>涉</w:t>
      </w:r>
      <w:r>
        <w:rPr>
          <w:rFonts w:hint="eastAsia"/>
          <w:sz w:val="24"/>
          <w:szCs w:val="24"/>
        </w:rPr>
        <w:t>案车辆安全技术性能鉴定</w:t>
      </w:r>
      <w:r>
        <w:rPr>
          <w:rFonts w:hint="eastAsia"/>
          <w:sz w:val="24"/>
          <w:szCs w:val="24"/>
          <w:lang w:eastAsia="zh-CN"/>
        </w:rPr>
        <w:t>：</w:t>
      </w:r>
      <w:r>
        <w:rPr>
          <w:rFonts w:hint="eastAsia"/>
          <w:sz w:val="24"/>
          <w:szCs w:val="24"/>
        </w:rPr>
        <w:t>依据国家标准对车辆制动、转向、灯光、轮胎、安全气囊等关键系统是否符合安全运行要求进行的法定技术检验，目的是厘清车辆故障与事故之间的因果关系，为责任认定提供科学证据</w:t>
      </w:r>
      <w:r>
        <w:rPr>
          <w:rFonts w:hint="eastAsia"/>
          <w:sz w:val="24"/>
          <w:szCs w:val="24"/>
          <w:lang w:eastAsia="zh-CN"/>
        </w:rPr>
        <w:t>；</w:t>
      </w:r>
    </w:p>
    <w:p w14:paraId="60F23A35">
      <w:pPr>
        <w:spacing w:line="360" w:lineRule="auto"/>
        <w:ind w:firstLine="480" w:firstLineChars="200"/>
        <w:rPr>
          <w:rFonts w:hint="eastAsia"/>
          <w:sz w:val="24"/>
          <w:szCs w:val="24"/>
          <w:lang w:val="en-US" w:eastAsia="zh-CN"/>
        </w:rPr>
      </w:pPr>
      <w:r>
        <w:rPr>
          <w:rFonts w:hint="eastAsia"/>
          <w:sz w:val="24"/>
          <w:szCs w:val="24"/>
          <w:lang w:val="en-US" w:eastAsia="zh-CN"/>
        </w:rPr>
        <w:t>2、车辆退迹鉴定：融合现场勘验、物理比对、微量物证分析与视频技术的多维度司法科学过程，其中路面痕迹是基础依据，而视频(含行车记录仪、监控及气囊数据)已成为速度推断、轨迹还原和责任认定的关键补充证据，根据车辆的车体痕迹、车轮退迹、车辆阶属部件痕迹以及分离物痕迹所反映的特征，对爆疑车辆进行检验，认定或货定赚疑车辆的过程。</w:t>
      </w:r>
    </w:p>
    <w:p w14:paraId="6A101855">
      <w:pPr>
        <w:spacing w:line="360" w:lineRule="auto"/>
        <w:ind w:firstLine="480" w:firstLineChars="200"/>
        <w:rPr>
          <w:rFonts w:hint="eastAsia"/>
          <w:sz w:val="24"/>
          <w:szCs w:val="24"/>
          <w:lang w:eastAsia="zh-CN"/>
        </w:rPr>
      </w:pPr>
      <w:r>
        <w:rPr>
          <w:rFonts w:hint="eastAsia"/>
          <w:sz w:val="24"/>
          <w:szCs w:val="24"/>
          <w:lang w:val="en-US" w:eastAsia="zh-CN"/>
        </w:rPr>
        <w:t>3、车辆（机非）属性鉴定：</w:t>
      </w:r>
      <w:r>
        <w:rPr>
          <w:rFonts w:hint="default"/>
          <w:sz w:val="24"/>
          <w:szCs w:val="24"/>
        </w:rPr>
        <w:t>核心法律依据：以《道路交通安全法》为基石，国家标准为技术准</w:t>
      </w:r>
      <w:r>
        <w:rPr>
          <w:rFonts w:hint="eastAsia"/>
          <w:sz w:val="24"/>
          <w:szCs w:val="24"/>
          <w:lang w:eastAsia="zh-CN"/>
        </w:rPr>
        <w:t>标：</w:t>
      </w:r>
      <w:r>
        <w:rPr>
          <w:rFonts w:hint="default"/>
          <w:sz w:val="24"/>
          <w:szCs w:val="24"/>
        </w:rPr>
        <w:t>机非属性鉴定的法定基础是《中华人民共和国道路交通安全法》对“机动车”和“非机动车”的明确定义，并须严格对照强制性国家标准进行技术判定</w:t>
      </w:r>
      <w:r>
        <w:rPr>
          <w:rFonts w:hint="eastAsia"/>
          <w:sz w:val="24"/>
          <w:szCs w:val="24"/>
          <w:lang w:eastAsia="zh-CN"/>
        </w:rPr>
        <w:t>。</w:t>
      </w:r>
    </w:p>
    <w:p w14:paraId="798F697D">
      <w:pPr>
        <w:spacing w:line="360" w:lineRule="auto"/>
        <w:ind w:firstLine="480" w:firstLineChars="200"/>
        <w:rPr>
          <w:rFonts w:hint="eastAsia" w:ascii="宋体" w:hAnsi="宋体" w:eastAsia="宋体" w:cs="宋体"/>
          <w:strike/>
          <w:dstrike w:val="0"/>
          <w:color w:val="auto"/>
          <w:sz w:val="24"/>
          <w:szCs w:val="24"/>
          <w:vertAlign w:val="baseline"/>
          <w:lang w:val="en-US" w:eastAsia="zh-CN"/>
        </w:rPr>
      </w:pPr>
      <w:r>
        <w:rPr>
          <w:rFonts w:hint="eastAsia"/>
          <w:sz w:val="24"/>
          <w:szCs w:val="24"/>
          <w:lang w:val="en-US" w:eastAsia="zh-CN"/>
        </w:rPr>
        <w:t>4、</w:t>
      </w:r>
      <w:r>
        <w:rPr>
          <w:rFonts w:hint="eastAsia" w:ascii="宋体" w:hAnsi="宋体" w:eastAsia="宋体" w:cs="宋体"/>
          <w:color w:val="auto"/>
          <w:sz w:val="24"/>
          <w:szCs w:val="24"/>
          <w:vertAlign w:val="baseline"/>
          <w:lang w:val="en-US" w:eastAsia="zh-CN"/>
        </w:rPr>
        <w:t>法医毒物鉴定（血液中乙醇含量测定）：运用法医毒物学理论和现代仪器分析技术，对体内外未知毒(药)物、毒品及代谢物进行定性、定量分析的司法科学活动。其核心服务项目为:血液中乙醇含量测定(即“酒驾/醉驾"关键证据)</w:t>
      </w:r>
      <w:r>
        <w:rPr>
          <w:rFonts w:hint="eastAsia" w:ascii="宋体" w:hAnsi="宋体" w:cs="宋体"/>
          <w:color w:val="auto"/>
          <w:sz w:val="24"/>
          <w:szCs w:val="24"/>
          <w:vertAlign w:val="baseline"/>
          <w:lang w:val="en-US" w:eastAsia="zh-CN"/>
        </w:rPr>
        <w:t>。</w:t>
      </w:r>
    </w:p>
    <w:p w14:paraId="0C44599E">
      <w:pPr>
        <w:spacing w:line="360" w:lineRule="auto"/>
        <w:ind w:firstLine="480" w:firstLineChars="200"/>
        <w:rPr>
          <w:rFonts w:hint="eastAsia" w:ascii="宋体" w:hAnsi="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5、法医临床鉴定</w:t>
      </w:r>
      <w:r>
        <w:rPr>
          <w:rFonts w:hint="eastAsia" w:ascii="宋体" w:hAnsi="宋体" w:cs="宋体"/>
          <w:color w:val="auto"/>
          <w:sz w:val="24"/>
          <w:szCs w:val="24"/>
          <w:vertAlign w:val="baseline"/>
          <w:lang w:val="en-US" w:eastAsia="zh-CN"/>
        </w:rPr>
        <w:t>（</w:t>
      </w:r>
      <w:r>
        <w:rPr>
          <w:rFonts w:hint="eastAsia" w:ascii="宋体" w:hAnsi="宋体" w:eastAsia="宋体" w:cs="宋体"/>
          <w:color w:val="auto"/>
          <w:sz w:val="24"/>
          <w:szCs w:val="24"/>
          <w:vertAlign w:val="baseline"/>
          <w:lang w:val="en-US" w:eastAsia="zh-CN"/>
        </w:rPr>
        <w:t>损伤程度鉴定</w:t>
      </w:r>
      <w:r>
        <w:rPr>
          <w:rFonts w:hint="eastAsia" w:ascii="宋体" w:hAnsi="宋体" w:cs="宋体"/>
          <w:color w:val="auto"/>
          <w:sz w:val="24"/>
          <w:szCs w:val="24"/>
          <w:vertAlign w:val="baseline"/>
          <w:lang w:val="en-US" w:eastAsia="zh-CN"/>
        </w:rPr>
        <w:t>）：严格依据《人体损伤程度鉴定标准》分为重伤、轻伤、轻微伤三级，其中轻伤和重伤又各细分为一级、二级;鉴定必须在伤情稳定或治疗终结后进行。</w:t>
      </w:r>
    </w:p>
    <w:p w14:paraId="7B991860">
      <w:pPr>
        <w:spacing w:line="360" w:lineRule="auto"/>
        <w:ind w:firstLine="480" w:firstLineChars="200"/>
        <w:rPr>
          <w:rFonts w:hint="eastAsia" w:ascii="宋体" w:hAnsi="宋体" w:cs="宋体"/>
          <w:color w:val="auto"/>
          <w:sz w:val="24"/>
          <w:szCs w:val="24"/>
          <w:vertAlign w:val="baseline"/>
          <w:lang w:val="en-US" w:eastAsia="zh-CN"/>
        </w:rPr>
      </w:pPr>
      <w:r>
        <w:rPr>
          <w:rFonts w:hint="eastAsia" w:ascii="宋体" w:hAnsi="宋体" w:cs="宋体"/>
          <w:color w:val="auto"/>
          <w:sz w:val="24"/>
          <w:szCs w:val="24"/>
          <w:vertAlign w:val="baseline"/>
          <w:lang w:val="en-US" w:eastAsia="zh-CN"/>
        </w:rPr>
        <w:t>6、车速鉴定：综合刹车痕迹、监控视频、车载EDR数据、模拟实验等多种科学方法，在30日内出具具有法律效力的专业报告。</w:t>
      </w:r>
    </w:p>
    <w:p w14:paraId="08632522">
      <w:pPr>
        <w:spacing w:line="360" w:lineRule="auto"/>
        <w:ind w:firstLine="480" w:firstLineChars="200"/>
        <w:rPr>
          <w:rFonts w:hint="eastAsia" w:ascii="宋体" w:hAnsi="宋体" w:eastAsia="宋体" w:cs="宋体"/>
          <w:color w:val="auto"/>
          <w:sz w:val="24"/>
          <w:szCs w:val="24"/>
          <w:vertAlign w:val="baseline"/>
          <w:lang w:val="en-US" w:eastAsia="zh-CN"/>
        </w:rPr>
      </w:pPr>
      <w:r>
        <w:rPr>
          <w:rFonts w:hint="eastAsia" w:ascii="宋体" w:hAnsi="宋体" w:cs="宋体"/>
          <w:color w:val="auto"/>
          <w:sz w:val="24"/>
          <w:szCs w:val="24"/>
          <w:vertAlign w:val="baseline"/>
          <w:lang w:val="en-US" w:eastAsia="zh-CN"/>
        </w:rPr>
        <w:t>7、</w:t>
      </w:r>
      <w:r>
        <w:rPr>
          <w:rFonts w:hint="eastAsia" w:ascii="宋体" w:hAnsi="宋体" w:eastAsia="宋体" w:cs="宋体"/>
          <w:color w:val="auto"/>
          <w:sz w:val="24"/>
          <w:szCs w:val="24"/>
          <w:vertAlign w:val="baseline"/>
          <w:lang w:val="en-US" w:eastAsia="zh-CN"/>
        </w:rPr>
        <w:t>法医病理鉴定</w:t>
      </w:r>
    </w:p>
    <w:p w14:paraId="597A5B50">
      <w:pPr>
        <w:spacing w:line="360" w:lineRule="auto"/>
        <w:ind w:firstLine="480" w:firstLineChars="200"/>
        <w:rPr>
          <w:rFonts w:hint="eastAsia"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7.1尸表检验：在不破坏尸体完整性的前提下，系统观察、记录并固定尸体表面征象，为死亡原因、方式、时间等核心鉴定提供第一手证据；尸表检验须由具备法医病理鉴定资格的专业人员执行，全程遭循标准化流程，强调"望、触"为主，辅以照相、测量与文字记录三重固定。所有异常发现必须定位准确、形态描述细致、测量数据精确，并同步拍照存证。其法定技术依据为中华人民共和国公共安全行业标准《法医学尸表检验》。</w:t>
      </w:r>
    </w:p>
    <w:p w14:paraId="1BACC510">
      <w:pPr>
        <w:spacing w:line="360" w:lineRule="auto"/>
        <w:ind w:firstLine="480" w:firstLineChars="200"/>
        <w:rPr>
          <w:rFonts w:hint="default" w:ascii="宋体" w:hAnsi="宋体" w:eastAsia="宋体" w:cs="宋体"/>
          <w:color w:val="auto"/>
          <w:sz w:val="24"/>
          <w:szCs w:val="24"/>
          <w:vertAlign w:val="baseline"/>
          <w:lang w:val="en-US" w:eastAsia="zh-CN"/>
        </w:rPr>
      </w:pPr>
      <w:r>
        <w:rPr>
          <w:rFonts w:hint="eastAsia" w:ascii="宋体" w:hAnsi="宋体" w:eastAsia="宋体" w:cs="宋体"/>
          <w:color w:val="auto"/>
          <w:sz w:val="24"/>
          <w:szCs w:val="24"/>
          <w:vertAlign w:val="baseline"/>
          <w:lang w:val="en-US" w:eastAsia="zh-CN"/>
        </w:rPr>
        <w:t>7.2</w:t>
      </w:r>
      <w:r>
        <w:rPr>
          <w:rFonts w:hint="default" w:ascii="宋体" w:hAnsi="宋体" w:eastAsia="宋体" w:cs="宋体"/>
          <w:color w:val="auto"/>
          <w:sz w:val="24"/>
          <w:szCs w:val="24"/>
          <w:vertAlign w:val="baseline"/>
          <w:lang w:val="en-US" w:eastAsia="zh-CN"/>
        </w:rPr>
        <w:t>尸体解剖</w:t>
      </w:r>
      <w:r>
        <w:rPr>
          <w:rFonts w:hint="eastAsia" w:ascii="宋体" w:hAnsi="宋体" w:eastAsia="宋体" w:cs="宋体"/>
          <w:color w:val="auto"/>
          <w:sz w:val="24"/>
          <w:szCs w:val="24"/>
          <w:vertAlign w:val="baseline"/>
          <w:lang w:val="en-US" w:eastAsia="zh-CN"/>
        </w:rPr>
        <w:t>：运用法医病理学理论与技术，通过尸体外表检查、解剖检验、组织切片、毒物分析及书证审查等手段，对死亡原因、死亡方式、死亡时间、致伤物及伤病关系等法律相关医学问题作出科学鉴定意见。</w:t>
      </w:r>
    </w:p>
    <w:p w14:paraId="0C03746B">
      <w:pPr>
        <w:numPr>
          <w:ilvl w:val="0"/>
          <w:numId w:val="0"/>
        </w:numPr>
        <w:spacing w:line="360" w:lineRule="auto"/>
        <w:ind w:firstLine="480" w:firstLineChars="200"/>
        <w:rPr>
          <w:rFonts w:hint="eastAsia" w:ascii="宋体" w:hAnsi="宋体" w:eastAsia="宋体" w:cs="宋体"/>
          <w:b/>
          <w:bCs/>
          <w:color w:val="auto"/>
          <w:sz w:val="24"/>
          <w:szCs w:val="24"/>
          <w:lang w:val="en-US" w:eastAsia="zh-CN"/>
        </w:rPr>
      </w:pPr>
      <w:r>
        <w:rPr>
          <w:rFonts w:hint="eastAsia" w:ascii="宋体" w:hAnsi="宋体" w:cs="宋体"/>
          <w:b/>
          <w:bCs/>
          <w:color w:val="auto"/>
          <w:sz w:val="24"/>
          <w:szCs w:val="24"/>
          <w:lang w:val="en-US" w:eastAsia="zh-CN"/>
        </w:rPr>
        <w:t>（五）</w:t>
      </w:r>
      <w:r>
        <w:rPr>
          <w:rFonts w:hint="eastAsia" w:ascii="宋体" w:hAnsi="宋体" w:eastAsia="宋体" w:cs="宋体"/>
          <w:b/>
          <w:bCs/>
          <w:color w:val="auto"/>
          <w:sz w:val="24"/>
          <w:szCs w:val="24"/>
          <w:lang w:val="en-US" w:eastAsia="zh-CN"/>
        </w:rPr>
        <w:t>服务要求</w:t>
      </w:r>
    </w:p>
    <w:p w14:paraId="3B917DFD">
      <w:pPr>
        <w:pStyle w:val="2"/>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1、在约定的时间内完成相关检验鉴定;对涉刑案件和特别约定的，自委托之日起5天内出具报告:</w:t>
      </w:r>
    </w:p>
    <w:p w14:paraId="5DCA9019">
      <w:pPr>
        <w:pStyle w:val="2"/>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2、具备24小时内完成鉴定报告并送达受委托单位的能力;</w:t>
      </w:r>
    </w:p>
    <w:p w14:paraId="45A2799C">
      <w:pPr>
        <w:pStyle w:val="2"/>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3、人员要求:</w:t>
      </w:r>
    </w:p>
    <w:p w14:paraId="1E3ADBC1">
      <w:pPr>
        <w:pStyle w:val="2"/>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(1)根据司法部《司法部令第132号》“司法鉴定程序通则”和江西省司法厅&lt;&lt;赣司规字[2020]2号&gt;&gt;文件，“交通事故痕迹物证鉴定”包含:车辆技术安全技术状况鉴定、交通事故痕迹鉴定、车辆速度鉴定、交通事故痕迹物证综合鉴定等，日常交通事故鉴定必须2名有全项资质的鉴定人到场鉴定，采购人管辖区域每天同时不同地发生2起以上交通事故概率较高，所以供应商须提供车辆痕迹鉴定人员全项资质人员至少4人，每位鉴定人员执业范围必须包含车辆技术安全技术状况鉴定、交通事故痕迹鉴定、车辆速度鉴定、交通事故痕迹物证综合鉴定。</w:t>
      </w:r>
      <w:r>
        <w:rPr>
          <w:rFonts w:hint="eastAsia" w:ascii="宋体" w:hAnsi="宋体" w:eastAsia="宋体" w:cs="宋体"/>
          <w:b/>
          <w:bCs/>
          <w:color w:val="auto"/>
          <w:kern w:val="2"/>
          <w:sz w:val="24"/>
          <w:szCs w:val="24"/>
          <w:lang w:val="en-US" w:eastAsia="zh-CN" w:bidi="ar-SA"/>
        </w:rPr>
        <w:t>(投标文件中提供人员&lt;&lt;司法鉴定人执业证&gt;&gt;，执业范围为:“痕迹(限交通事故痕迹物证)鉴定”或包含以上全项，否则视为不响应作无效投标处理)</w:t>
      </w:r>
      <w:r>
        <w:rPr>
          <w:rFonts w:hint="eastAsia" w:ascii="宋体" w:hAnsi="宋体" w:eastAsia="宋体" w:cs="宋体"/>
          <w:color w:val="auto"/>
          <w:kern w:val="2"/>
          <w:sz w:val="24"/>
          <w:szCs w:val="24"/>
          <w:lang w:val="en-US" w:eastAsia="zh-CN" w:bidi="ar-SA"/>
        </w:rPr>
        <w:t>。</w:t>
      </w:r>
    </w:p>
    <w:p w14:paraId="3D98A53B">
      <w:pPr>
        <w:pStyle w:val="2"/>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bCs/>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(2)供应商具备1名有鉴定及沟通能力较强的车辆鉴定项目负责人，负责与采购人办案民警对接日常案件信息，回复采购人办案过程中的鉴定相关咨询分析，并及时解决采购人案件鉴定过程中遇到的各种问题；该负责人需持有车辆鉴定全项范围的司法鉴定人证，即执业范围为:“痕迹(限交通事故痕迹物证)鉴定”或包含车辆技术安全技术状况鉴定、交通事故痕迹定、车辆速良迹物证综合鉴定:</w:t>
      </w:r>
      <w:r>
        <w:rPr>
          <w:rFonts w:hint="eastAsia" w:ascii="宋体" w:hAnsi="宋体" w:eastAsia="宋体" w:cs="宋体"/>
          <w:b/>
          <w:bCs/>
          <w:color w:val="auto"/>
          <w:kern w:val="2"/>
          <w:sz w:val="24"/>
          <w:szCs w:val="24"/>
          <w:lang w:val="en-US" w:eastAsia="zh-CN" w:bidi="ar-SA"/>
        </w:rPr>
        <w:t>(投标文件中提供人员&lt;&lt;司法鉴定人执业证&gt;&gt;)</w:t>
      </w:r>
    </w:p>
    <w:p w14:paraId="4E0C3F09">
      <w:pPr>
        <w:pStyle w:val="2"/>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default" w:ascii="宋体" w:hAnsi="宋体" w:eastAsia="宋体" w:cs="宋体"/>
          <w:b/>
          <w:bCs/>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4、依据公安机关办理行政、刑事案件程序规定，血液鉴定须由2名民警（至少1名正式民警）送检，特别是涉及敏感血样案件，更需要及时送检。因当前警力紧张，同时为确保检材及时送检、不受温度等外界因素影响，提高工作效率、节约经费、降低送检人员路途风险，供应商须承诺具备24小时全天候接收检材能力，承诺中标后签订合同前在采购人所在地区内设立合法合规血液检材收样点以便采购人提供接收血液检材及时进行检测。</w:t>
      </w:r>
      <w:r>
        <w:rPr>
          <w:rFonts w:hint="eastAsia" w:ascii="宋体" w:hAnsi="宋体" w:eastAsia="宋体" w:cs="宋体"/>
          <w:b/>
          <w:bCs/>
          <w:color w:val="auto"/>
          <w:kern w:val="2"/>
          <w:sz w:val="24"/>
          <w:szCs w:val="24"/>
          <w:lang w:val="en-US" w:eastAsia="zh-CN" w:bidi="ar-SA"/>
        </w:rPr>
        <w:t>(投标文件中提供承诺函，格式自拟)</w:t>
      </w:r>
    </w:p>
    <w:p w14:paraId="7BD1558E">
      <w:pPr>
        <w:pStyle w:val="2"/>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default" w:ascii="宋体" w:hAnsi="宋体" w:eastAsia="宋体" w:cs="宋体"/>
          <w:b/>
          <w:bCs/>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5、成交人应当保守在执业活动中知悉的国家秘密、商业秘密，不得泄露个人隐私。未经委托人的同意，不得向其他人或者组织提供与鉴定事项有关的信息，但法律、法规另有规定的除外。</w:t>
      </w:r>
      <w:r>
        <w:rPr>
          <w:rFonts w:hint="eastAsia" w:ascii="宋体" w:hAnsi="宋体" w:eastAsia="宋体" w:cs="宋体"/>
          <w:b/>
          <w:bCs/>
          <w:color w:val="auto"/>
          <w:kern w:val="2"/>
          <w:sz w:val="24"/>
          <w:szCs w:val="24"/>
          <w:lang w:val="en-US" w:eastAsia="zh-CN" w:bidi="ar-SA"/>
        </w:rPr>
        <w:t>(投标文件中提供承诺函，格式自拟)</w:t>
      </w:r>
    </w:p>
    <w:p w14:paraId="614A4A16">
      <w:pPr>
        <w:numPr>
          <w:ilvl w:val="0"/>
          <w:numId w:val="0"/>
        </w:numPr>
        <w:spacing w:line="360" w:lineRule="auto"/>
        <w:ind w:leftChars="0" w:firstLine="480" w:firstLineChars="200"/>
        <w:rPr>
          <w:rFonts w:hint="eastAsia" w:ascii="宋体" w:hAnsi="宋体" w:eastAsia="宋体" w:cs="宋体"/>
          <w:b/>
          <w:bCs/>
          <w:color w:val="auto"/>
          <w:sz w:val="24"/>
          <w:szCs w:val="24"/>
          <w:lang w:val="en-US" w:eastAsia="zh-CN"/>
        </w:rPr>
      </w:pPr>
      <w:r>
        <w:rPr>
          <w:rFonts w:hint="eastAsia" w:ascii="宋体" w:hAnsi="宋体" w:cs="宋体"/>
          <w:b/>
          <w:bCs/>
          <w:color w:val="auto"/>
          <w:sz w:val="24"/>
          <w:szCs w:val="24"/>
          <w:lang w:val="en-US" w:eastAsia="zh-CN"/>
        </w:rPr>
        <w:t>六</w:t>
      </w:r>
      <w:r>
        <w:rPr>
          <w:rFonts w:hint="eastAsia" w:ascii="宋体" w:hAnsi="宋体" w:eastAsia="宋体" w:cs="宋体"/>
          <w:b/>
          <w:bCs/>
          <w:color w:val="auto"/>
          <w:sz w:val="24"/>
          <w:szCs w:val="24"/>
          <w:lang w:val="en-US" w:eastAsia="zh-CN"/>
        </w:rPr>
        <w:t>、商务条款</w:t>
      </w:r>
    </w:p>
    <w:p w14:paraId="008FE5EC">
      <w:pPr>
        <w:numPr>
          <w:ilvl w:val="0"/>
          <w:numId w:val="0"/>
        </w:numPr>
        <w:spacing w:line="360" w:lineRule="auto"/>
        <w:ind w:firstLine="480" w:firstLineChars="200"/>
        <w:rPr>
          <w:rFonts w:hint="eastAsia" w:ascii="宋体" w:hAnsi="宋体" w:eastAsia="宋体" w:cs="宋体"/>
          <w:snapToGrid w:val="0"/>
          <w:color w:val="auto"/>
          <w:kern w:val="2"/>
          <w:sz w:val="24"/>
          <w:szCs w:val="24"/>
          <w:lang w:val="en-US" w:eastAsia="zh-CN" w:bidi="ar-SA"/>
        </w:rPr>
      </w:pPr>
      <w:r>
        <w:rPr>
          <w:rFonts w:hint="eastAsia" w:ascii="宋体" w:hAnsi="宋体" w:eastAsia="宋体" w:cs="宋体"/>
          <w:snapToGrid w:val="0"/>
          <w:color w:val="auto"/>
          <w:kern w:val="2"/>
          <w:sz w:val="24"/>
          <w:szCs w:val="24"/>
          <w:lang w:val="en-US" w:eastAsia="zh-CN" w:bidi="ar-SA"/>
        </w:rPr>
        <w:t xml:space="preserve">（一）付款方式：鉴定费以季结算，下季度第一个月的10日前甲方将季鉴定费的80%打入乙方指定帐户，20%部份当年的最后一个季度结清，乙方必须开具正规发票。  </w:t>
      </w:r>
    </w:p>
    <w:p w14:paraId="0FA5C588">
      <w:pPr>
        <w:numPr>
          <w:ilvl w:val="0"/>
          <w:numId w:val="0"/>
        </w:numPr>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（二）服务地点：采购人指定地点。</w:t>
      </w:r>
    </w:p>
    <w:p w14:paraId="54CB3951">
      <w:pPr>
        <w:numPr>
          <w:ilvl w:val="0"/>
          <w:numId w:val="0"/>
        </w:numPr>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（三）服务时间；签订合同后</w:t>
      </w:r>
      <w:bookmarkEnd w:id="1"/>
      <w:bookmarkEnd w:id="2"/>
      <w:bookmarkEnd w:id="3"/>
      <w:bookmarkEnd w:id="4"/>
      <w:bookmarkEnd w:id="5"/>
      <w:bookmarkEnd w:id="6"/>
      <w:r>
        <w:rPr>
          <w:rFonts w:hint="eastAsia" w:ascii="宋体" w:hAnsi="宋体" w:eastAsia="宋体" w:cs="宋体"/>
          <w:color w:val="auto"/>
          <w:sz w:val="24"/>
          <w:szCs w:val="24"/>
          <w:lang w:val="en-US" w:eastAsia="zh-CN"/>
        </w:rPr>
        <w:t>二年</w:t>
      </w:r>
      <w:r>
        <w:rPr>
          <w:rFonts w:hint="eastAsia" w:ascii="宋体" w:hAnsi="宋体" w:cs="宋体"/>
          <w:color w:val="auto"/>
          <w:sz w:val="24"/>
          <w:szCs w:val="24"/>
          <w:lang w:val="en-US" w:eastAsia="zh-CN"/>
        </w:rPr>
        <w:t>内</w:t>
      </w:r>
      <w:r>
        <w:rPr>
          <w:rFonts w:hint="eastAsia" w:ascii="宋体" w:hAnsi="宋体" w:eastAsia="宋体" w:cs="宋体"/>
          <w:color w:val="auto"/>
          <w:sz w:val="24"/>
          <w:szCs w:val="24"/>
          <w:lang w:val="en-US" w:eastAsia="zh-CN"/>
        </w:rPr>
        <w:t>。</w:t>
      </w:r>
    </w:p>
    <w:p w14:paraId="3DEC5E6F">
      <w:pPr>
        <w:numPr>
          <w:ilvl w:val="0"/>
          <w:numId w:val="0"/>
        </w:numPr>
        <w:spacing w:line="360" w:lineRule="auto"/>
        <w:ind w:firstLine="480" w:firstLineChars="200"/>
        <w:rPr>
          <w:rStyle w:val="8"/>
          <w:rFonts w:hint="eastAsia" w:ascii="宋体" w:hAnsi="宋体" w:eastAsia="宋体" w:cs="宋体"/>
          <w:b w:val="0"/>
          <w:bCs/>
          <w:color w:val="auto"/>
          <w:kern w:val="2"/>
          <w:sz w:val="24"/>
          <w:szCs w:val="24"/>
          <w:lang w:val="en-US" w:eastAsia="zh-CN" w:bidi="ar-SA"/>
        </w:rPr>
      </w:pPr>
      <w:r>
        <w:rPr>
          <w:rStyle w:val="8"/>
          <w:rFonts w:hint="eastAsia" w:ascii="宋体" w:hAnsi="宋体" w:cs="宋体"/>
          <w:b/>
          <w:bCs w:val="0"/>
          <w:color w:val="auto"/>
          <w:kern w:val="2"/>
          <w:sz w:val="24"/>
          <w:szCs w:val="24"/>
          <w:lang w:val="en-US" w:eastAsia="zh-CN" w:bidi="ar-SA"/>
        </w:rPr>
        <w:t>（四）</w:t>
      </w:r>
      <w:r>
        <w:rPr>
          <w:rStyle w:val="8"/>
          <w:rFonts w:hint="eastAsia" w:ascii="宋体" w:hAnsi="宋体" w:eastAsia="宋体" w:cs="宋体"/>
          <w:b/>
          <w:bCs w:val="0"/>
          <w:color w:val="auto"/>
          <w:kern w:val="2"/>
          <w:sz w:val="24"/>
          <w:szCs w:val="24"/>
          <w:lang w:val="en-US" w:eastAsia="zh-CN" w:bidi="ar-SA"/>
        </w:rPr>
        <w:t>特殊约定：</w:t>
      </w:r>
      <w:r>
        <w:rPr>
          <w:rFonts w:hint="eastAsia" w:ascii="宋体" w:hAnsi="宋体" w:eastAsia="宋体" w:cs="宋体"/>
          <w:b/>
          <w:bCs/>
          <w:color w:val="auto"/>
          <w:spacing w:val="0"/>
          <w:position w:val="0"/>
          <w:sz w:val="24"/>
          <w:szCs w:val="24"/>
          <w:lang w:eastAsia="zh-CN"/>
        </w:rPr>
        <w:t>由于以上</w:t>
      </w:r>
      <w:r>
        <w:rPr>
          <w:rFonts w:hint="eastAsia" w:ascii="宋体" w:hAnsi="宋体" w:eastAsia="宋体" w:cs="宋体"/>
          <w:b/>
          <w:bCs/>
          <w:color w:val="auto"/>
          <w:spacing w:val="0"/>
          <w:position w:val="0"/>
          <w:sz w:val="24"/>
          <w:szCs w:val="24"/>
          <w:lang w:val="en-US" w:eastAsia="zh-CN"/>
        </w:rPr>
        <w:t>14项</w:t>
      </w:r>
      <w:r>
        <w:rPr>
          <w:rFonts w:hint="eastAsia" w:ascii="宋体" w:hAnsi="宋体" w:eastAsia="宋体" w:cs="宋体"/>
          <w:b/>
          <w:bCs/>
          <w:color w:val="auto"/>
          <w:spacing w:val="0"/>
          <w:position w:val="0"/>
          <w:sz w:val="24"/>
          <w:szCs w:val="24"/>
          <w:lang w:eastAsia="zh-CN"/>
        </w:rPr>
        <w:t>司法鉴定服务种类服务的数量存在不确定性，本项目是投标人所报的分项单根据以往的数据预估的数量。投标人应承诺</w:t>
      </w:r>
      <w:r>
        <w:rPr>
          <w:rStyle w:val="8"/>
          <w:rFonts w:hint="eastAsia" w:ascii="宋体" w:hAnsi="宋体" w:eastAsia="宋体" w:cs="宋体"/>
          <w:b/>
          <w:bCs/>
          <w:color w:val="auto"/>
          <w:kern w:val="2"/>
          <w:sz w:val="24"/>
          <w:szCs w:val="24"/>
          <w:lang w:val="en-US" w:eastAsia="zh-CN" w:bidi="ar-SA"/>
        </w:rPr>
        <w:t>全年鉴定费用最高不超过中标价，超过中标价，则按中标价支付全年司法鉴定费；若达不到中标价，则按中标价的90%计算支付</w:t>
      </w:r>
      <w:r>
        <w:rPr>
          <w:rFonts w:hint="eastAsia" w:ascii="宋体" w:hAnsi="宋体" w:eastAsia="宋体" w:cs="宋体"/>
          <w:b/>
          <w:bCs/>
          <w:snapToGrid w:val="0"/>
          <w:color w:val="000000"/>
          <w:kern w:val="0"/>
          <w:sz w:val="24"/>
          <w:szCs w:val="24"/>
          <w:lang w:val="en-US" w:eastAsia="zh-CN" w:bidi="ar"/>
        </w:rPr>
        <w:t>（投标文件中提供承诺</w:t>
      </w:r>
      <w:r>
        <w:rPr>
          <w:rFonts w:hint="eastAsia" w:ascii="宋体" w:hAnsi="宋体" w:eastAsia="宋体" w:cs="宋体"/>
          <w:b/>
          <w:bCs/>
          <w:color w:val="auto"/>
          <w:spacing w:val="0"/>
          <w:position w:val="0"/>
          <w:sz w:val="24"/>
          <w:szCs w:val="24"/>
          <w:lang w:val="en-US" w:eastAsia="zh-CN"/>
        </w:rPr>
        <w:t>函，格式自拟</w:t>
      </w:r>
      <w:r>
        <w:rPr>
          <w:rFonts w:hint="eastAsia" w:ascii="宋体" w:hAnsi="宋体" w:eastAsia="宋体" w:cs="宋体"/>
          <w:b/>
          <w:bCs/>
          <w:snapToGrid w:val="0"/>
          <w:color w:val="000000"/>
          <w:kern w:val="0"/>
          <w:sz w:val="24"/>
          <w:szCs w:val="24"/>
          <w:lang w:val="en-US" w:eastAsia="zh-CN" w:bidi="ar"/>
        </w:rPr>
        <w:t>）</w:t>
      </w:r>
      <w:r>
        <w:rPr>
          <w:rStyle w:val="8"/>
          <w:rFonts w:hint="eastAsia" w:ascii="宋体" w:hAnsi="宋体" w:eastAsia="宋体" w:cs="宋体"/>
          <w:b w:val="0"/>
          <w:bCs/>
          <w:color w:val="auto"/>
          <w:kern w:val="2"/>
          <w:sz w:val="24"/>
          <w:szCs w:val="24"/>
          <w:lang w:val="en-US" w:eastAsia="zh-CN" w:bidi="ar-SA"/>
        </w:rPr>
        <w:t>。</w:t>
      </w:r>
    </w:p>
    <w:p w14:paraId="5AFCF36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AB4FE3"/>
    <w:rsid w:val="1CAB4F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8"/>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 w:type="character" w:customStyle="1" w:styleId="8">
    <w:name w:val="NormalCharacter"/>
    <w:link w:val="1"/>
    <w:qFormat/>
    <w:uiPriority w:val="0"/>
    <w:rPr>
      <w:rFonts w:ascii="Arial" w:hAnsi="Arial" w:eastAsia="Arial" w:cs="Arial"/>
      <w:snapToGrid w:val="0"/>
      <w:color w:val="000000"/>
      <w:sz w:val="21"/>
      <w:szCs w:val="21"/>
      <w:lang w:val="en-US" w:eastAsia="en-US" w:bidi="ar-SA"/>
    </w:rPr>
  </w:style>
  <w:style w:type="paragraph" w:customStyle="1" w:styleId="9">
    <w:name w:val="样式 10 磅"/>
    <w:qFormat/>
    <w:uiPriority w:val="0"/>
    <w:pPr>
      <w:widowControl w:val="0"/>
      <w:jc w:val="both"/>
    </w:pPr>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2026-04-03T05:05:00Z</dcterms:created>
  <dc:creator>yang</dc:creator>
  <cp:lastModifiedBy>yang</cp:lastModifiedBy>
  <dcterms:modified xsi:type="dcterms:W3CDTF">2026-04-03T05:05:27Z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7DB78058DF4F40EF9C9BFC28685BDD9D_11</vt:lpwstr>
  </property>
  <property fmtid="{D5CDD505-2E9C-101B-9397-08002B2CF9AE}" pid="4" name="KSOTemplateDocerSaveRecord">
    <vt:lpwstr>eyJoZGlkIjoiNjgyZjNmNWZlMGZkY2M3ZmQ0YjNmMTU3OTQ2ZTBhZWUiLCJ1c2VySWQiOiIxNzEwMTIwODQ3In0=</vt:lpwstr>
  </property>
</Properties>
</file>