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6D6101">
      <w:pPr>
        <w:numPr>
          <w:ilvl w:val="0"/>
          <w:numId w:val="1"/>
        </w:numPr>
        <w:spacing w:line="360" w:lineRule="auto"/>
        <w:rPr>
          <w:rFonts w:hint="eastAsia" w:ascii="宋体" w:hAnsi="宋体" w:eastAsia="宋体" w:cs="宋体"/>
          <w:spacing w:val="-1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lang w:eastAsia="zh-CN"/>
        </w:rPr>
        <w:t>技术要求：</w:t>
      </w:r>
    </w:p>
    <w:p w14:paraId="7D3BAB2C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1、总体技术要求：</w:t>
      </w:r>
    </w:p>
    <w:p w14:paraId="7A14FDBE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（1）产品质量要求。所投产品必须保证为原厂正品，一旦发现投标人使用非原厂正品，采购人有权解除合同，并要求赔偿相关损失。</w:t>
      </w:r>
    </w:p>
    <w:p w14:paraId="7F386268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（2）所投产品必须满足采购需求的技术参数要求，不允许低于采购需求技术参数。</w:t>
      </w:r>
    </w:p>
    <w:p w14:paraId="49302EAD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（3）所投产品必须是国产化产品，符合自主可控要求。</w:t>
      </w:r>
    </w:p>
    <w:p w14:paraId="7C3957CA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（4）产品需与原有边界安全接入系统进行兼容，需与原承建厂商协调的，由采购人提供协助。</w:t>
      </w:r>
    </w:p>
    <w:p w14:paraId="131EAA4C">
      <w:pPr>
        <w:pStyle w:val="6"/>
        <w:spacing w:line="360" w:lineRule="auto"/>
        <w:ind w:firstLine="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2、详细技术参数要求：</w:t>
      </w:r>
    </w:p>
    <w:tbl>
      <w:tblPr>
        <w:tblStyle w:val="4"/>
        <w:tblW w:w="97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1445"/>
        <w:gridCol w:w="7610"/>
      </w:tblGrid>
      <w:tr w14:paraId="34DFB2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noWrap w:val="0"/>
            <w:vAlign w:val="center"/>
          </w:tcPr>
          <w:p w14:paraId="7C67569F">
            <w:pPr>
              <w:pStyle w:val="7"/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/>
                <w:b/>
                <w:sz w:val="24"/>
                <w:szCs w:val="24"/>
              </w:rPr>
              <w:t>序号</w:t>
            </w:r>
          </w:p>
        </w:tc>
        <w:tc>
          <w:tcPr>
            <w:tcW w:w="1445" w:type="dxa"/>
            <w:noWrap w:val="0"/>
            <w:vAlign w:val="center"/>
          </w:tcPr>
          <w:p w14:paraId="18FF6E55">
            <w:pPr>
              <w:pStyle w:val="7"/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b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b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7610" w:type="dxa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6B12B7">
            <w:pPr>
              <w:pStyle w:val="7"/>
              <w:adjustRightInd w:val="0"/>
              <w:snapToGrid w:val="0"/>
              <w:spacing w:line="360" w:lineRule="auto"/>
              <w:jc w:val="center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b/>
                <w:sz w:val="24"/>
                <w:szCs w:val="24"/>
                <w:lang w:eastAsia="zh-CN"/>
              </w:rPr>
              <w:t>主要功能及性能指标</w:t>
            </w:r>
          </w:p>
        </w:tc>
      </w:tr>
      <w:tr w14:paraId="66C82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noWrap w:val="0"/>
            <w:vAlign w:val="center"/>
          </w:tcPr>
          <w:p w14:paraId="52757EE1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1445" w:type="dxa"/>
            <w:noWrap w:val="0"/>
            <w:vAlign w:val="center"/>
          </w:tcPr>
          <w:p w14:paraId="2B57929F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边界安全访问控制网关</w:t>
            </w:r>
          </w:p>
        </w:tc>
        <w:tc>
          <w:tcPr>
            <w:tcW w:w="7610" w:type="dxa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8B8538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1、2U设备，≥4个万兆光口，≥4个万兆多模光纤模块，≥2个千兆网口，吞吐量≥6Gbps，每秒新建连接数≥10000，最大并发连接数≥10000；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2、由网关和客户端组成，支持基于证书认证的访问控制功能；客户端提供身份认证、证书管理等功能；网关支持串联模式部署，提供策略配置、资源管理、安全审计等功能。用户通过数字证书认证后才能访问受控应用资源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3、用户身份认证：与公安数字证书认证体系集成，支持证书链认证，支持证书撤销列表（CRL）下载、验证，保证接入用户身份的合法性；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4、设备认证：依据设备注册登记信息对通过专线、ADSL拨号等各种线路方式接入的终端设备进行认证，保证接入设备的合法性；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5、支持与公安指纹数字证书的认证对接；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6、权限管理：可以根据边界接入的需要，设置角色，指定相应的资源访问权限，防止非授权访问和越权访问；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7、访问控制：基于角色、权限分配，设置细粒度访问控制策略，达到非法用户不能访问，合法用户不能越权访问的目的；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8、传输保护：与客户端之间使用SSL协议对通信过程进行加密和完整性保护，保证数据传输的安全性；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9、监控审计：对接入用户的访问过程进行详细的记录，并实时报送给集中监控与审计系统，保证用户访问过程可控、可查、可追溯；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10、具备多网阻断功能，能保证客户端与平台连接时断开其他网络。</w:t>
            </w:r>
          </w:p>
        </w:tc>
      </w:tr>
      <w:tr w14:paraId="61013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4" w:type="dxa"/>
            <w:noWrap w:val="0"/>
            <w:vAlign w:val="center"/>
          </w:tcPr>
          <w:p w14:paraId="5C7B75F0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1445" w:type="dxa"/>
            <w:noWrap w:val="0"/>
            <w:vAlign w:val="center"/>
          </w:tcPr>
          <w:p w14:paraId="33C22D62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网络数据安全交换系统</w:t>
            </w:r>
          </w:p>
        </w:tc>
        <w:tc>
          <w:tcPr>
            <w:tcW w:w="7610" w:type="dxa"/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922CC5">
            <w:pPr>
              <w:pStyle w:val="7"/>
              <w:adjustRightInd w:val="0"/>
              <w:snapToGrid w:val="0"/>
              <w:spacing w:line="360" w:lineRule="auto"/>
              <w:rPr>
                <w:rFonts w:ascii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cs="宋体"/>
                <w:sz w:val="24"/>
                <w:szCs w:val="24"/>
                <w:lang w:eastAsia="zh-CN"/>
              </w:rPr>
              <w:t>1、由前置系统和后置系统2台2U物理设备组成，数据库数据增量同步传输速率：≥ 10000条/秒；FTP文件（文件大小为1MB）同步传输平均传输速率：≥6Gbps，FTP文件（文件大小为1KB）同步传输速率：≥5000个/秒（直连）；支持数据库数据映射最大字段数：≥256个；单个最大数据文件：≥30GB；API接口服务能力：≥10000个/秒（消息大小10KB）；kafka消息服务能力：≥100000个/秒（消息大小1KB）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2、支持基于数字证书、用户名/密码方式的身份认证机制，用于核心设备访问控制；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3、文件交换功能：支持主动访问、身份鉴别等多种安全模式；支持多种文件传输协议，包括可定制的非标准通讯协议；支持内容过滤、断点续传及优先级策略设置；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4、支持视图交换，支持GA/T1400.4-2017接口协议规范；支持公共接口、采集接口、级联接口、数据服务接口；支持分析接口；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5、支持数据库交换，支持行业内主流数据库；支持基于数据库的同库同构数据的双向传输交换；支持针对传输数据的内容过滤、内容替换功能；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6、支持Kafka交换，支持Kafka消息双向传输交换；支持Kafka多消费者和多生产者模式；支持Kafka用户组；支持Kafka集群；支持Kerberos认证；</w:t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br w:type="textWrapping"/>
            </w:r>
            <w:r>
              <w:rPr>
                <w:rFonts w:ascii="宋体" w:hAnsi="宋体" w:cs="宋体"/>
                <w:sz w:val="24"/>
                <w:szCs w:val="24"/>
                <w:lang w:eastAsia="zh-CN"/>
              </w:rPr>
              <w:t>7、支持双向API业务处理，支持HTTP、SOAP、WSDL协议，如SOAP1.1/1.2、WSDL2.0等。</w:t>
            </w:r>
            <w:bookmarkStart w:id="0" w:name="_GoBack"/>
            <w:bookmarkEnd w:id="0"/>
          </w:p>
        </w:tc>
      </w:tr>
    </w:tbl>
    <w:p w14:paraId="3D83789E"/>
    <w:p w14:paraId="1C39E59A">
      <w:pPr>
        <w:pStyle w:val="2"/>
      </w:pPr>
    </w:p>
    <w:p w14:paraId="65142BCF">
      <w:pPr>
        <w:pStyle w:val="3"/>
        <w:jc w:val="center"/>
        <w:rPr>
          <w:rFonts w:hint="default" w:eastAsia="仿宋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等......详见招标文件。</w:t>
      </w:r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CFEEE5"/>
    <w:multiLevelType w:val="singleLevel"/>
    <w:tmpl w:val="D3CFEE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9D48AF"/>
    <w:rsid w:val="359D4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6">
    <w:name w:val="List Paragraph"/>
    <w:basedOn w:val="1"/>
    <w:qFormat/>
    <w:uiPriority w:val="34"/>
    <w:pPr>
      <w:widowControl w:val="0"/>
      <w:kinsoku/>
      <w:autoSpaceDE/>
      <w:autoSpaceDN/>
      <w:adjustRightInd/>
      <w:snapToGrid/>
      <w:spacing w:line="300" w:lineRule="exact"/>
      <w:ind w:firstLine="420"/>
      <w:jc w:val="both"/>
      <w:textAlignment w:val="auto"/>
    </w:pPr>
    <w:rPr>
      <w:rFonts w:ascii="Times New Roman" w:hAnsi="Times New Roman" w:eastAsia="Times New Roman" w:cs="Times New Roman"/>
      <w:snapToGrid/>
      <w:color w:val="auto"/>
      <w:kern w:val="2"/>
      <w:szCs w:val="22"/>
      <w:lang w:eastAsia="zh-CN"/>
    </w:rPr>
  </w:style>
  <w:style w:type="paragraph" w:customStyle="1" w:styleId="7">
    <w:name w:val="null3"/>
    <w:qFormat/>
    <w:uiPriority w:val="0"/>
    <w:rPr>
      <w:rFonts w:hint="eastAsia" w:ascii="Calibri" w:hAnsi="Calibri" w:eastAsia="宋体" w:cs="Times New Roman"/>
      <w:lang w:val="en-US" w:eastAsia="zh-Han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2026-04-22T07:19:00Z</dcterms:created>
  <dc:creator>123</dc:creator>
  <cp:lastModifiedBy>123</cp:lastModifiedBy>
  <dcterms:modified xsi:type="dcterms:W3CDTF">2026-04-22T07:20:22Z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AE759E0FAE9D4DCCBD08CFFB933F62C3_11</vt:lpwstr>
  </property>
  <property fmtid="{D5CDD505-2E9C-101B-9397-08002B2CF9AE}" pid="4" name="KSOTemplateDocerSaveRecord">
    <vt:lpwstr>eyJoZGlkIjoiMjEyOTJiNTVhZDI0MmM2NGQ0MjIwOWMzYWVkZmNiMDAiLCJ1c2VySWQiOiIyNzc5NDI4MjUifQ==</vt:lpwstr>
  </property>
</Properties>
</file>