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1E2C5C3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ascii="宋体" w:hAnsi="宋体" w:eastAsia="宋体" w:cs="宋体"/>
          <w:color w:val="auto"/>
          <w:spacing w:val="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0" w:name="_Toc19654"/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一、服务</w:t>
      </w:r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需求</w:t>
      </w:r>
      <w:bookmarkEnd w:id="0"/>
    </w:p>
    <w:p w14:paraId="400FA9B4">
      <w:pPr>
        <w:pageBreakBefore w:val="0"/>
        <w:widowControl w:val="0"/>
        <w:wordWrap/>
        <w:overflowPunct/>
        <w:topLinePunct w:val="0"/>
        <w:bidi w:val="0"/>
        <w:spacing w:line="242" w:lineRule="auto"/>
        <w:jc w:val="center"/>
        <w:rPr>
          <w:color w:val="auto"/>
          <w:spacing w:val="0"/>
          <w:position w:val="0"/>
        </w:rPr>
      </w:pPr>
    </w:p>
    <w:p w14:paraId="383A0A79">
      <w:pPr>
        <w:widowControl/>
        <w:spacing w:line="360" w:lineRule="auto"/>
        <w:jc w:val="left"/>
        <w:rPr>
          <w:rFonts w:hint="eastAsia" w:ascii="宋体" w:hAnsi="宋体" w:eastAsia="宋体" w:cs="宋体"/>
          <w:b/>
          <w:bCs/>
          <w:color w:val="auto"/>
          <w:kern w:val="0"/>
          <w:sz w:val="24"/>
          <w:lang w:val="en-US" w:eastAsia="zh-CN" w:bidi="ar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lang w:eastAsia="zh-CN" w:bidi="ar"/>
        </w:rPr>
        <w:t>（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lang w:val="en-US" w:eastAsia="zh-CN" w:bidi="ar"/>
        </w:rPr>
        <w:t>一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lang w:eastAsia="zh-CN" w:bidi="ar"/>
        </w:rPr>
        <w:t>）</w:t>
      </w:r>
      <w:r>
        <w:rPr>
          <w:rFonts w:hint="eastAsia" w:ascii="宋体" w:hAnsi="宋体" w:cs="宋体"/>
          <w:b/>
          <w:bCs/>
          <w:color w:val="auto"/>
          <w:kern w:val="0"/>
          <w:sz w:val="24"/>
          <w:lang w:bidi="ar"/>
        </w:rPr>
        <w:t>维保</w:t>
      </w:r>
      <w:r>
        <w:rPr>
          <w:rFonts w:hint="eastAsia" w:ascii="宋体" w:hAnsi="宋体" w:eastAsia="宋体" w:cs="宋体"/>
          <w:b/>
          <w:bCs/>
          <w:color w:val="auto"/>
          <w:kern w:val="0"/>
          <w:sz w:val="24"/>
          <w:lang w:val="en-US" w:eastAsia="zh-CN" w:bidi="ar"/>
        </w:rPr>
        <w:t>设备</w:t>
      </w:r>
    </w:p>
    <w:tbl>
      <w:tblPr>
        <w:tblStyle w:val="3"/>
        <w:tblW w:w="8970" w:type="dxa"/>
        <w:tblInd w:w="-20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2092"/>
        <w:gridCol w:w="1184"/>
        <w:gridCol w:w="2040"/>
        <w:gridCol w:w="1938"/>
        <w:gridCol w:w="1020"/>
      </w:tblGrid>
      <w:tr w14:paraId="59F2B3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696" w:type="dxa"/>
            <w:noWrap w:val="0"/>
            <w:vAlign w:val="center"/>
          </w:tcPr>
          <w:p w14:paraId="61DC16E8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2092" w:type="dxa"/>
            <w:noWrap w:val="0"/>
            <w:vAlign w:val="center"/>
          </w:tcPr>
          <w:p w14:paraId="56D8880D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设备名称</w:t>
            </w:r>
          </w:p>
        </w:tc>
        <w:tc>
          <w:tcPr>
            <w:tcW w:w="1184" w:type="dxa"/>
            <w:noWrap w:val="0"/>
            <w:vAlign w:val="center"/>
          </w:tcPr>
          <w:p w14:paraId="54A63E46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品牌</w:t>
            </w:r>
          </w:p>
        </w:tc>
        <w:tc>
          <w:tcPr>
            <w:tcW w:w="2040" w:type="dxa"/>
            <w:noWrap w:val="0"/>
            <w:vAlign w:val="center"/>
          </w:tcPr>
          <w:p w14:paraId="7432D979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型号</w:t>
            </w:r>
          </w:p>
        </w:tc>
        <w:tc>
          <w:tcPr>
            <w:tcW w:w="1938" w:type="dxa"/>
            <w:noWrap w:val="0"/>
            <w:vAlign w:val="center"/>
          </w:tcPr>
          <w:p w14:paraId="6B5DC049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序列号</w:t>
            </w:r>
          </w:p>
        </w:tc>
        <w:tc>
          <w:tcPr>
            <w:tcW w:w="1020" w:type="dxa"/>
            <w:noWrap w:val="0"/>
            <w:vAlign w:val="center"/>
          </w:tcPr>
          <w:p w14:paraId="786E0341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数量</w:t>
            </w:r>
          </w:p>
        </w:tc>
      </w:tr>
      <w:tr w14:paraId="56738F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696" w:type="dxa"/>
            <w:noWrap w:val="0"/>
            <w:vAlign w:val="center"/>
          </w:tcPr>
          <w:p w14:paraId="04011E28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1</w:t>
            </w:r>
          </w:p>
        </w:tc>
        <w:tc>
          <w:tcPr>
            <w:tcW w:w="2092" w:type="dxa"/>
            <w:noWrap w:val="0"/>
            <w:vAlign w:val="center"/>
          </w:tcPr>
          <w:p w14:paraId="54066F7B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256排CT</w:t>
            </w:r>
          </w:p>
        </w:tc>
        <w:tc>
          <w:tcPr>
            <w:tcW w:w="1184" w:type="dxa"/>
            <w:noWrap w:val="0"/>
            <w:vAlign w:val="center"/>
          </w:tcPr>
          <w:p w14:paraId="67BB6315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GE</w:t>
            </w:r>
          </w:p>
        </w:tc>
        <w:tc>
          <w:tcPr>
            <w:tcW w:w="2040" w:type="dxa"/>
            <w:noWrap w:val="0"/>
            <w:vAlign w:val="center"/>
          </w:tcPr>
          <w:p w14:paraId="32EFA05D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Revoiution CT</w:t>
            </w:r>
          </w:p>
        </w:tc>
        <w:tc>
          <w:tcPr>
            <w:tcW w:w="1938" w:type="dxa"/>
            <w:noWrap w:val="0"/>
            <w:vAlign w:val="center"/>
          </w:tcPr>
          <w:p w14:paraId="74648A07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CBFTG2400016HM</w:t>
            </w:r>
          </w:p>
        </w:tc>
        <w:tc>
          <w:tcPr>
            <w:tcW w:w="1020" w:type="dxa"/>
            <w:noWrap w:val="0"/>
            <w:vAlign w:val="center"/>
          </w:tcPr>
          <w:p w14:paraId="4E28C348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1台</w:t>
            </w:r>
          </w:p>
        </w:tc>
      </w:tr>
      <w:tr w14:paraId="5B7987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696" w:type="dxa"/>
            <w:noWrap w:val="0"/>
            <w:vAlign w:val="center"/>
          </w:tcPr>
          <w:p w14:paraId="381DAD90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2</w:t>
            </w:r>
          </w:p>
        </w:tc>
        <w:tc>
          <w:tcPr>
            <w:tcW w:w="2092" w:type="dxa"/>
            <w:noWrap w:val="0"/>
            <w:vAlign w:val="center"/>
          </w:tcPr>
          <w:p w14:paraId="797D505E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3.0T磁共振</w:t>
            </w:r>
          </w:p>
        </w:tc>
        <w:tc>
          <w:tcPr>
            <w:tcW w:w="1184" w:type="dxa"/>
            <w:noWrap w:val="0"/>
            <w:vAlign w:val="center"/>
          </w:tcPr>
          <w:p w14:paraId="5C51DCCA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飞利浦</w:t>
            </w:r>
          </w:p>
        </w:tc>
        <w:tc>
          <w:tcPr>
            <w:tcW w:w="2040" w:type="dxa"/>
            <w:noWrap w:val="0"/>
            <w:vAlign w:val="center"/>
          </w:tcPr>
          <w:p w14:paraId="51AFA384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lngenia</w:t>
            </w:r>
          </w:p>
          <w:p w14:paraId="13048924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Elition X</w:t>
            </w:r>
          </w:p>
        </w:tc>
        <w:tc>
          <w:tcPr>
            <w:tcW w:w="1938" w:type="dxa"/>
            <w:noWrap w:val="0"/>
            <w:vAlign w:val="center"/>
          </w:tcPr>
          <w:p w14:paraId="34843632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26513</w:t>
            </w:r>
          </w:p>
        </w:tc>
        <w:tc>
          <w:tcPr>
            <w:tcW w:w="1020" w:type="dxa"/>
            <w:noWrap w:val="0"/>
            <w:vAlign w:val="center"/>
          </w:tcPr>
          <w:p w14:paraId="3886DBD3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1台</w:t>
            </w:r>
          </w:p>
        </w:tc>
      </w:tr>
      <w:tr w14:paraId="7E1498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696" w:type="dxa"/>
            <w:noWrap w:val="0"/>
            <w:vAlign w:val="center"/>
          </w:tcPr>
          <w:p w14:paraId="686A0CFD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3</w:t>
            </w:r>
          </w:p>
        </w:tc>
        <w:tc>
          <w:tcPr>
            <w:tcW w:w="2092" w:type="dxa"/>
            <w:noWrap w:val="0"/>
            <w:vAlign w:val="center"/>
          </w:tcPr>
          <w:p w14:paraId="5CDAD6FE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DSA</w:t>
            </w:r>
          </w:p>
        </w:tc>
        <w:tc>
          <w:tcPr>
            <w:tcW w:w="1184" w:type="dxa"/>
            <w:noWrap w:val="0"/>
            <w:vAlign w:val="center"/>
          </w:tcPr>
          <w:p w14:paraId="0B4AF428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飞利浦</w:t>
            </w:r>
          </w:p>
        </w:tc>
        <w:tc>
          <w:tcPr>
            <w:tcW w:w="2040" w:type="dxa"/>
            <w:noWrap w:val="0"/>
            <w:vAlign w:val="center"/>
          </w:tcPr>
          <w:p w14:paraId="247F222E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Azurion 7 M20</w:t>
            </w:r>
          </w:p>
        </w:tc>
        <w:tc>
          <w:tcPr>
            <w:tcW w:w="1938" w:type="dxa"/>
            <w:noWrap w:val="0"/>
            <w:vAlign w:val="center"/>
          </w:tcPr>
          <w:p w14:paraId="6A15BD44">
            <w:pPr>
              <w:widowControl w:val="0"/>
              <w:spacing w:line="240" w:lineRule="auto"/>
              <w:jc w:val="center"/>
              <w:rPr>
                <w:rFonts w:hint="default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722079 703660</w:t>
            </w:r>
          </w:p>
        </w:tc>
        <w:tc>
          <w:tcPr>
            <w:tcW w:w="1020" w:type="dxa"/>
            <w:noWrap w:val="0"/>
            <w:vAlign w:val="center"/>
          </w:tcPr>
          <w:p w14:paraId="29965D8E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1台</w:t>
            </w:r>
          </w:p>
        </w:tc>
      </w:tr>
      <w:tr w14:paraId="20CC12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696" w:type="dxa"/>
            <w:shd w:val="clear" w:color="auto" w:fill="auto"/>
            <w:noWrap w:val="0"/>
            <w:vAlign w:val="center"/>
          </w:tcPr>
          <w:p w14:paraId="4FCE5EFD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4</w:t>
            </w:r>
          </w:p>
        </w:tc>
        <w:tc>
          <w:tcPr>
            <w:tcW w:w="2092" w:type="dxa"/>
            <w:shd w:val="clear" w:color="auto" w:fill="auto"/>
            <w:noWrap w:val="0"/>
            <w:vAlign w:val="center"/>
          </w:tcPr>
          <w:p w14:paraId="49B5A891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内镜清洗工作站可追溯管理系统</w:t>
            </w:r>
          </w:p>
        </w:tc>
        <w:tc>
          <w:tcPr>
            <w:tcW w:w="1184" w:type="dxa"/>
            <w:shd w:val="clear" w:color="auto" w:fill="auto"/>
            <w:noWrap w:val="0"/>
            <w:vAlign w:val="center"/>
          </w:tcPr>
          <w:p w14:paraId="1D6B2A5E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华系</w:t>
            </w:r>
          </w:p>
        </w:tc>
        <w:tc>
          <w:tcPr>
            <w:tcW w:w="2040" w:type="dxa"/>
            <w:shd w:val="clear" w:color="auto" w:fill="auto"/>
            <w:noWrap w:val="0"/>
            <w:vAlign w:val="center"/>
          </w:tcPr>
          <w:p w14:paraId="748DDA85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M1.00.0</w:t>
            </w:r>
          </w:p>
        </w:tc>
        <w:tc>
          <w:tcPr>
            <w:tcW w:w="1938" w:type="dxa"/>
            <w:shd w:val="clear" w:color="auto" w:fill="auto"/>
            <w:noWrap w:val="0"/>
            <w:vAlign w:val="center"/>
          </w:tcPr>
          <w:p w14:paraId="2F7DC826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sz w:val="24"/>
                <w:szCs w:val="24"/>
                <w:highlight w:val="none"/>
                <w:vertAlign w:val="baseli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highlight w:val="none"/>
                <w:vertAlign w:val="baseline"/>
                <w:lang w:val="en-US" w:eastAsia="zh-CN"/>
              </w:rPr>
              <w:t>/</w:t>
            </w:r>
          </w:p>
        </w:tc>
        <w:tc>
          <w:tcPr>
            <w:tcW w:w="1020" w:type="dxa"/>
            <w:shd w:val="clear" w:color="auto" w:fill="auto"/>
            <w:noWrap w:val="0"/>
            <w:vAlign w:val="center"/>
          </w:tcPr>
          <w:p w14:paraId="4D5E748F">
            <w:pPr>
              <w:widowControl w:val="0"/>
              <w:bidi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snapToGrid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highlight w:val="none"/>
                <w:lang w:val="en-US" w:eastAsia="zh-CN" w:bidi="ar-SA"/>
              </w:rPr>
              <w:t>1套</w:t>
            </w:r>
          </w:p>
        </w:tc>
      </w:tr>
      <w:tr w14:paraId="1A4E22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696" w:type="dxa"/>
            <w:noWrap w:val="0"/>
            <w:vAlign w:val="center"/>
          </w:tcPr>
          <w:p w14:paraId="21B101AD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5</w:t>
            </w:r>
          </w:p>
        </w:tc>
        <w:tc>
          <w:tcPr>
            <w:tcW w:w="2092" w:type="dxa"/>
            <w:noWrap w:val="0"/>
            <w:vAlign w:val="center"/>
          </w:tcPr>
          <w:p w14:paraId="3671D911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高压注射器</w:t>
            </w:r>
          </w:p>
        </w:tc>
        <w:tc>
          <w:tcPr>
            <w:tcW w:w="1184" w:type="dxa"/>
            <w:noWrap w:val="0"/>
            <w:vAlign w:val="center"/>
          </w:tcPr>
          <w:p w14:paraId="0DD03143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理博</w:t>
            </w:r>
          </w:p>
        </w:tc>
        <w:tc>
          <w:tcPr>
            <w:tcW w:w="2040" w:type="dxa"/>
            <w:noWrap w:val="0"/>
            <w:vAlign w:val="center"/>
          </w:tcPr>
          <w:p w14:paraId="36CED7F1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Angiomat</w:t>
            </w:r>
          </w:p>
          <w:p w14:paraId="0DF03E83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IIIumena</w:t>
            </w:r>
          </w:p>
        </w:tc>
        <w:tc>
          <w:tcPr>
            <w:tcW w:w="1938" w:type="dxa"/>
            <w:noWrap w:val="0"/>
            <w:vAlign w:val="center"/>
          </w:tcPr>
          <w:p w14:paraId="0FAB69C9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C0720C495C</w:t>
            </w:r>
          </w:p>
        </w:tc>
        <w:tc>
          <w:tcPr>
            <w:tcW w:w="1020" w:type="dxa"/>
            <w:noWrap w:val="0"/>
            <w:vAlign w:val="center"/>
          </w:tcPr>
          <w:p w14:paraId="51D12D06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1台</w:t>
            </w:r>
          </w:p>
        </w:tc>
      </w:tr>
      <w:tr w14:paraId="10E27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696" w:type="dxa"/>
            <w:noWrap w:val="0"/>
            <w:vAlign w:val="center"/>
          </w:tcPr>
          <w:p w14:paraId="7C0382ED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6</w:t>
            </w:r>
          </w:p>
        </w:tc>
        <w:tc>
          <w:tcPr>
            <w:tcW w:w="2092" w:type="dxa"/>
            <w:noWrap w:val="0"/>
            <w:vAlign w:val="center"/>
          </w:tcPr>
          <w:p w14:paraId="0746326A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磁共振高压造影注射器</w:t>
            </w:r>
          </w:p>
        </w:tc>
        <w:tc>
          <w:tcPr>
            <w:tcW w:w="1184" w:type="dxa"/>
            <w:noWrap w:val="0"/>
            <w:vAlign w:val="center"/>
          </w:tcPr>
          <w:p w14:paraId="04CE0C02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一星</w:t>
            </w:r>
          </w:p>
        </w:tc>
        <w:tc>
          <w:tcPr>
            <w:tcW w:w="2040" w:type="dxa"/>
            <w:noWrap w:val="0"/>
            <w:vAlign w:val="center"/>
          </w:tcPr>
          <w:p w14:paraId="35AC1704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MRI-S60</w:t>
            </w:r>
          </w:p>
        </w:tc>
        <w:tc>
          <w:tcPr>
            <w:tcW w:w="1938" w:type="dxa"/>
            <w:noWrap w:val="0"/>
            <w:vAlign w:val="center"/>
          </w:tcPr>
          <w:p w14:paraId="288F5A25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RSTAR</w:t>
            </w:r>
          </w:p>
        </w:tc>
        <w:tc>
          <w:tcPr>
            <w:tcW w:w="1020" w:type="dxa"/>
            <w:noWrap w:val="0"/>
            <w:vAlign w:val="center"/>
          </w:tcPr>
          <w:p w14:paraId="1FA354CF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1台</w:t>
            </w:r>
          </w:p>
        </w:tc>
      </w:tr>
      <w:tr w14:paraId="5884D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696" w:type="dxa"/>
            <w:noWrap w:val="0"/>
            <w:vAlign w:val="center"/>
          </w:tcPr>
          <w:p w14:paraId="793882C8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7</w:t>
            </w:r>
          </w:p>
        </w:tc>
        <w:tc>
          <w:tcPr>
            <w:tcW w:w="2092" w:type="dxa"/>
            <w:noWrap w:val="0"/>
            <w:vAlign w:val="center"/>
          </w:tcPr>
          <w:p w14:paraId="2DA10E9C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CT造影剂注射器</w:t>
            </w:r>
          </w:p>
        </w:tc>
        <w:tc>
          <w:tcPr>
            <w:tcW w:w="1184" w:type="dxa"/>
            <w:noWrap w:val="0"/>
            <w:vAlign w:val="center"/>
          </w:tcPr>
          <w:p w14:paraId="16F1A16B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欧利奇</w:t>
            </w:r>
          </w:p>
        </w:tc>
        <w:tc>
          <w:tcPr>
            <w:tcW w:w="2040" w:type="dxa"/>
            <w:noWrap w:val="0"/>
            <w:vAlign w:val="center"/>
          </w:tcPr>
          <w:p w14:paraId="5EC1E78B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CT motion</w:t>
            </w:r>
          </w:p>
        </w:tc>
        <w:tc>
          <w:tcPr>
            <w:tcW w:w="1938" w:type="dxa"/>
            <w:noWrap w:val="0"/>
            <w:vAlign w:val="center"/>
          </w:tcPr>
          <w:p w14:paraId="6694B09D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CTM23262299</w:t>
            </w:r>
          </w:p>
        </w:tc>
        <w:tc>
          <w:tcPr>
            <w:tcW w:w="1020" w:type="dxa"/>
            <w:noWrap w:val="0"/>
            <w:vAlign w:val="center"/>
          </w:tcPr>
          <w:p w14:paraId="1061C333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  <w:t>1台</w:t>
            </w:r>
          </w:p>
        </w:tc>
      </w:tr>
      <w:tr w14:paraId="12AF8B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atLeast"/>
        </w:trPr>
        <w:tc>
          <w:tcPr>
            <w:tcW w:w="8970" w:type="dxa"/>
            <w:gridSpan w:val="6"/>
            <w:noWrap w:val="0"/>
            <w:vAlign w:val="center"/>
          </w:tcPr>
          <w:p w14:paraId="3822E999">
            <w:pPr>
              <w:widowControl w:val="0"/>
              <w:spacing w:line="240" w:lineRule="auto"/>
              <w:jc w:val="center"/>
              <w:rPr>
                <w:rFonts w:hint="eastAsia" w:ascii="宋体" w:hAnsi="宋体" w:eastAsia="宋体" w:cs="宋体"/>
                <w:b w:val="0"/>
                <w:bCs w:val="0"/>
                <w:color w:val="auto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  <w:t>注：以上设备整机维修保养三年</w:t>
            </w:r>
          </w:p>
        </w:tc>
      </w:tr>
    </w:tbl>
    <w:p w14:paraId="0A6F43E5">
      <w:pPr>
        <w:spacing w:line="360" w:lineRule="auto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p w14:paraId="1A59859F">
      <w:pPr>
        <w:spacing w:line="360" w:lineRule="auto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一、256排CT</w:t>
      </w:r>
    </w:p>
    <w:p w14:paraId="0C8A8C5B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基本服务保障</w:t>
      </w:r>
    </w:p>
    <w:p w14:paraId="3C628B39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1.1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服务资质要求</w:t>
      </w:r>
    </w:p>
    <w:p w14:paraId="586DEB6E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1.1.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1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服务工程师为全职员工并接受过专业培训</w:t>
      </w:r>
    </w:p>
    <w:p w14:paraId="430B4D8D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1.1.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2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具备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7*24小时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客户服务专线电话</w:t>
      </w:r>
    </w:p>
    <w:p w14:paraId="53AC7F0F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1.1.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3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核心部件球管保障供应</w:t>
      </w:r>
    </w:p>
    <w:p w14:paraId="6109CD92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1.1.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4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核心部件球管到货时间≤48小时</w:t>
      </w:r>
    </w:p>
    <w:p w14:paraId="49CCC7A8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1.2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基础服务</w:t>
      </w:r>
    </w:p>
    <w:p w14:paraId="4C7EEE12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1.2.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1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服务期内不限次人工服务</w:t>
      </w:r>
    </w:p>
    <w:p w14:paraId="14B22483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1.2.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2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服务期内更换备件服务，不包含三方周边产品</w:t>
      </w:r>
    </w:p>
    <w:p w14:paraId="231016F3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1.2.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3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服务期内支持系统软件持续升级、补丁</w:t>
      </w:r>
    </w:p>
    <w:p w14:paraId="188C025C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服务技术要求</w:t>
      </w:r>
    </w:p>
    <w:p w14:paraId="2A400428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2.1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基本服务内容，远程和现场</w:t>
      </w:r>
    </w:p>
    <w:p w14:paraId="6E39264D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2.1.1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远程服务，包括对设备运行参数进行监测和分析，以及相应故障的远程处理</w:t>
      </w:r>
    </w:p>
    <w:p w14:paraId="0C18EB56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2.1.2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现场服务，包括现场的故障分析、判断和处理以及设备保养等</w:t>
      </w:r>
    </w:p>
    <w:p w14:paraId="2FB1B5D3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2.1.3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具备现场工程师、远程工程师、技术专家、临床专家、研发工程师的服务支持体系</w:t>
      </w:r>
    </w:p>
    <w:p w14:paraId="27E6AEE9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2.1.4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具备专业诊断程序，可以及时准确诊断设备故障</w:t>
      </w:r>
    </w:p>
    <w:p w14:paraId="685070AD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yellow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2.1.5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具备专业诊断工具，可以及时准确诊断设备故障，主要包括CT剂量测试仪、CatPhan600模体、水模和QA模、5269092电压测试模体、5735916高压检测工具和5717725无负载高压检测工具、5720762排气加油工具</w:t>
      </w:r>
    </w:p>
    <w:p w14:paraId="73361FB1">
      <w:pPr>
        <w:spacing w:line="360" w:lineRule="auto"/>
        <w:ind w:firstLine="480" w:firstLineChars="200"/>
        <w:rPr>
          <w:rFonts w:hint="eastAsia" w:ascii="宋体" w:hAnsi="宋体" w:eastAsia="宋体" w:cs="宋体"/>
          <w:strike w:val="0"/>
          <w:dstrike w:val="0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trike w:val="0"/>
          <w:dstrike w:val="0"/>
          <w:color w:val="auto"/>
          <w:sz w:val="24"/>
          <w:szCs w:val="24"/>
          <w:highlight w:val="none"/>
        </w:rPr>
        <w:t>2.2</w:t>
      </w:r>
      <w:r>
        <w:rPr>
          <w:rFonts w:hint="eastAsia" w:ascii="宋体" w:hAnsi="宋体" w:eastAsia="宋体" w:cs="宋体"/>
          <w:strike w:val="0"/>
          <w:dstrike w:val="0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strike w:val="0"/>
          <w:dstrike w:val="0"/>
          <w:color w:val="auto"/>
          <w:sz w:val="24"/>
          <w:szCs w:val="24"/>
          <w:highlight w:val="none"/>
        </w:rPr>
        <w:t>每年不少于</w:t>
      </w:r>
      <w:r>
        <w:rPr>
          <w:rFonts w:hint="eastAsia" w:ascii="宋体" w:hAnsi="宋体" w:eastAsia="宋体" w:cs="宋体"/>
          <w:strike w:val="0"/>
          <w:dstrike w:val="0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strike w:val="0"/>
          <w:dstrike w:val="0"/>
          <w:color w:val="auto"/>
          <w:sz w:val="24"/>
          <w:szCs w:val="24"/>
          <w:highlight w:val="none"/>
        </w:rPr>
        <w:t>次的设备现场保养服务并提供报告，年度报告需包括如下服务</w:t>
      </w:r>
    </w:p>
    <w:p w14:paraId="3A8E5283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安全运行相关项目检测、校准和修复，保证设备和病患安全</w:t>
      </w:r>
    </w:p>
    <w:p w14:paraId="031A8DAF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2.2.1.1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 xml:space="preserve">电气环境监测 </w:t>
      </w:r>
    </w:p>
    <w:p w14:paraId="1F4FAAC2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2.2.1.2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 xml:space="preserve">测试扫描架指示灯和紧急制动按钮 </w:t>
      </w:r>
    </w:p>
    <w:p w14:paraId="6B1EE648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2.2.1.3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测试系统急停功能</w:t>
      </w:r>
    </w:p>
    <w:p w14:paraId="723136A8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2.2.1.4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旋转部分部件和电缆的紧固检查测试</w:t>
      </w:r>
    </w:p>
    <w:p w14:paraId="4CD163FF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2.2.1.5运行环境和辐射警示检查</w:t>
      </w:r>
    </w:p>
    <w:p w14:paraId="6AE39BF6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2.2.1.6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 xml:space="preserve">备份系统数据 </w:t>
      </w:r>
    </w:p>
    <w:p w14:paraId="6679883A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定位精度相关项目检测和校准，保证扫描精度</w:t>
      </w:r>
    </w:p>
    <w:p w14:paraId="61B3B4F0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2.2.2.1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 xml:space="preserve">定位灯位置检查 </w:t>
      </w:r>
    </w:p>
    <w:p w14:paraId="06C12AEE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2.2.2.2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机架旋转编码器状态检查</w:t>
      </w:r>
    </w:p>
    <w:p w14:paraId="187F1665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2.2.2.3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机架主轴承和床运动轨道的检查和润滑</w:t>
      </w:r>
    </w:p>
    <w:p w14:paraId="3754254E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2.2.2.4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扫描床移动、升降和防挤压开关检查</w:t>
      </w:r>
    </w:p>
    <w:p w14:paraId="1B79F1AF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2.2.2.5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检查准直器窗口</w:t>
      </w:r>
    </w:p>
    <w:p w14:paraId="257164CE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2.2.2.6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检查球管散热系统和探测器恒温系统是否漏油和漏液</w:t>
      </w:r>
    </w:p>
    <w:p w14:paraId="03C23CCD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辐射剂量相关项目检测和校准，避免额外辐射</w:t>
      </w:r>
    </w:p>
    <w:p w14:paraId="320E7E33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2.2.3.1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准直器走位精度检测和校准</w:t>
      </w:r>
    </w:p>
    <w:p w14:paraId="7EF91290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2.2.3.2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探测器温度、温控系统、数据通道检测</w:t>
      </w:r>
    </w:p>
    <w:p w14:paraId="14EE1A59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2.2.3.3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球管灯丝检查</w:t>
      </w:r>
    </w:p>
    <w:p w14:paraId="55B190F9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2.2.3.4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管电流的反馈检测和确认</w:t>
      </w:r>
    </w:p>
    <w:p w14:paraId="7AE6C054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2.2.3.5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管电压的准确性检测和确认</w:t>
      </w:r>
    </w:p>
    <w:p w14:paraId="0AD80472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2.2.3.6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曝光时间的精确度检测和确认</w:t>
      </w:r>
    </w:p>
    <w:p w14:paraId="6C476177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2.2.3.7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焦点验证</w:t>
      </w:r>
    </w:p>
    <w:p w14:paraId="56A43EF3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2.2.3.8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HHS扫描</w:t>
      </w:r>
    </w:p>
    <w:p w14:paraId="6D9A4B4B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2.2.3.9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mA测试点精度</w:t>
      </w:r>
    </w:p>
    <w:p w14:paraId="5AFBF4A0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2.2.3.10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kV测试点精度</w:t>
      </w:r>
    </w:p>
    <w:p w14:paraId="5FAF5A6A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2.2.3.11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HHS数据归档</w:t>
      </w:r>
    </w:p>
    <w:p w14:paraId="118BEA86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图像质量相关项目检测和校准，保证图像质量</w:t>
      </w:r>
    </w:p>
    <w:p w14:paraId="4CBFA147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2.2.4.1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扫描窗口和准直器窗口的检查和校准</w:t>
      </w:r>
    </w:p>
    <w:p w14:paraId="527DA874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2.2.4.2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设备系统扫描测试，图像伪影检查和校准</w:t>
      </w:r>
    </w:p>
    <w:p w14:paraId="253FF4E7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2.2.4.3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定位像/自动语音扫描测试和校准</w:t>
      </w:r>
    </w:p>
    <w:p w14:paraId="6737E309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2.2.4.4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图像质量QA各指标的检测，专业模体校正</w:t>
      </w:r>
    </w:p>
    <w:p w14:paraId="6F67235F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2.2.4.5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CT值准确性测试</w:t>
      </w:r>
    </w:p>
    <w:p w14:paraId="41399B23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2.2.4.6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CT值均匀性测试</w:t>
      </w:r>
    </w:p>
    <w:p w14:paraId="029A9FE1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2.2.4.7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图像噪声测试</w:t>
      </w:r>
    </w:p>
    <w:p w14:paraId="608CE758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2.2.4.8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图像对比度测试</w:t>
      </w:r>
    </w:p>
    <w:p w14:paraId="1D41A3AE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核心部件球管更换检测和校准</w:t>
      </w:r>
    </w:p>
    <w:p w14:paraId="6D076500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更换主机匹配注册球管，注明型号</w:t>
      </w:r>
    </w:p>
    <w:p w14:paraId="6E6AAED8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2.3.1.1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焦点数量：3个</w:t>
      </w:r>
    </w:p>
    <w:p w14:paraId="02D2B16B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2.3.1.2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小焦点（per IEC 60336/2005 ）≤1.0mm x 0.7 mm</w:t>
      </w:r>
    </w:p>
    <w:p w14:paraId="7E9247C8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2.3.1.3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大焦点（per IEC 60336/2005 ）≤1.6mm x 1.2mm</w:t>
      </w:r>
    </w:p>
    <w:p w14:paraId="723CCC32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2.3.1.4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ab/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 xml:space="preserve">超大焦点(per IEC 60336/2005) ≤2.0mm x 1.2mm </w:t>
      </w:r>
    </w:p>
    <w:p w14:paraId="3B565B75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扫描架旋转平衡检测</w:t>
      </w:r>
    </w:p>
    <w:p w14:paraId="09A291F3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球管位置X轴位置调整</w:t>
      </w:r>
    </w:p>
    <w:p w14:paraId="21F144AC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球管位置Z轴位置调整</w:t>
      </w:r>
    </w:p>
    <w:p w14:paraId="0BEE75C6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2.3.5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球管灯丝校准</w:t>
      </w:r>
    </w:p>
    <w:p w14:paraId="793B5E70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2.3.6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准直器校准</w:t>
      </w:r>
    </w:p>
    <w:p w14:paraId="1E3F5B3D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2.3.7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CT值准确性测试</w:t>
      </w:r>
    </w:p>
    <w:p w14:paraId="5114E395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2.3.8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CT值均匀性测试</w:t>
      </w:r>
    </w:p>
    <w:p w14:paraId="7152E50E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2.3.9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图像噪声测试</w:t>
      </w:r>
    </w:p>
    <w:p w14:paraId="53C4D9EB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2.3.10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图像对比度测试</w:t>
      </w:r>
    </w:p>
    <w:p w14:paraId="3DDDB746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2.3.11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系统数据备份</w:t>
      </w:r>
    </w:p>
    <w:p w14:paraId="5627E399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服务质量控制要求</w:t>
      </w:r>
    </w:p>
    <w:p w14:paraId="6A5455D8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3.1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每年提供日常质控培训1次，包括用户现场理论讲解和上机演示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。</w:t>
      </w:r>
    </w:p>
    <w:p w14:paraId="660B5B8D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3.1.1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讲解国家标准和原厂规范</w:t>
      </w:r>
    </w:p>
    <w:p w14:paraId="5E701315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3.1.2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讲解系统功能和质控体系、参数</w:t>
      </w:r>
    </w:p>
    <w:p w14:paraId="63474C35">
      <w:pPr>
        <w:spacing w:line="360" w:lineRule="auto"/>
        <w:ind w:firstLine="720" w:firstLineChars="3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3.1.3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现场演示日常质控项目，包括射线剂量和图像质量</w:t>
      </w:r>
    </w:p>
    <w:p w14:paraId="49016309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3.2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每年提供设备健康体检1次并提供体检报告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体检项目覆盖国家X线设备强制检查项目</w:t>
      </w:r>
    </w:p>
    <w:p w14:paraId="180EA228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3.3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在进行核心部件如球管更换后，进行球管更换质量控制检测并提供报告</w:t>
      </w:r>
    </w:p>
    <w:p w14:paraId="2FEEB072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3.4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医院所在地质控主管单位进行的设备年度检测活动时，提供支持服务</w:t>
      </w:r>
    </w:p>
    <w:p w14:paraId="25020720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3.5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具备常规质控工具，QA模体，CatPhan模体，射线剂量仪，射线辐射仪等</w:t>
      </w:r>
    </w:p>
    <w:p w14:paraId="1F3BA525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3.6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具备宽体探测器检测和校准能力</w:t>
      </w:r>
    </w:p>
    <w:p w14:paraId="60C3B313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临床应用支持</w:t>
      </w:r>
    </w:p>
    <w:p w14:paraId="25EA2DE0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1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提供该型号CT设备过往其他场地的培训确认（盖章签字）及相关临床培训报告≥3份</w:t>
      </w:r>
    </w:p>
    <w:p w14:paraId="786316E8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2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提供临床扫描、图像处理和相应业务拓展的专业支持服务。</w:t>
      </w:r>
    </w:p>
    <w:p w14:paraId="43F63DE2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3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提供远程临床应用服务，实时解决客户临床问题</w:t>
      </w:r>
    </w:p>
    <w:p w14:paraId="7D66AE7E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4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提供远程电话临床应用支持，针对客户在设备保修期内设备使用过程中出现的扫描参数、操作流程、图像后处理、临床应用等问题通过客服电话解决</w:t>
      </w:r>
    </w:p>
    <w:p w14:paraId="22D9516A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4.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5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提供保修服务现场应用支持，针对客户在设备保修期内设备使用过程中出现的扫描参数、操作流程、图像后处理、临床应用等问题客户可联系厂家派遣的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工程师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到医院现场解决</w:t>
      </w:r>
    </w:p>
    <w:p w14:paraId="3901C599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5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数字化服务能力要求</w:t>
      </w:r>
    </w:p>
    <w:p w14:paraId="142FE8D1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5.1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提供数字化远程守护服务，并对球管、高压等核心备件相关参数、扫描量、磁盘空间、温湿度等提供实时监测及故障诊断</w:t>
      </w:r>
    </w:p>
    <w:p w14:paraId="341D06DE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5.2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支持客户通过登录提供的链接查询相关设备状态信息</w:t>
      </w:r>
    </w:p>
    <w:p w14:paraId="7C435A5F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5.3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支持设备服务预约以及维修纪录查询</w:t>
      </w:r>
    </w:p>
    <w:p w14:paraId="19F61197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5.4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支持合同状态、工程师派工、保养记录、维修记录等多种信息查询</w:t>
      </w:r>
    </w:p>
    <w:p w14:paraId="37FEF7D6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5.5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支持二维码资产管理以及扫码报修</w:t>
      </w:r>
    </w:p>
    <w:p w14:paraId="0A76A01F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5.6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支持应用服务适配PC机和手持移动终端设备</w:t>
      </w:r>
    </w:p>
    <w:p w14:paraId="28B3D852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6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专业课程培训能力</w:t>
      </w:r>
    </w:p>
    <w:p w14:paraId="4AD38D83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</w:rPr>
        <w:t>6.1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</w:rPr>
        <w:t>可提供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临床应用现场培训，由原设备制造商培训中心的认证讲师现场提供针对性CT设备图像、流程及功能优化培训服务</w:t>
      </w:r>
    </w:p>
    <w:p w14:paraId="41FED821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6.2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可提供临床课程培训，由GE认证内外部讲师提供系统性的专项临床技术及诊断培训</w:t>
      </w:r>
    </w:p>
    <w:p w14:paraId="2333CB1E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6.3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可提供CT机医工通用技能培训,提供5天完整课程体系，系统了解CT机成像原理,典型GE产品的系统架构,操作流程,以及主要组件的结构与功能，包括故障分析与判断，培训讲师为原设备制造商培训中心的认证专业讲师</w:t>
      </w:r>
    </w:p>
    <w:p w14:paraId="0835D508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6.4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可提供医疗影像设备质量控制培训，包括法规和标准讲解，质控理论和方法讲解及演示，提供2天理论培训及上机培训，培训讲师为原设备制造商培训中心认证专业讲师</w:t>
      </w:r>
    </w:p>
    <w:p w14:paraId="635CBBFE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6.5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可提供医院管理、管理决策培训课程，由GE医疗联合专业院校/组织联合授课，协助医院管理人才深入解读医疗政策，把控实施力度；了解经典管理理念，提升管理水平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；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参与同行分享和讨论，碰撞新思路和新思路室，以更好运用组织内设备管理决策与发展</w:t>
      </w:r>
    </w:p>
    <w:p w14:paraId="28016783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6.6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 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可提供医院设备效能提升培训，由外部医院专家、GE医疗认证讲师或者专业培训机构联合授课，提升医院设备管理人才的影响力及领导力，助力医院在设备管理效率及效能方面的提高，从而进一步增强设备管理科室在整个医院组织中的价值</w:t>
      </w:r>
    </w:p>
    <w:p w14:paraId="70F6B670">
      <w:pPr>
        <w:spacing w:line="360" w:lineRule="auto"/>
        <w:rPr>
          <w:rFonts w:hint="eastAsia" w:ascii="宋体" w:hAnsi="宋体" w:eastAsia="宋体" w:cs="宋体"/>
          <w:b/>
          <w:bCs/>
          <w:color w:val="auto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二、3.0T磁共振</w:t>
      </w:r>
    </w:p>
    <w:p w14:paraId="7A2062C5">
      <w:pPr>
        <w:numPr>
          <w:ilvl w:val="0"/>
          <w:numId w:val="0"/>
        </w:num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kern w:val="2"/>
          <w:sz w:val="24"/>
          <w:szCs w:val="24"/>
          <w:lang w:val="en-US" w:eastAsia="zh-CN" w:bidi="ar-SA"/>
        </w:rPr>
        <w:t>1、</w:t>
      </w:r>
      <w:r>
        <w:rPr>
          <w:rFonts w:hint="eastAsia" w:ascii="宋体" w:hAnsi="宋体" w:eastAsia="宋体" w:cs="宋体"/>
          <w:strike w:val="0"/>
          <w:dstrike w:val="0"/>
          <w:color w:val="auto"/>
          <w:kern w:val="2"/>
          <w:sz w:val="24"/>
          <w:szCs w:val="24"/>
          <w:lang w:val="en-US" w:eastAsia="zh-CN" w:bidi="ar-SA"/>
        </w:rPr>
        <w:t>提供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不限次数到场技术服务和远程诊断服务，零备件更换服务；包含的相关备件为：整机主机（含梯度、射频、床、主控计算机、重建服务器等）、线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圈、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磁体、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冷却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系统（氦压机、正常情况下消耗的液氦、由工程师责任引起失超所涉及的液氦）、水冷系统（内置水冷部分和第三方外置水冷机）、工作站；维修服务和备件服务均不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含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任何第三方产品。</w:t>
      </w:r>
    </w:p>
    <w:p w14:paraId="5518B1FD">
      <w:pPr>
        <w:numPr>
          <w:ilvl w:val="0"/>
          <w:numId w:val="0"/>
        </w:num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kern w:val="2"/>
          <w:sz w:val="24"/>
          <w:szCs w:val="24"/>
          <w:lang w:val="en-US" w:eastAsia="zh-CN" w:bidi="ar-SA"/>
        </w:rPr>
        <w:t>2、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按照生产厂家设备标准及国家规定执行，包括但不限于制定检查计划、机械安全检查、电气安全检查、记录检查结果。</w:t>
      </w:r>
    </w:p>
    <w:p w14:paraId="765F0E10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b/>
          <w:bCs/>
          <w:color w:val="auto"/>
          <w:sz w:val="24"/>
          <w:szCs w:val="24"/>
        </w:rPr>
      </w:pPr>
      <w:r>
        <w:rPr>
          <w:rFonts w:hint="eastAsia" w:ascii="宋体" w:hAnsi="宋体" w:eastAsia="宋体" w:cs="宋体"/>
          <w:color w:val="auto"/>
          <w:kern w:val="2"/>
          <w:sz w:val="24"/>
          <w:szCs w:val="24"/>
          <w:lang w:val="en-US" w:eastAsia="zh-CN" w:bidi="ar-SA"/>
        </w:rPr>
        <w:t>3、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按照保养计划提供每年定期提供专业保养，以保证设备处于最佳运行状态。包括但不限于：记录并安排保养时间、按照保养计划更换损耗部件、按照厂家标准进行调校、确认各项技术指标及性能、如遇年检时，服务方负责调试全部监测指标，协助通过相关部门检测时，保障取得合格证、记录设备状况、提供设备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生产厂家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保养内容清单、提供每次保养后系统自动导出的保养报告，必须每次的检测项必须为PASS。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br w:type="textWrapping"/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三、DSA</w:t>
      </w:r>
    </w:p>
    <w:p w14:paraId="09594997">
      <w:pPr>
        <w:numPr>
          <w:ilvl w:val="0"/>
          <w:numId w:val="0"/>
        </w:num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1、</w:t>
      </w:r>
      <w:r>
        <w:rPr>
          <w:rFonts w:hint="eastAsia" w:ascii="宋体" w:hAnsi="宋体" w:eastAsia="宋体" w:cs="宋体"/>
          <w:strike w:val="0"/>
          <w:dstrike w:val="0"/>
          <w:color w:val="auto"/>
          <w:sz w:val="24"/>
          <w:szCs w:val="24"/>
          <w:lang w:val="en-US" w:eastAsia="zh-CN"/>
        </w:rPr>
        <w:t>提供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不限次数到场技术服务和远程诊断服务，零备件更换服务，包括X光球管，平板探测器，维修服务和备件服务均不含任何第三方产品。</w:t>
      </w:r>
    </w:p>
    <w:p w14:paraId="7B131BCA">
      <w:pPr>
        <w:numPr>
          <w:ilvl w:val="0"/>
          <w:numId w:val="0"/>
        </w:num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2、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按照生产厂家设备标准及国家规定执行，包括但不限于制定检查计划、机械安全检查、电气安全检查、记录检查结果。</w:t>
      </w:r>
    </w:p>
    <w:p w14:paraId="76417D0D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default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kern w:val="2"/>
          <w:sz w:val="24"/>
          <w:szCs w:val="24"/>
          <w:lang w:val="en-US" w:eastAsia="zh-CN" w:bidi="ar-SA"/>
        </w:rPr>
        <w:t>3、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按照保养计划提供每年定期提供专业保养，以保证设备处于最佳运行状态。包括但不限于：记录并安排保养时间、按照保养计划更换损耗部件、按照厂家标准进行调校、确认各项技术指标及性能、如遇年检时，服务方负责调试全部监测指标，协助通过相关部门检测时，保障取得合格证、记录设备状况、提供设备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生产厂家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t>保养内容清单、提供每次保养后系统自动导出的保养报告，必须每次的检测项必须为PASS。</w:t>
      </w:r>
      <w:r>
        <w:rPr>
          <w:rFonts w:hint="eastAsia" w:ascii="宋体" w:hAnsi="宋体" w:eastAsia="宋体" w:cs="宋体"/>
          <w:color w:val="auto"/>
          <w:sz w:val="24"/>
          <w:szCs w:val="24"/>
          <w:lang w:eastAsia="zh-CN"/>
        </w:rPr>
        <w:br w:type="textWrapping"/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四、内镜清洗工作站可追溯管理系统</w:t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br w:type="textWrapping"/>
      </w: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 xml:space="preserve">    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1、提供原厂升级服务。</w:t>
      </w:r>
    </w:p>
    <w:p w14:paraId="347C08FF">
      <w:pPr>
        <w:numPr>
          <w:ilvl w:val="0"/>
          <w:numId w:val="0"/>
        </w:num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2、升级系统须完全兼容医院现有内镜清洗工作站硬件及数据库，确保数据无缝迁移，不影响现有业务流程。</w:t>
      </w:r>
    </w:p>
    <w:p w14:paraId="2F8EE7E7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3、系统须支持与现有追溯卡、射频识别（RFID）读写设备等无缝对接，实现数据实时采集与关联。</w:t>
      </w:r>
    </w:p>
    <w:p w14:paraId="1958FE55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4、与医院现有院内信息系统（如HIS、PACS、洗消追溯平台）进行数据对接。</w:t>
      </w:r>
    </w:p>
    <w:p w14:paraId="47C72D52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5、提供可视化追溯查询界面，支持按时间、内镜编号、操作人员等多条件检索。</w:t>
      </w:r>
    </w:p>
    <w:p w14:paraId="6DFD9916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6、提供原厂系统升级安装、调试及数据迁移服务。</w:t>
      </w:r>
    </w:p>
    <w:p w14:paraId="05C0E5F0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7、提供操作人员与管理人员培训，包括系统使用、日常维护、报表导出等。</w:t>
      </w:r>
    </w:p>
    <w:p w14:paraId="709D89EA">
      <w:pPr>
        <w:spacing w:line="360" w:lineRule="auto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五、高压注射器</w:t>
      </w:r>
    </w:p>
    <w:p w14:paraId="7968D297">
      <w:pPr>
        <w:spacing w:line="360" w:lineRule="auto"/>
        <w:ind w:firstLine="480" w:firstLineChars="200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1、原厂全新合格零备件更换，不含第三方配套产品。</w:t>
      </w:r>
    </w:p>
    <w:p w14:paraId="492292DF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、按厂家标准制定保养计划，更换易损耗部件，对设备压力控制、推注精度、管路密封性、电气连接等核心指标调校检测；年检时协助完成全部监测指标调试，保障取得合格证，每次保养提供检测标准保养报告。</w:t>
      </w:r>
    </w:p>
    <w:p w14:paraId="64461353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3、定期开展机械安全（推注装置防误触、紧急停止功能）、电气安全（线路绝缘、接地检测）检查，记录设备运行状态，确保注射过程中设备稳定及医患安全。</w:t>
      </w:r>
    </w:p>
    <w:p w14:paraId="2FDA779F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4、国内提供核心备件，保障注射器泵体、压力传感器、控制系统等核心部件及时供应，确保故障快速修复。</w:t>
      </w:r>
    </w:p>
    <w:p w14:paraId="34A6D02F">
      <w:pPr>
        <w:numPr>
          <w:ilvl w:val="0"/>
          <w:numId w:val="0"/>
        </w:numPr>
        <w:spacing w:line="360" w:lineRule="auto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六、磁共振高压造影注射器</w:t>
      </w:r>
    </w:p>
    <w:p w14:paraId="373A14A8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1、原厂全新零备件更换，适配磁共振环境的专用部件优先保障，不含第三方产品。</w:t>
      </w:r>
    </w:p>
    <w:p w14:paraId="722249A4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lang w:val="en-US" w:eastAsia="zh-CN"/>
        </w:rPr>
        <w:t>2、升级系统须完全兼容医院现有内镜清洗工作站硬件及数据库，确保数据无缝迁移，不影响现有业务流程。系统须支持与现有追溯卡、射频识别（RFID）读写设备等无缝对接，实现数据实时采集与关联。与医院现有院内信息系统（如HIS、PACS、洗消追溯平台）进行数据对接。提供可视化追溯查询界面，支持按时间、内镜编号、操作人员等多条件检索。提供原厂系统升级安装、调试及数据迁移服务。提供操作人员与管理人员培训，包括系统使用、日常维护、报表导出等。</w:t>
      </w:r>
    </w:p>
    <w:p w14:paraId="2371D7CA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3、维保过程中确保设备与磁共振设备的电磁兼容性能，避免对磁共振成像产生干扰，每次保养专项检测设备的抗磁屏蔽、信号隔离指标，符合磁共振机房使用标准。</w:t>
      </w:r>
    </w:p>
    <w:p w14:paraId="481C351B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4、定期校准推注速度、剂量精度、压力阈值等核心参数，检测管路耐压性、防漏液功能，更换老化密封件、管路等损耗部件，保证造影剂注射的精准性和安全性。</w:t>
      </w:r>
    </w:p>
    <w:p w14:paraId="29AD443E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5、设备年检时全程协助调试，保障通过相关部门检测；每次保养、维修后提供标准报告，记录检测数据、调校结果及部件更换信息，同步备份设备运行参数。</w:t>
      </w:r>
    </w:p>
    <w:p w14:paraId="7A7BD509">
      <w:pPr>
        <w:spacing w:line="360" w:lineRule="auto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七、CT造影剂注射器</w:t>
      </w:r>
    </w:p>
    <w:p w14:paraId="308A0003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1、服务范围覆盖注射器主机、推注系统、控制系统等，不含第三方周边产品。</w:t>
      </w:r>
    </w:p>
    <w:p w14:paraId="792F87AB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2、专项保障设备与CT设备的联动性能，检测注射与CT扫描的同步触发功能，确保造影剂注射时机与CT扫描精准匹配，避免影响成像效果，每次保养进行联动调试并记录数据。</w:t>
      </w:r>
    </w:p>
    <w:p w14:paraId="25742250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3、按厂家规范更换易损件（如注射针筒、密封胶圈、管路），校准推注精度、剂量控制、压力反馈等指标，检测设备的电气安全、机械运行稳定性，确保符合CT检查的临床使用要求。</w:t>
      </w:r>
    </w:p>
    <w:p w14:paraId="2149D045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4、为医院操作人员提供1次/年的现场操作及日常维护培训，涵盖设备校准、简单故障排查、耗材更换等内容；每次保养、维修后出具标准报告，同步归档设备维保记录。</w:t>
      </w:r>
    </w:p>
    <w:p w14:paraId="5768975F">
      <w:pP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br w:type="page"/>
      </w:r>
    </w:p>
    <w:p w14:paraId="5E83758A"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jc w:val="center"/>
        <w:outlineLvl w:val="1"/>
        <w:rPr>
          <w:rFonts w:ascii="宋体" w:hAnsi="宋体" w:eastAsia="宋体" w:cs="宋体"/>
          <w:color w:val="auto"/>
          <w:spacing w:val="0"/>
          <w:position w:val="0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</w:pPr>
      <w:bookmarkStart w:id="1" w:name="_Toc20570"/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</w:t>
      </w:r>
      <w:r>
        <w:rPr>
          <w:rFonts w:ascii="宋体" w:hAnsi="宋体" w:eastAsia="宋体" w:cs="宋体"/>
          <w:color w:val="auto"/>
          <w:spacing w:val="0"/>
          <w:position w:val="0"/>
          <w:sz w:val="24"/>
          <w:szCs w:val="24"/>
          <w:lang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商务条件</w:t>
      </w:r>
      <w:bookmarkEnd w:id="1"/>
    </w:p>
    <w:p w14:paraId="239A7C66"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spacing w:val="0"/>
          <w:position w:val="0"/>
          <w:lang w:eastAsia="zh-CN"/>
        </w:rPr>
      </w:pPr>
    </w:p>
    <w:p w14:paraId="432DC74E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1、服务期限：三年。</w:t>
      </w:r>
      <w:r>
        <w:rPr>
          <w:rFonts w:hint="eastAsia" w:ascii="宋体" w:hAnsi="宋体" w:eastAsia="宋体" w:cs="宋体"/>
          <w:color w:val="auto"/>
          <w:spacing w:val="0"/>
          <w:position w:val="0"/>
          <w:sz w:val="24"/>
          <w:szCs w:val="24"/>
          <w:highlight w:val="none"/>
          <w:u w:val="none"/>
          <w:lang w:val="en-US" w:eastAsia="zh-CN"/>
        </w:rPr>
        <w:t>（合同三年一签，每年考核一次，若考核不合格，则采购人有权终止合同）</w:t>
      </w:r>
    </w:p>
    <w:p w14:paraId="1D05E409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2、付款方式：三年分期付款，采购人在第一年维保合同的第6个月付当年合同总价款的50%；第12个月付款当年维保总价款的50%。后续每年依此类推。另最后一年最后一期（当年合同总价款的 50%）维保合同结束后第3个月付款。</w:t>
      </w:r>
    </w:p>
    <w:p w14:paraId="33E772F2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3、服务地点：采购人指定地点。 </w:t>
      </w:r>
    </w:p>
    <w:p w14:paraId="522080C5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4、中标人在接到采购人报修电话后，2小时内响应并提供故障解决方案及特殊紧急的合理化处理措施，如持续远程不能解决，应在48小时内派人员到达采购人现场实施维修。</w:t>
      </w:r>
    </w:p>
    <w:p w14:paraId="240F5982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5、维保设备每年提供不少于2次定期保养，并提供定期维护保养报告。 </w:t>
      </w:r>
    </w:p>
    <w:p w14:paraId="335EF7D2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 xml:space="preserve">6、维保设备每年开机并正常工作时间不少于347天，保证开机率≥95%，按照一年365天计算，如果由于服务商的原因开机率低于95%，采购人按当年合同金额的10%收取违约金。 </w:t>
      </w:r>
    </w:p>
    <w:p w14:paraId="6D1B6D08">
      <w:pPr>
        <w:pageBreakBefore w:val="0"/>
        <w:widowControl w:val="0"/>
        <w:wordWrap/>
        <w:overflowPunct/>
        <w:topLinePunct w:val="0"/>
        <w:bidi w:val="0"/>
        <w:spacing w:line="360" w:lineRule="auto"/>
        <w:ind w:firstLine="480" w:firstLineChars="200"/>
        <w:rPr>
          <w:rFonts w:hint="default" w:ascii="宋体" w:hAnsi="宋体" w:eastAsia="宋体" w:cs="宋体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7、中标人在服务期内，提供的备件必须是原厂全新的零备件，不会对设备质量或图像产生不良影响，维保所需的备件，备件供应及时、充足</w:t>
      </w:r>
      <w:r>
        <w:rPr>
          <w:rFonts w:hint="eastAsia" w:ascii="宋体" w:hAnsi="宋体" w:eastAsia="宋体" w:cs="宋体"/>
          <w:b w:val="0"/>
          <w:bCs w:val="0"/>
          <w:strike w:val="0"/>
          <w:dstrike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。</w:t>
      </w:r>
      <w:r>
        <w:rPr>
          <w:rFonts w:hint="eastAsia" w:ascii="宋体" w:hAnsi="宋体" w:eastAsia="宋体" w:cs="宋体"/>
          <w:b w:val="0"/>
          <w:bCs w:val="0"/>
          <w:snapToGrid w:val="0"/>
          <w:color w:val="auto"/>
          <w:spacing w:val="0"/>
          <w:position w:val="0"/>
          <w:sz w:val="24"/>
          <w:szCs w:val="24"/>
          <w:highlight w:val="none"/>
          <w:lang w:val="en-US" w:eastAsia="zh-CN" w:bidi="ar-SA"/>
        </w:rPr>
        <w:t>零备件具备可溯性，中标人更换零备件时须提交</w:t>
      </w:r>
      <w:r>
        <w:rPr>
          <w:rFonts w:hint="eastAsia" w:ascii="宋体" w:hAnsi="宋体" w:eastAsia="宋体" w:cs="宋体"/>
          <w:b w:val="0"/>
          <w:bCs w:val="0"/>
          <w:color w:val="auto"/>
          <w:spacing w:val="0"/>
          <w:position w:val="0"/>
          <w:sz w:val="24"/>
          <w:szCs w:val="24"/>
          <w:highlight w:val="none"/>
          <w:lang w:val="en-US" w:eastAsia="zh-CN"/>
        </w:rPr>
        <w:t>相应资料</w:t>
      </w: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。</w:t>
      </w:r>
    </w:p>
    <w:p w14:paraId="24066342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8、中标人承担采购人维保的设备服务，确保将设备管理、维护、维保等做到整理有序、设备运行正常、有迹可循。 </w:t>
      </w:r>
    </w:p>
    <w:p w14:paraId="33CD080B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 xml:space="preserve">9、中标人如对设备维护方面出现人为损坏、技术不到位或刻意存在延修和管理不力，采购人有权提前终止合同。 </w:t>
      </w:r>
    </w:p>
    <w:p w14:paraId="5C2F812B">
      <w:pPr>
        <w:numPr>
          <w:ilvl w:val="0"/>
          <w:numId w:val="0"/>
        </w:numPr>
        <w:spacing w:line="360" w:lineRule="auto"/>
        <w:ind w:left="0" w:leftChars="0" w:firstLine="480" w:firstLineChars="200"/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lang w:val="en-US" w:eastAsia="zh-CN"/>
        </w:rPr>
        <w:t>10、中标人委派的设备维保人员具备相应设备的专业维保能力。</w:t>
      </w:r>
    </w:p>
    <w:p w14:paraId="445A8480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p w14:paraId="2A782DE8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p w14:paraId="754FFF3E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p w14:paraId="58FAA30D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p w14:paraId="6564C504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p w14:paraId="7C4155ED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p w14:paraId="483B0DAB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p w14:paraId="56DF73AC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p w14:paraId="736A5654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p w14:paraId="60946B39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p w14:paraId="4DABE43C">
      <w:pP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</w:p>
    <w:p w14:paraId="656AC7D5">
      <w:pPr>
        <w:numPr>
          <w:ilvl w:val="0"/>
          <w:numId w:val="0"/>
        </w:numPr>
        <w:spacing w:line="360" w:lineRule="auto"/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lang w:val="en-US" w:eastAsia="zh-CN"/>
        </w:rPr>
        <w:t>考核标准：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19"/>
        <w:gridCol w:w="7005"/>
      </w:tblGrid>
      <w:tr w14:paraId="15C0D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noWrap w:val="0"/>
            <w:vAlign w:val="center"/>
          </w:tcPr>
          <w:p w14:paraId="76482A57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b/>
                <w:bCs/>
                <w:sz w:val="24"/>
                <w:szCs w:val="24"/>
              </w:rPr>
              <w:t>考核内容</w:t>
            </w:r>
          </w:p>
        </w:tc>
        <w:tc>
          <w:tcPr>
            <w:tcW w:w="7005" w:type="dxa"/>
            <w:noWrap w:val="0"/>
            <w:vAlign w:val="center"/>
          </w:tcPr>
          <w:p w14:paraId="571EEEC1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color w:val="auto"/>
                <w:sz w:val="24"/>
                <w:szCs w:val="24"/>
                <w:highlight w:val="none"/>
                <w:lang w:eastAsia="zh-CN"/>
              </w:rPr>
              <w:t>评分标准</w:t>
            </w:r>
          </w:p>
        </w:tc>
      </w:tr>
      <w:tr w14:paraId="0B915A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vMerge w:val="restart"/>
            <w:noWrap w:val="0"/>
            <w:vAlign w:val="center"/>
          </w:tcPr>
          <w:p w14:paraId="781F9B94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服务履约执行</w:t>
            </w:r>
          </w:p>
        </w:tc>
        <w:tc>
          <w:tcPr>
            <w:tcW w:w="7005" w:type="dxa"/>
            <w:noWrap w:val="0"/>
            <w:vAlign w:val="center"/>
          </w:tcPr>
          <w:p w14:paraId="067AD3D6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接到报修电话后2小时内完成响应并提供解决方案，特殊紧急情况提供合理化处理措施，每出现1次未按时响应扣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</w:t>
            </w:r>
          </w:p>
        </w:tc>
      </w:tr>
      <w:tr w14:paraId="14C098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vMerge w:val="continue"/>
            <w:noWrap w:val="0"/>
            <w:vAlign w:val="center"/>
          </w:tcPr>
          <w:p w14:paraId="4212CBF8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005" w:type="dxa"/>
            <w:noWrap w:val="0"/>
            <w:vAlign w:val="center"/>
          </w:tcPr>
          <w:p w14:paraId="21CDB700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远程无法解决时，48小时内工程师到达现场，每出现1次未按时到场扣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</w:t>
            </w:r>
          </w:p>
        </w:tc>
      </w:tr>
      <w:tr w14:paraId="5D8772E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1419" w:type="dxa"/>
            <w:vMerge w:val="continue"/>
            <w:noWrap w:val="0"/>
            <w:vAlign w:val="center"/>
          </w:tcPr>
          <w:p w14:paraId="1BFA8774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005" w:type="dxa"/>
            <w:noWrap w:val="0"/>
            <w:vAlign w:val="center"/>
          </w:tcPr>
          <w:p w14:paraId="08916B1F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现场维修完成后及时提交维修报告，明确故障原因、处理措施、更换备件等信息，每缺1次报告扣3分</w:t>
            </w:r>
          </w:p>
        </w:tc>
      </w:tr>
      <w:tr w14:paraId="6C0932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</w:trPr>
        <w:tc>
          <w:tcPr>
            <w:tcW w:w="1419" w:type="dxa"/>
            <w:vMerge w:val="restart"/>
            <w:noWrap w:val="0"/>
            <w:vAlign w:val="center"/>
          </w:tcPr>
          <w:p w14:paraId="3D8F4A57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定期保养服务</w:t>
            </w:r>
          </w:p>
        </w:tc>
        <w:tc>
          <w:tcPr>
            <w:tcW w:w="7005" w:type="dxa"/>
            <w:noWrap w:val="0"/>
            <w:vAlign w:val="center"/>
          </w:tcPr>
          <w:p w14:paraId="745D1C6B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每次保养后提交完整的维护保养报告，包含检测数据、调校结果、设备状况等，报告内容不完整、数据不实的，每出现1次扣3分</w:t>
            </w:r>
          </w:p>
        </w:tc>
      </w:tr>
      <w:tr w14:paraId="5B3196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419" w:type="dxa"/>
            <w:vMerge w:val="continue"/>
            <w:noWrap w:val="0"/>
            <w:vAlign w:val="center"/>
          </w:tcPr>
          <w:p w14:paraId="0BEAE6FE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005" w:type="dxa"/>
            <w:noWrap w:val="0"/>
            <w:vAlign w:val="center"/>
          </w:tcPr>
          <w:p w14:paraId="69DC119D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保养完成后按采购人要求整理归档保养记录，未归档的每出现1次扣2分</w:t>
            </w:r>
          </w:p>
        </w:tc>
      </w:tr>
      <w:tr w14:paraId="3F14F9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vMerge w:val="restart"/>
            <w:noWrap w:val="0"/>
            <w:vAlign w:val="center"/>
          </w:tcPr>
          <w:p w14:paraId="731FAB37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备件供应与质量</w:t>
            </w:r>
          </w:p>
        </w:tc>
        <w:tc>
          <w:tcPr>
            <w:tcW w:w="7005" w:type="dxa"/>
            <w:noWrap w:val="0"/>
            <w:vAlign w:val="center"/>
          </w:tcPr>
          <w:p w14:paraId="76973E96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更换备件为原厂全新零备件，且具备可溯性，更换时按时提交备件相关资料，未按时提交资料扣5分/次</w:t>
            </w:r>
          </w:p>
        </w:tc>
      </w:tr>
      <w:tr w14:paraId="0170C7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vMerge w:val="continue"/>
            <w:noWrap w:val="0"/>
            <w:vAlign w:val="center"/>
          </w:tcPr>
          <w:p w14:paraId="5BF7CC52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</w:p>
        </w:tc>
        <w:tc>
          <w:tcPr>
            <w:tcW w:w="7005" w:type="dxa"/>
            <w:noWrap w:val="0"/>
            <w:vAlign w:val="center"/>
          </w:tcPr>
          <w:p w14:paraId="787B4CD2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核心备件（如256排CT球管）供应及时，无因备件缺货导致设备停运超48小时的情况，每出现1次缺货停运扣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</w:t>
            </w:r>
          </w:p>
        </w:tc>
      </w:tr>
      <w:tr w14:paraId="329B1E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0" w:hRule="atLeast"/>
        </w:trPr>
        <w:tc>
          <w:tcPr>
            <w:tcW w:w="1419" w:type="dxa"/>
            <w:vMerge w:val="continue"/>
            <w:noWrap w:val="0"/>
            <w:vAlign w:val="center"/>
          </w:tcPr>
          <w:p w14:paraId="6CBD2E4F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7005" w:type="dxa"/>
            <w:noWrap w:val="0"/>
            <w:vAlign w:val="center"/>
          </w:tcPr>
          <w:p w14:paraId="44FAFE6A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备件更换后未对设备质量、图像效果造成不良影响，出现1次不良影响扣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</w:t>
            </w:r>
          </w:p>
        </w:tc>
      </w:tr>
      <w:tr w14:paraId="7DFC79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</w:trPr>
        <w:tc>
          <w:tcPr>
            <w:tcW w:w="1419" w:type="dxa"/>
            <w:noWrap w:val="0"/>
            <w:vAlign w:val="center"/>
          </w:tcPr>
          <w:p w14:paraId="062C70EE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培训与技术支持</w:t>
            </w:r>
          </w:p>
        </w:tc>
        <w:tc>
          <w:tcPr>
            <w:tcW w:w="7005" w:type="dxa"/>
            <w:noWrap w:val="0"/>
            <w:vAlign w:val="center"/>
          </w:tcPr>
          <w:p w14:paraId="615A185D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培训提供完整的培训资料和培训记录，现场培训满足采购人实际需求，培训效果不佳的扣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-5分</w:t>
            </w:r>
          </w:p>
        </w:tc>
      </w:tr>
      <w:tr w14:paraId="41E7B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vMerge w:val="restart"/>
            <w:noWrap w:val="0"/>
            <w:vAlign w:val="center"/>
          </w:tcPr>
          <w:p w14:paraId="015C9FC2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设备运行保障</w:t>
            </w:r>
          </w:p>
        </w:tc>
        <w:tc>
          <w:tcPr>
            <w:tcW w:w="7005" w:type="dxa"/>
            <w:noWrap w:val="0"/>
            <w:vAlign w:val="center"/>
          </w:tcPr>
          <w:p w14:paraId="049091DF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设备运行期间因维保不当导致的故障停机，每出现1次扣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</w:t>
            </w:r>
          </w:p>
        </w:tc>
      </w:tr>
      <w:tr w14:paraId="4BF924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1419" w:type="dxa"/>
            <w:vMerge w:val="continue"/>
            <w:noWrap w:val="0"/>
            <w:vAlign w:val="center"/>
          </w:tcPr>
          <w:p w14:paraId="6290309D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7005" w:type="dxa"/>
            <w:noWrap w:val="0"/>
            <w:vAlign w:val="center"/>
          </w:tcPr>
          <w:p w14:paraId="3DC1B13A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设备各项技术指标、成像质量符合国家及厂家标准，年度检测中各项指标合格，出现1项指标不合格扣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</w:t>
            </w:r>
          </w:p>
        </w:tc>
      </w:tr>
      <w:tr w14:paraId="092C2F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vMerge w:val="continue"/>
            <w:noWrap w:val="0"/>
            <w:vAlign w:val="center"/>
          </w:tcPr>
          <w:p w14:paraId="48784FD5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7005" w:type="dxa"/>
            <w:noWrap w:val="0"/>
            <w:vAlign w:val="center"/>
          </w:tcPr>
          <w:p w14:paraId="6F6E2DC5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协助采购人完成设备年度质控检测，顺利取得合格证，未提供有效协助导致检测不合格的扣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</w:t>
            </w:r>
          </w:p>
        </w:tc>
      </w:tr>
      <w:tr w14:paraId="2345BE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vMerge w:val="restart"/>
            <w:noWrap w:val="0"/>
            <w:vAlign w:val="center"/>
          </w:tcPr>
          <w:p w14:paraId="48CAA0CB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服务管理规范</w:t>
            </w:r>
          </w:p>
        </w:tc>
        <w:tc>
          <w:tcPr>
            <w:tcW w:w="7005" w:type="dxa"/>
            <w:noWrap w:val="0"/>
            <w:vAlign w:val="center"/>
          </w:tcPr>
          <w:p w14:paraId="4D1F4985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派驻的维保人员与投标文件承诺一致，具备相应设备专业维保能力，且持有对应品牌（GE/飞利浦/华系）认证工程师证书，人员不符或无证上岗的，每出现1人扣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</w:t>
            </w:r>
          </w:p>
        </w:tc>
      </w:tr>
      <w:tr w14:paraId="7CADFD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vMerge w:val="continue"/>
            <w:noWrap w:val="0"/>
            <w:vAlign w:val="center"/>
          </w:tcPr>
          <w:p w14:paraId="6D5AC851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</w:p>
        </w:tc>
        <w:tc>
          <w:tcPr>
            <w:tcW w:w="7005" w:type="dxa"/>
            <w:noWrap w:val="0"/>
            <w:vAlign w:val="center"/>
          </w:tcPr>
          <w:p w14:paraId="270801AB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维保人员保持相对稳定，无无故更换人员情况，确需更换的提前7个工作日向采购人报备并提供替代人员资质证明，未报备更换的扣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分/次</w:t>
            </w:r>
          </w:p>
        </w:tc>
      </w:tr>
      <w:tr w14:paraId="23C80C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vMerge w:val="restart"/>
            <w:noWrap w:val="0"/>
            <w:vAlign w:val="center"/>
          </w:tcPr>
          <w:p w14:paraId="26C1330C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记录与档案管理</w:t>
            </w:r>
          </w:p>
        </w:tc>
        <w:tc>
          <w:tcPr>
            <w:tcW w:w="7005" w:type="dxa"/>
            <w:noWrap w:val="0"/>
            <w:vAlign w:val="center"/>
          </w:tcPr>
          <w:p w14:paraId="69355847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建立完整的设备维保档案，包含维修记录、保养记录、备件更换记录、设备运行数据等，档案整理规范、可追溯，档案不完整、不规范的扣2-5分</w:t>
            </w:r>
          </w:p>
        </w:tc>
      </w:tr>
      <w:tr w14:paraId="7C67EE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vMerge w:val="continue"/>
            <w:noWrap w:val="0"/>
            <w:vAlign w:val="center"/>
          </w:tcPr>
          <w:p w14:paraId="14642529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7005" w:type="dxa"/>
            <w:noWrap w:val="0"/>
            <w:vAlign w:val="center"/>
          </w:tcPr>
          <w:p w14:paraId="2714EE2B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按采购人要求及时上报设备运行、维保等相关数据，未按时上报的扣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分/次</w:t>
            </w:r>
          </w:p>
        </w:tc>
      </w:tr>
      <w:tr w14:paraId="21BBD9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vMerge w:val="restart"/>
            <w:noWrap w:val="0"/>
            <w:vAlign w:val="center"/>
          </w:tcPr>
          <w:p w14:paraId="6BDABC92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服务态度与配合度</w:t>
            </w:r>
          </w:p>
        </w:tc>
        <w:tc>
          <w:tcPr>
            <w:tcW w:w="7005" w:type="dxa"/>
            <w:noWrap w:val="0"/>
            <w:vAlign w:val="center"/>
          </w:tcPr>
          <w:p w14:paraId="4915F342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维保人员服务态度良好，无推诿、拖延、敷衍等情况，采购人投诉1次且核实属实的扣2分</w:t>
            </w:r>
          </w:p>
        </w:tc>
      </w:tr>
      <w:tr w14:paraId="701BE8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0" w:hRule="atLeast"/>
        </w:trPr>
        <w:tc>
          <w:tcPr>
            <w:tcW w:w="1419" w:type="dxa"/>
            <w:vMerge w:val="continue"/>
            <w:noWrap w:val="0"/>
            <w:vAlign w:val="center"/>
          </w:tcPr>
          <w:p w14:paraId="40EE8497">
            <w:pPr>
              <w:widowControl w:val="0"/>
              <w:bidi w:val="0"/>
              <w:spacing w:line="360" w:lineRule="auto"/>
              <w:jc w:val="center"/>
              <w:rPr>
                <w:rFonts w:hint="eastAsia" w:ascii="宋体" w:hAnsi="宋体" w:eastAsia="宋体" w:cs="宋体"/>
                <w:sz w:val="24"/>
                <w:szCs w:val="24"/>
              </w:rPr>
            </w:pPr>
          </w:p>
        </w:tc>
        <w:tc>
          <w:tcPr>
            <w:tcW w:w="7005" w:type="dxa"/>
            <w:noWrap w:val="0"/>
            <w:vAlign w:val="center"/>
          </w:tcPr>
          <w:p w14:paraId="72093BCC">
            <w:pPr>
              <w:widowControl w:val="0"/>
              <w:bidi w:val="0"/>
              <w:spacing w:line="360" w:lineRule="auto"/>
              <w:jc w:val="both"/>
              <w:rPr>
                <w:rFonts w:hint="eastAsia"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积极配合采购人开展设备管理、日常核查、应急处置等工作，配合不力的扣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-</w:t>
            </w:r>
            <w:r>
              <w:rPr>
                <w:rFonts w:hint="eastAsia" w:ascii="宋体" w:hAnsi="宋体" w:eastAsia="宋体" w:cs="宋体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分</w:t>
            </w:r>
          </w:p>
        </w:tc>
      </w:tr>
    </w:tbl>
    <w:p w14:paraId="22EB54B7">
      <w:pPr>
        <w:spacing w:line="360" w:lineRule="auto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</w:pPr>
    </w:p>
    <w:p w14:paraId="60827279">
      <w:pPr>
        <w:spacing w:line="360" w:lineRule="auto"/>
        <w:ind w:firstLine="480" w:firstLineChars="200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sz w:val="24"/>
          <w:szCs w:val="24"/>
        </w:rPr>
        <w:t>1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考核合格：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中标人</w:t>
      </w:r>
      <w:r>
        <w:rPr>
          <w:rFonts w:hint="eastAsia" w:ascii="宋体" w:hAnsi="宋体" w:eastAsia="宋体" w:cs="宋体"/>
          <w:sz w:val="24"/>
          <w:szCs w:val="24"/>
        </w:rPr>
        <w:t>年度考核得分＜80分，采购人有权终止合同，并按照合同约定追究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中标人</w:t>
      </w:r>
      <w:r>
        <w:rPr>
          <w:rFonts w:hint="eastAsia" w:ascii="宋体" w:hAnsi="宋体" w:eastAsia="宋体" w:cs="宋体"/>
          <w:sz w:val="24"/>
          <w:szCs w:val="24"/>
        </w:rPr>
        <w:t>的违约责任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</w:rPr>
        <w:t>同时采购人将重新组织采购活动。</w:t>
      </w:r>
    </w:p>
    <w:p w14:paraId="533E345E">
      <w:pPr>
        <w:numPr>
          <w:ilvl w:val="0"/>
          <w:numId w:val="0"/>
        </w:numPr>
        <w:spacing w:line="360" w:lineRule="auto"/>
        <w:ind w:firstLine="480" w:firstLineChars="200"/>
        <w:rPr>
          <w:rFonts w:hint="default" w:ascii="宋体" w:hAnsi="宋体" w:eastAsia="宋体" w:cs="宋体"/>
          <w:b/>
          <w:bCs/>
          <w:color w:val="auto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  <w:lang w:eastAsia="zh-CN"/>
        </w:rPr>
        <w:t>、</w:t>
      </w:r>
      <w:r>
        <w:rPr>
          <w:rFonts w:hint="eastAsia" w:ascii="宋体" w:hAnsi="宋体" w:eastAsia="宋体" w:cs="宋体"/>
          <w:sz w:val="24"/>
          <w:szCs w:val="24"/>
        </w:rPr>
        <w:t>整改要求：考核中发现维保单位存在服务短板、履约不到位等问题的，无论考核是否合格，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中标人</w:t>
      </w:r>
      <w:r>
        <w:rPr>
          <w:rFonts w:hint="eastAsia" w:ascii="宋体" w:hAnsi="宋体" w:eastAsia="宋体" w:cs="宋体"/>
          <w:sz w:val="24"/>
          <w:szCs w:val="24"/>
        </w:rPr>
        <w:t>均需在收到考核结果通知后15个工作日内提交整改方案，采购人跟踪整改落实情况，整改不到位的将影响后续考核及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合同履约</w:t>
      </w:r>
      <w:r>
        <w:rPr>
          <w:rFonts w:hint="eastAsia" w:ascii="宋体" w:hAnsi="宋体" w:eastAsia="宋体" w:cs="宋体"/>
          <w:sz w:val="24"/>
          <w:szCs w:val="24"/>
        </w:rPr>
        <w:t>。</w:t>
      </w:r>
    </w:p>
    <w:p w14:paraId="24229F98"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1707C57"/>
    <w:rsid w:val="71707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2026-04-13T06:12:00Z</dcterms:created>
  <dc:creator>Administrator</dc:creator>
  <cp:lastModifiedBy>Administrator</cp:lastModifiedBy>
  <dcterms:modified xsi:type="dcterms:W3CDTF">2026-04-13T06:12:24Z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C74DFEACA6F7460982E3C4907F0C0B7B_11</vt:lpwstr>
  </property>
  <property fmtid="{D5CDD505-2E9C-101B-9397-08002B2CF9AE}" pid="4" name="KSOTemplateDocerSaveRecord">
    <vt:lpwstr>eyJoZGlkIjoiYTU1NTQ2Mjk0ODY1ODIzNDAwMGEyZTQ1NTM0NTNkYWUiLCJ1c2VySWQiOiI0NjA3OTM0NzEifQ==</vt:lpwstr>
  </property>
</Properties>
</file>