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A9D1756">
      <w:pPr>
        <w:widowControl w:val="0"/>
        <w:spacing w:before="63" w:line="224" w:lineRule="auto"/>
        <w:jc w:val="center"/>
        <w:outlineLvl w:val="0"/>
        <w:rPr>
          <w:rFonts w:ascii="宋体" w:hAnsi="宋体" w:eastAsia="宋体" w:cs="宋体"/>
          <w:color w:val="auto"/>
          <w:sz w:val="31"/>
          <w:szCs w:val="31"/>
          <w:lang w:eastAsia="zh-CN"/>
        </w:rPr>
      </w:pPr>
      <w:r>
        <w:rPr>
          <w:rFonts w:ascii="宋体" w:hAnsi="宋体" w:eastAsia="宋体" w:cs="宋体"/>
          <w:color w:val="auto"/>
          <w:sz w:val="31"/>
          <w:szCs w:val="31"/>
          <w:lang w:eastAsia="zh-CN"/>
          <w14:textOutline w14:w="5791" w14:cap="sq" w14:cmpd="sng" w14:algn="ctr">
            <w14:solidFill>
              <w14:srgbClr w14:val="000000"/>
            </w14:solidFill>
            <w14:prstDash w14:val="solid"/>
            <w14:bevel/>
          </w14:textOutline>
        </w:rPr>
        <w:t>采购需求</w:t>
      </w:r>
    </w:p>
    <w:p w14:paraId="7589663E">
      <w:pPr>
        <w:widowControl w:val="0"/>
        <w:spacing w:line="309" w:lineRule="auto"/>
        <w:rPr>
          <w:color w:val="auto"/>
          <w:lang w:eastAsia="zh-CN"/>
        </w:rPr>
      </w:pPr>
    </w:p>
    <w:p w14:paraId="530058A7">
      <w:pPr>
        <w:widowControl w:val="0"/>
        <w:spacing w:before="78" w:line="220" w:lineRule="auto"/>
        <w:jc w:val="both"/>
        <w:outlineLvl w:val="1"/>
        <w:rPr>
          <w:rFonts w:ascii="宋体" w:hAnsi="宋体" w:eastAsia="宋体" w:cs="宋体"/>
          <w:color w:val="auto"/>
          <w:sz w:val="24"/>
          <w:szCs w:val="24"/>
          <w:lang w:eastAsia="zh-CN"/>
        </w:rPr>
      </w:pPr>
      <w:bookmarkStart w:id="0" w:name="_Toc20621"/>
      <w:bookmarkStart w:id="1" w:name="_Toc32226"/>
      <w:r>
        <w:rPr>
          <w:rFonts w:ascii="宋体" w:hAnsi="宋体" w:eastAsia="宋体" w:cs="宋体"/>
          <w:color w:val="auto"/>
          <w:sz w:val="24"/>
          <w:szCs w:val="24"/>
          <w:lang w:eastAsia="zh-CN"/>
          <w14:textOutline w14:w="4356" w14:cap="sq" w14:cmpd="sng" w14:algn="ctr">
            <w14:solidFill>
              <w14:srgbClr w14:val="000000"/>
            </w14:solidFill>
            <w14:prstDash w14:val="solid"/>
            <w14:bevel/>
          </w14:textOutline>
        </w:rPr>
        <w:t>一、</w:t>
      </w:r>
      <w:r>
        <w:rPr>
          <w:rFonts w:hint="eastAsia" w:ascii="宋体" w:hAnsi="宋体" w:eastAsia="宋体" w:cs="宋体"/>
          <w:color w:val="auto"/>
          <w:sz w:val="24"/>
          <w:szCs w:val="24"/>
          <w:lang w:eastAsia="zh-CN"/>
          <w14:textOutline w14:w="4356" w14:cap="sq" w14:cmpd="sng" w14:algn="ctr">
            <w14:solidFill>
              <w14:srgbClr w14:val="000000"/>
            </w14:solidFill>
            <w14:prstDash w14:val="solid"/>
            <w14:bevel/>
          </w14:textOutline>
        </w:rPr>
        <w:t>采购</w:t>
      </w:r>
      <w:r>
        <w:rPr>
          <w:rFonts w:ascii="宋体" w:hAnsi="宋体" w:eastAsia="宋体" w:cs="宋体"/>
          <w:color w:val="auto"/>
          <w:sz w:val="24"/>
          <w:szCs w:val="24"/>
          <w:lang w:eastAsia="zh-CN"/>
          <w14:textOutline w14:w="4356" w14:cap="sq" w14:cmpd="sng" w14:algn="ctr">
            <w14:solidFill>
              <w14:srgbClr w14:val="000000"/>
            </w14:solidFill>
            <w14:prstDash w14:val="solid"/>
            <w14:bevel/>
          </w14:textOutline>
        </w:rPr>
        <w:t>需求</w:t>
      </w:r>
      <w:bookmarkEnd w:id="0"/>
      <w:bookmarkEnd w:id="1"/>
    </w:p>
    <w:p w14:paraId="1DE36A12">
      <w:pPr>
        <w:spacing w:before="308" w:line="218" w:lineRule="auto"/>
        <w:ind w:left="423"/>
        <w:rPr>
          <w:rFonts w:ascii="宋体" w:hAnsi="宋体" w:eastAsia="宋体" w:cs="宋体"/>
          <w:color w:val="auto"/>
          <w:sz w:val="24"/>
          <w:szCs w:val="24"/>
        </w:rPr>
      </w:pPr>
      <w:r>
        <w:rPr>
          <w:rFonts w:ascii="宋体" w:hAnsi="宋体" w:eastAsia="宋体" w:cs="宋体"/>
          <w:color w:val="auto"/>
          <w:spacing w:val="-7"/>
          <w:sz w:val="24"/>
          <w:szCs w:val="24"/>
        </w:rPr>
        <w:t>1、报价要求</w:t>
      </w:r>
    </w:p>
    <w:p w14:paraId="69B87798">
      <w:pPr>
        <w:spacing w:line="131" w:lineRule="exact"/>
        <w:rPr>
          <w:color w:val="auto"/>
        </w:rPr>
      </w:pPr>
    </w:p>
    <w:tbl>
      <w:tblPr>
        <w:tblStyle w:val="14"/>
        <w:tblW w:w="5179" w:type="pct"/>
        <w:tblInd w:w="-31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autofit"/>
        <w:tblCellMar>
          <w:top w:w="0" w:type="dxa"/>
          <w:left w:w="0" w:type="dxa"/>
          <w:bottom w:w="0" w:type="dxa"/>
          <w:right w:w="0" w:type="dxa"/>
        </w:tblCellMar>
      </w:tblPr>
      <w:tblGrid>
        <w:gridCol w:w="1845"/>
        <w:gridCol w:w="2640"/>
        <w:gridCol w:w="1395"/>
        <w:gridCol w:w="1829"/>
        <w:gridCol w:w="930"/>
      </w:tblGrid>
      <w:tr w14:paraId="3A850C4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32" w:hRule="atLeast"/>
        </w:trPr>
        <w:tc>
          <w:tcPr>
            <w:tcW w:w="1067" w:type="pct"/>
            <w:vAlign w:val="center"/>
          </w:tcPr>
          <w:p w14:paraId="612C2A58">
            <w:pPr>
              <w:pStyle w:val="13"/>
              <w:spacing w:line="220" w:lineRule="auto"/>
              <w:jc w:val="center"/>
              <w:rPr>
                <w:rFonts w:asciiTheme="minorEastAsia" w:hAnsiTheme="minorEastAsia" w:eastAsiaTheme="minorEastAsia" w:cstheme="minorEastAsia"/>
                <w:color w:val="auto"/>
                <w:spacing w:val="-14"/>
                <w:sz w:val="24"/>
                <w:szCs w:val="24"/>
              </w:rPr>
            </w:pPr>
            <w:r>
              <w:rPr>
                <w:rFonts w:hint="eastAsia" w:asciiTheme="minorEastAsia" w:hAnsiTheme="minorEastAsia" w:eastAsiaTheme="minorEastAsia" w:cstheme="minorEastAsia"/>
                <w:color w:val="auto"/>
                <w:spacing w:val="-14"/>
                <w:sz w:val="24"/>
                <w:szCs w:val="24"/>
              </w:rPr>
              <w:t>项目名称</w:t>
            </w:r>
          </w:p>
        </w:tc>
        <w:tc>
          <w:tcPr>
            <w:tcW w:w="1527" w:type="pct"/>
            <w:vAlign w:val="center"/>
          </w:tcPr>
          <w:p w14:paraId="15D8693D">
            <w:pPr>
              <w:pStyle w:val="13"/>
              <w:spacing w:line="220" w:lineRule="auto"/>
              <w:jc w:val="center"/>
              <w:rPr>
                <w:rFonts w:asciiTheme="minorEastAsia" w:hAnsiTheme="minorEastAsia" w:eastAsiaTheme="minorEastAsia" w:cstheme="minorEastAsia"/>
                <w:color w:val="auto"/>
                <w:spacing w:val="-14"/>
                <w:sz w:val="24"/>
                <w:szCs w:val="24"/>
              </w:rPr>
            </w:pPr>
            <w:r>
              <w:rPr>
                <w:rFonts w:hint="eastAsia" w:asciiTheme="minorEastAsia" w:hAnsiTheme="minorEastAsia" w:eastAsiaTheme="minorEastAsia" w:cstheme="minorEastAsia"/>
                <w:color w:val="auto"/>
                <w:spacing w:val="-14"/>
                <w:sz w:val="24"/>
                <w:szCs w:val="24"/>
              </w:rPr>
              <w:t>采购内容</w:t>
            </w:r>
          </w:p>
        </w:tc>
        <w:tc>
          <w:tcPr>
            <w:tcW w:w="807" w:type="pct"/>
            <w:vAlign w:val="center"/>
          </w:tcPr>
          <w:p w14:paraId="0911F186">
            <w:pPr>
              <w:pStyle w:val="13"/>
              <w:spacing w:line="220" w:lineRule="auto"/>
              <w:jc w:val="center"/>
              <w:rPr>
                <w:rFonts w:asciiTheme="minorEastAsia" w:hAnsiTheme="minorEastAsia" w:eastAsiaTheme="minorEastAsia" w:cstheme="minorEastAsia"/>
                <w:color w:val="auto"/>
                <w:spacing w:val="-14"/>
                <w:sz w:val="24"/>
                <w:szCs w:val="24"/>
              </w:rPr>
            </w:pPr>
            <w:r>
              <w:rPr>
                <w:rFonts w:hint="eastAsia" w:asciiTheme="minorEastAsia" w:hAnsiTheme="minorEastAsia" w:eastAsiaTheme="minorEastAsia" w:cstheme="minorEastAsia"/>
                <w:color w:val="auto"/>
                <w:spacing w:val="-14"/>
                <w:sz w:val="24"/>
                <w:szCs w:val="24"/>
              </w:rPr>
              <w:t>数量/单位</w:t>
            </w:r>
          </w:p>
        </w:tc>
        <w:tc>
          <w:tcPr>
            <w:tcW w:w="1058" w:type="pct"/>
            <w:vAlign w:val="center"/>
          </w:tcPr>
          <w:p w14:paraId="7750860E">
            <w:pPr>
              <w:pStyle w:val="13"/>
              <w:spacing w:line="220" w:lineRule="auto"/>
              <w:jc w:val="center"/>
              <w:rPr>
                <w:rFonts w:asciiTheme="minorEastAsia" w:hAnsiTheme="minorEastAsia" w:eastAsiaTheme="minorEastAsia" w:cstheme="minorEastAsia"/>
                <w:color w:val="auto"/>
                <w:spacing w:val="-14"/>
                <w:sz w:val="24"/>
                <w:szCs w:val="24"/>
              </w:rPr>
            </w:pPr>
            <w:r>
              <w:rPr>
                <w:rFonts w:hint="eastAsia" w:asciiTheme="minorEastAsia" w:hAnsiTheme="minorEastAsia" w:eastAsiaTheme="minorEastAsia" w:cstheme="minorEastAsia"/>
                <w:color w:val="auto"/>
                <w:spacing w:val="-14"/>
                <w:sz w:val="24"/>
                <w:szCs w:val="24"/>
              </w:rPr>
              <w:t>最高限价</w:t>
            </w:r>
          </w:p>
        </w:tc>
        <w:tc>
          <w:tcPr>
            <w:tcW w:w="538" w:type="pct"/>
            <w:vAlign w:val="center"/>
          </w:tcPr>
          <w:p w14:paraId="352B3C0A">
            <w:pPr>
              <w:pStyle w:val="13"/>
              <w:spacing w:line="220" w:lineRule="auto"/>
              <w:jc w:val="center"/>
              <w:rPr>
                <w:rFonts w:asciiTheme="minorEastAsia" w:hAnsiTheme="minorEastAsia" w:eastAsiaTheme="minorEastAsia" w:cstheme="minorEastAsia"/>
                <w:color w:val="auto"/>
                <w:spacing w:val="-14"/>
                <w:sz w:val="24"/>
                <w:szCs w:val="24"/>
              </w:rPr>
            </w:pPr>
            <w:r>
              <w:rPr>
                <w:rFonts w:hint="eastAsia" w:asciiTheme="minorEastAsia" w:hAnsiTheme="minorEastAsia" w:eastAsiaTheme="minorEastAsia" w:cstheme="minorEastAsia"/>
                <w:color w:val="auto"/>
                <w:spacing w:val="-14"/>
                <w:sz w:val="24"/>
                <w:szCs w:val="24"/>
              </w:rPr>
              <w:t>备注</w:t>
            </w:r>
          </w:p>
        </w:tc>
      </w:tr>
      <w:tr w14:paraId="562CDBA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186" w:hRule="atLeast"/>
        </w:trPr>
        <w:tc>
          <w:tcPr>
            <w:tcW w:w="1067" w:type="pct"/>
            <w:vMerge w:val="restart"/>
            <w:tcBorders>
              <w:bottom w:val="nil"/>
            </w:tcBorders>
            <w:vAlign w:val="center"/>
          </w:tcPr>
          <w:p w14:paraId="12B18039">
            <w:pPr>
              <w:pStyle w:val="13"/>
              <w:spacing w:line="360" w:lineRule="auto"/>
              <w:jc w:val="center"/>
              <w:rPr>
                <w:rFonts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z w:val="24"/>
                <w:szCs w:val="24"/>
                <w:lang w:eastAsia="zh-CN"/>
              </w:rPr>
              <w:t>2026年度生态环境监督性、执法及应急和生态样地服务项目</w:t>
            </w:r>
          </w:p>
        </w:tc>
        <w:tc>
          <w:tcPr>
            <w:tcW w:w="1527" w:type="pct"/>
            <w:vAlign w:val="center"/>
          </w:tcPr>
          <w:p w14:paraId="5412BEDC">
            <w:pPr>
              <w:pStyle w:val="13"/>
              <w:spacing w:line="384" w:lineRule="auto"/>
              <w:jc w:val="center"/>
              <w:rPr>
                <w:rFonts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pacing w:val="-1"/>
                <w:sz w:val="24"/>
                <w:szCs w:val="24"/>
                <w:lang w:eastAsia="zh-CN"/>
              </w:rPr>
              <w:t>采购清单及技术参数要求</w:t>
            </w:r>
            <w:r>
              <w:rPr>
                <w:rFonts w:hint="eastAsia" w:asciiTheme="minorEastAsia" w:hAnsiTheme="minorEastAsia" w:eastAsiaTheme="minorEastAsia" w:cstheme="minorEastAsia"/>
                <w:color w:val="auto"/>
                <w:spacing w:val="-2"/>
                <w:sz w:val="24"/>
                <w:szCs w:val="24"/>
                <w:lang w:eastAsia="zh-CN"/>
              </w:rPr>
              <w:t>（一）-（三十项）</w:t>
            </w:r>
          </w:p>
        </w:tc>
        <w:tc>
          <w:tcPr>
            <w:tcW w:w="807" w:type="pct"/>
            <w:vAlign w:val="center"/>
          </w:tcPr>
          <w:p w14:paraId="121DD5B3">
            <w:pPr>
              <w:spacing w:line="391" w:lineRule="auto"/>
              <w:jc w:val="center"/>
              <w:rPr>
                <w:rFonts w:asciiTheme="minorEastAsia" w:hAnsiTheme="minorEastAsia" w:eastAsiaTheme="minorEastAsia" w:cstheme="minorEastAsia"/>
                <w:color w:val="auto"/>
                <w:sz w:val="24"/>
                <w:szCs w:val="24"/>
                <w:lang w:eastAsia="zh-CN"/>
              </w:rPr>
            </w:pPr>
          </w:p>
          <w:p w14:paraId="0844EA6D">
            <w:pPr>
              <w:pStyle w:val="13"/>
              <w:spacing w:line="220" w:lineRule="auto"/>
              <w:jc w:val="center"/>
              <w:rPr>
                <w:rFonts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pacing w:val="-14"/>
                <w:sz w:val="24"/>
                <w:szCs w:val="24"/>
              </w:rPr>
              <w:t>1</w:t>
            </w:r>
            <w:r>
              <w:rPr>
                <w:rFonts w:hint="eastAsia" w:asciiTheme="minorEastAsia" w:hAnsiTheme="minorEastAsia" w:eastAsiaTheme="minorEastAsia" w:cstheme="minorEastAsia"/>
                <w:color w:val="auto"/>
                <w:spacing w:val="-47"/>
                <w:sz w:val="24"/>
                <w:szCs w:val="24"/>
              </w:rPr>
              <w:t xml:space="preserve"> </w:t>
            </w:r>
            <w:r>
              <w:rPr>
                <w:rFonts w:hint="eastAsia" w:asciiTheme="minorEastAsia" w:hAnsiTheme="minorEastAsia" w:eastAsiaTheme="minorEastAsia" w:cstheme="minorEastAsia"/>
                <w:color w:val="auto"/>
                <w:spacing w:val="-14"/>
                <w:sz w:val="24"/>
                <w:szCs w:val="24"/>
              </w:rPr>
              <w:t>项</w:t>
            </w:r>
          </w:p>
        </w:tc>
        <w:tc>
          <w:tcPr>
            <w:tcW w:w="1058" w:type="pct"/>
            <w:vAlign w:val="center"/>
          </w:tcPr>
          <w:p w14:paraId="667C5D43">
            <w:pPr>
              <w:spacing w:line="391" w:lineRule="auto"/>
              <w:jc w:val="center"/>
              <w:rPr>
                <w:rFonts w:asciiTheme="minorEastAsia" w:hAnsiTheme="minorEastAsia" w:eastAsiaTheme="minorEastAsia" w:cstheme="minorEastAsia"/>
                <w:color w:val="auto"/>
                <w:sz w:val="24"/>
                <w:szCs w:val="24"/>
              </w:rPr>
            </w:pPr>
          </w:p>
          <w:p w14:paraId="371D9ECB">
            <w:pPr>
              <w:pStyle w:val="13"/>
              <w:spacing w:line="220" w:lineRule="auto"/>
              <w:jc w:val="center"/>
              <w:rPr>
                <w:rFonts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pacing w:val="-3"/>
                <w:sz w:val="24"/>
                <w:szCs w:val="24"/>
              </w:rPr>
              <w:t>700000</w:t>
            </w:r>
            <w:r>
              <w:rPr>
                <w:rFonts w:hint="eastAsia" w:asciiTheme="minorEastAsia" w:hAnsiTheme="minorEastAsia" w:eastAsiaTheme="minorEastAsia" w:cstheme="minorEastAsia"/>
                <w:color w:val="auto"/>
                <w:spacing w:val="-44"/>
                <w:sz w:val="24"/>
                <w:szCs w:val="24"/>
              </w:rPr>
              <w:t xml:space="preserve"> </w:t>
            </w:r>
            <w:r>
              <w:rPr>
                <w:rFonts w:hint="eastAsia" w:asciiTheme="minorEastAsia" w:hAnsiTheme="minorEastAsia" w:eastAsiaTheme="minorEastAsia" w:cstheme="minorEastAsia"/>
                <w:color w:val="auto"/>
                <w:spacing w:val="-3"/>
                <w:sz w:val="24"/>
                <w:szCs w:val="24"/>
              </w:rPr>
              <w:t>元</w:t>
            </w:r>
          </w:p>
        </w:tc>
        <w:tc>
          <w:tcPr>
            <w:tcW w:w="538" w:type="pct"/>
            <w:vMerge w:val="restart"/>
            <w:tcBorders>
              <w:bottom w:val="nil"/>
            </w:tcBorders>
          </w:tcPr>
          <w:p w14:paraId="673543DD">
            <w:pPr>
              <w:rPr>
                <w:rFonts w:asciiTheme="minorEastAsia" w:hAnsiTheme="minorEastAsia" w:eastAsiaTheme="minorEastAsia" w:cstheme="minorEastAsia"/>
                <w:color w:val="auto"/>
                <w:sz w:val="24"/>
                <w:szCs w:val="24"/>
              </w:rPr>
            </w:pPr>
          </w:p>
        </w:tc>
      </w:tr>
      <w:tr w14:paraId="7BA3944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772" w:hRule="atLeast"/>
        </w:trPr>
        <w:tc>
          <w:tcPr>
            <w:tcW w:w="1067" w:type="pct"/>
            <w:vMerge w:val="continue"/>
            <w:tcBorders>
              <w:top w:val="nil"/>
            </w:tcBorders>
          </w:tcPr>
          <w:p w14:paraId="2C1290C7">
            <w:pPr>
              <w:jc w:val="center"/>
              <w:rPr>
                <w:rFonts w:asciiTheme="minorEastAsia" w:hAnsiTheme="minorEastAsia" w:eastAsiaTheme="minorEastAsia" w:cstheme="minorEastAsia"/>
                <w:color w:val="auto"/>
                <w:sz w:val="24"/>
                <w:szCs w:val="24"/>
              </w:rPr>
            </w:pPr>
          </w:p>
        </w:tc>
        <w:tc>
          <w:tcPr>
            <w:tcW w:w="1527" w:type="pct"/>
            <w:vAlign w:val="center"/>
          </w:tcPr>
          <w:p w14:paraId="3FDCB485">
            <w:pPr>
              <w:pStyle w:val="13"/>
              <w:spacing w:line="219" w:lineRule="auto"/>
              <w:jc w:val="center"/>
              <w:rPr>
                <w:rFonts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pacing w:val="-1"/>
                <w:sz w:val="24"/>
                <w:szCs w:val="24"/>
                <w:lang w:eastAsia="zh-CN"/>
              </w:rPr>
              <w:t>采购清单及技术参数要求</w:t>
            </w:r>
            <w:r>
              <w:rPr>
                <w:rFonts w:hint="eastAsia" w:asciiTheme="minorEastAsia" w:hAnsiTheme="minorEastAsia" w:eastAsiaTheme="minorEastAsia" w:cstheme="minorEastAsia"/>
                <w:color w:val="auto"/>
                <w:spacing w:val="-5"/>
                <w:sz w:val="24"/>
                <w:szCs w:val="24"/>
                <w:lang w:eastAsia="zh-CN"/>
              </w:rPr>
              <w:t>（三十一项）</w:t>
            </w:r>
          </w:p>
        </w:tc>
        <w:tc>
          <w:tcPr>
            <w:tcW w:w="807" w:type="pct"/>
            <w:vAlign w:val="center"/>
          </w:tcPr>
          <w:p w14:paraId="5BFD60AD">
            <w:pPr>
              <w:pStyle w:val="13"/>
              <w:spacing w:line="220" w:lineRule="auto"/>
              <w:jc w:val="center"/>
              <w:rPr>
                <w:rFonts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pacing w:val="-14"/>
                <w:sz w:val="24"/>
                <w:szCs w:val="24"/>
              </w:rPr>
              <w:t>1</w:t>
            </w:r>
            <w:r>
              <w:rPr>
                <w:rFonts w:hint="eastAsia" w:asciiTheme="minorEastAsia" w:hAnsiTheme="minorEastAsia" w:eastAsiaTheme="minorEastAsia" w:cstheme="minorEastAsia"/>
                <w:color w:val="auto"/>
                <w:spacing w:val="-47"/>
                <w:sz w:val="24"/>
                <w:szCs w:val="24"/>
              </w:rPr>
              <w:t xml:space="preserve"> </w:t>
            </w:r>
            <w:r>
              <w:rPr>
                <w:rFonts w:hint="eastAsia" w:asciiTheme="minorEastAsia" w:hAnsiTheme="minorEastAsia" w:eastAsiaTheme="minorEastAsia" w:cstheme="minorEastAsia"/>
                <w:color w:val="auto"/>
                <w:spacing w:val="-14"/>
                <w:sz w:val="24"/>
                <w:szCs w:val="24"/>
              </w:rPr>
              <w:t>项</w:t>
            </w:r>
          </w:p>
        </w:tc>
        <w:tc>
          <w:tcPr>
            <w:tcW w:w="1058" w:type="pct"/>
            <w:vAlign w:val="center"/>
          </w:tcPr>
          <w:p w14:paraId="5DB9AD87">
            <w:pPr>
              <w:pStyle w:val="13"/>
              <w:spacing w:line="220" w:lineRule="auto"/>
              <w:jc w:val="center"/>
              <w:rPr>
                <w:rFonts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pacing w:val="-3"/>
                <w:sz w:val="24"/>
                <w:szCs w:val="24"/>
              </w:rPr>
              <w:t>300000</w:t>
            </w:r>
            <w:r>
              <w:rPr>
                <w:rFonts w:hint="eastAsia" w:asciiTheme="minorEastAsia" w:hAnsiTheme="minorEastAsia" w:eastAsiaTheme="minorEastAsia" w:cstheme="minorEastAsia"/>
                <w:color w:val="auto"/>
                <w:spacing w:val="-43"/>
                <w:sz w:val="24"/>
                <w:szCs w:val="24"/>
              </w:rPr>
              <w:t xml:space="preserve"> </w:t>
            </w:r>
            <w:r>
              <w:rPr>
                <w:rFonts w:hint="eastAsia" w:asciiTheme="minorEastAsia" w:hAnsiTheme="minorEastAsia" w:eastAsiaTheme="minorEastAsia" w:cstheme="minorEastAsia"/>
                <w:color w:val="auto"/>
                <w:spacing w:val="-3"/>
                <w:sz w:val="24"/>
                <w:szCs w:val="24"/>
              </w:rPr>
              <w:t>元</w:t>
            </w:r>
          </w:p>
        </w:tc>
        <w:tc>
          <w:tcPr>
            <w:tcW w:w="538" w:type="pct"/>
            <w:vMerge w:val="continue"/>
            <w:tcBorders>
              <w:top w:val="nil"/>
            </w:tcBorders>
          </w:tcPr>
          <w:p w14:paraId="2E279B22">
            <w:pPr>
              <w:rPr>
                <w:rFonts w:asciiTheme="minorEastAsia" w:hAnsiTheme="minorEastAsia" w:eastAsiaTheme="minorEastAsia" w:cstheme="minorEastAsia"/>
                <w:color w:val="auto"/>
                <w:sz w:val="24"/>
                <w:szCs w:val="24"/>
              </w:rPr>
            </w:pPr>
          </w:p>
        </w:tc>
      </w:tr>
    </w:tbl>
    <w:p w14:paraId="48124F07">
      <w:pPr>
        <w:spacing w:before="232" w:line="219" w:lineRule="auto"/>
        <w:ind w:left="408"/>
        <w:rPr>
          <w:rFonts w:ascii="宋体" w:hAnsi="宋体" w:eastAsia="宋体" w:cs="宋体"/>
          <w:color w:val="auto"/>
          <w:sz w:val="24"/>
          <w:szCs w:val="24"/>
        </w:rPr>
      </w:pPr>
      <w:r>
        <w:rPr>
          <w:rFonts w:ascii="宋体" w:hAnsi="宋体" w:eastAsia="宋体" w:cs="宋体"/>
          <w:color w:val="auto"/>
          <w:spacing w:val="-2"/>
          <w:sz w:val="24"/>
          <w:szCs w:val="24"/>
        </w:rPr>
        <w:t>2、《采购需求一览表》</w:t>
      </w:r>
    </w:p>
    <w:p w14:paraId="1BD0037E">
      <w:pPr>
        <w:widowControl w:val="0"/>
        <w:spacing w:before="64"/>
        <w:rPr>
          <w:color w:val="auto"/>
        </w:rPr>
      </w:pPr>
    </w:p>
    <w:tbl>
      <w:tblPr>
        <w:tblStyle w:val="14"/>
        <w:tblW w:w="4999" w:type="pct"/>
        <w:tblInd w:w="0"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autofit"/>
        <w:tblCellMar>
          <w:top w:w="0" w:type="dxa"/>
          <w:left w:w="0" w:type="dxa"/>
          <w:bottom w:w="0" w:type="dxa"/>
          <w:right w:w="0" w:type="dxa"/>
        </w:tblCellMar>
      </w:tblPr>
      <w:tblGrid>
        <w:gridCol w:w="1892"/>
        <w:gridCol w:w="756"/>
        <w:gridCol w:w="5690"/>
      </w:tblGrid>
      <w:tr w14:paraId="1281B12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292" w:hRule="atLeast"/>
        </w:trPr>
        <w:tc>
          <w:tcPr>
            <w:tcW w:w="1135" w:type="pct"/>
            <w:tcBorders>
              <w:right w:val="nil"/>
            </w:tcBorders>
          </w:tcPr>
          <w:p w14:paraId="5F472A0B">
            <w:pPr>
              <w:widowControl w:val="0"/>
              <w:spacing w:before="183" w:line="223" w:lineRule="auto"/>
              <w:ind w:left="1091"/>
              <w:rPr>
                <w:rFonts w:ascii="宋体" w:hAnsi="宋体" w:eastAsia="宋体" w:cs="宋体"/>
                <w:color w:val="auto"/>
                <w:sz w:val="24"/>
                <w:szCs w:val="24"/>
              </w:rPr>
            </w:pPr>
            <w:r>
              <w:rPr>
                <w:color w:val="auto"/>
                <w:lang w:eastAsia="zh-CN"/>
              </w:rPr>
              <w:drawing>
                <wp:anchor distT="0" distB="0" distL="0" distR="0" simplePos="0" relativeHeight="251661312" behindDoc="1" locked="0" layoutInCell="1" allowOverlap="1">
                  <wp:simplePos x="0" y="0"/>
                  <wp:positionH relativeFrom="column">
                    <wp:posOffset>6985</wp:posOffset>
                  </wp:positionH>
                  <wp:positionV relativeFrom="paragraph">
                    <wp:posOffset>0</wp:posOffset>
                  </wp:positionV>
                  <wp:extent cx="1805305" cy="1485265"/>
                  <wp:effectExtent l="0" t="0" r="4445" b="635"/>
                  <wp:wrapNone/>
                  <wp:docPr id="6" name="IM 6"/>
                  <wp:cNvGraphicFramePr/>
                  <a:graphic xmlns:a="http://schemas.openxmlformats.org/drawingml/2006/main">
                    <a:graphicData uri="http://schemas.openxmlformats.org/drawingml/2006/picture">
                      <pic:pic xmlns:pic="http://schemas.openxmlformats.org/drawingml/2006/picture">
                        <pic:nvPicPr>
                          <pic:cNvPr id="6" name="IM 6"/>
                          <pic:cNvPicPr/>
                        </pic:nvPicPr>
                        <pic:blipFill>
                          <a:blip r:embed="rId7"/>
                          <a:stretch>
                            <a:fillRect/>
                          </a:stretch>
                        </pic:blipFill>
                        <pic:spPr>
                          <a:xfrm>
                            <a:off x="0" y="0"/>
                            <a:ext cx="1805051" cy="1485442"/>
                          </a:xfrm>
                          <a:prstGeom prst="rect">
                            <a:avLst/>
                          </a:prstGeom>
                        </pic:spPr>
                      </pic:pic>
                    </a:graphicData>
                  </a:graphic>
                </wp:anchor>
              </w:drawing>
            </w:r>
            <w:r>
              <w:rPr>
                <w:rFonts w:ascii="宋体" w:hAnsi="宋体" w:eastAsia="宋体" w:cs="宋体"/>
                <w:color w:val="auto"/>
                <w:sz w:val="24"/>
                <w:szCs w:val="24"/>
              </w:rPr>
              <w:t>名</w:t>
            </w:r>
          </w:p>
          <w:p w14:paraId="47AA2063">
            <w:pPr>
              <w:pStyle w:val="13"/>
              <w:widowControl w:val="0"/>
              <w:spacing w:line="245" w:lineRule="auto"/>
              <w:rPr>
                <w:color w:val="auto"/>
              </w:rPr>
            </w:pPr>
          </w:p>
          <w:p w14:paraId="3B869799">
            <w:pPr>
              <w:pStyle w:val="13"/>
              <w:widowControl w:val="0"/>
              <w:spacing w:line="246" w:lineRule="auto"/>
              <w:rPr>
                <w:color w:val="auto"/>
              </w:rPr>
            </w:pPr>
          </w:p>
          <w:p w14:paraId="7250D8AB">
            <w:pPr>
              <w:widowControl w:val="0"/>
              <w:spacing w:before="78" w:line="219" w:lineRule="auto"/>
              <w:ind w:left="481"/>
              <w:rPr>
                <w:rFonts w:ascii="宋体" w:hAnsi="宋体" w:eastAsia="宋体" w:cs="宋体"/>
                <w:color w:val="auto"/>
                <w:sz w:val="24"/>
                <w:szCs w:val="24"/>
              </w:rPr>
            </w:pPr>
            <w:r>
              <w:rPr>
                <w:rFonts w:ascii="宋体" w:hAnsi="宋体" w:eastAsia="宋体" w:cs="宋体"/>
                <w:color w:val="auto"/>
                <w:sz w:val="24"/>
                <w:szCs w:val="24"/>
              </w:rPr>
              <w:t>内</w:t>
            </w:r>
          </w:p>
          <w:p w14:paraId="3C3D52C9">
            <w:pPr>
              <w:pStyle w:val="13"/>
              <w:widowControl w:val="0"/>
              <w:spacing w:line="338" w:lineRule="auto"/>
              <w:rPr>
                <w:color w:val="auto"/>
              </w:rPr>
            </w:pPr>
          </w:p>
          <w:p w14:paraId="452F1872">
            <w:pPr>
              <w:widowControl w:val="0"/>
              <w:spacing w:before="78" w:line="220" w:lineRule="auto"/>
              <w:ind w:left="1311"/>
              <w:rPr>
                <w:rFonts w:ascii="宋体" w:hAnsi="宋体" w:eastAsia="宋体" w:cs="宋体"/>
                <w:color w:val="auto"/>
                <w:sz w:val="24"/>
                <w:szCs w:val="24"/>
              </w:rPr>
            </w:pPr>
            <w:r>
              <w:rPr>
                <w:rFonts w:ascii="宋体" w:hAnsi="宋体" w:eastAsia="宋体" w:cs="宋体"/>
                <w:color w:val="auto"/>
                <w:sz w:val="24"/>
                <w:szCs w:val="24"/>
              </w:rPr>
              <w:t>容</w:t>
            </w:r>
          </w:p>
        </w:tc>
        <w:tc>
          <w:tcPr>
            <w:tcW w:w="453" w:type="pct"/>
            <w:tcBorders>
              <w:left w:val="nil"/>
            </w:tcBorders>
          </w:tcPr>
          <w:p w14:paraId="4ABAA13D">
            <w:pPr>
              <w:pStyle w:val="13"/>
              <w:widowControl w:val="0"/>
              <w:spacing w:line="263" w:lineRule="auto"/>
              <w:rPr>
                <w:color w:val="auto"/>
              </w:rPr>
            </w:pPr>
          </w:p>
          <w:p w14:paraId="5D070A49">
            <w:pPr>
              <w:pStyle w:val="13"/>
              <w:widowControl w:val="0"/>
              <w:spacing w:line="263" w:lineRule="auto"/>
              <w:rPr>
                <w:color w:val="auto"/>
              </w:rPr>
            </w:pPr>
          </w:p>
          <w:p w14:paraId="5C6D54EB">
            <w:pPr>
              <w:pStyle w:val="13"/>
              <w:widowControl w:val="0"/>
              <w:spacing w:line="264" w:lineRule="auto"/>
              <w:rPr>
                <w:color w:val="auto"/>
              </w:rPr>
            </w:pPr>
          </w:p>
          <w:p w14:paraId="44D18869">
            <w:pPr>
              <w:widowControl w:val="0"/>
              <w:spacing w:before="78" w:line="221" w:lineRule="auto"/>
              <w:ind w:left="192"/>
              <w:rPr>
                <w:rFonts w:ascii="宋体" w:hAnsi="宋体" w:eastAsia="宋体" w:cs="宋体"/>
                <w:color w:val="auto"/>
                <w:sz w:val="24"/>
                <w:szCs w:val="24"/>
              </w:rPr>
            </w:pPr>
            <w:r>
              <w:rPr>
                <w:rFonts w:ascii="宋体" w:hAnsi="宋体" w:eastAsia="宋体" w:cs="宋体"/>
                <w:color w:val="auto"/>
                <w:sz w:val="24"/>
                <w:szCs w:val="24"/>
              </w:rPr>
              <w:t>称</w:t>
            </w:r>
          </w:p>
        </w:tc>
        <w:tc>
          <w:tcPr>
            <w:tcW w:w="3411" w:type="pct"/>
            <w:vAlign w:val="center"/>
          </w:tcPr>
          <w:p w14:paraId="1EDDB090">
            <w:pPr>
              <w:pStyle w:val="13"/>
              <w:widowControl w:val="0"/>
              <w:jc w:val="center"/>
              <w:rPr>
                <w:rFonts w:eastAsia="宋体"/>
                <w:color w:val="auto"/>
                <w:lang w:eastAsia="zh-CN"/>
              </w:rPr>
            </w:pPr>
            <w:r>
              <w:rPr>
                <w:rFonts w:hint="eastAsia" w:ascii="宋体" w:hAnsi="宋体" w:eastAsia="宋体" w:cs="宋体"/>
                <w:color w:val="auto"/>
                <w:sz w:val="24"/>
                <w:szCs w:val="24"/>
                <w:lang w:eastAsia="zh-CN"/>
              </w:rPr>
              <w:t>2026年度生态环境监督性、执法及应急和生态样地服务项目</w:t>
            </w:r>
          </w:p>
        </w:tc>
      </w:tr>
      <w:tr w14:paraId="3FBBB1D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9" w:hRule="atLeast"/>
        </w:trPr>
        <w:tc>
          <w:tcPr>
            <w:tcW w:w="1588" w:type="pct"/>
            <w:gridSpan w:val="2"/>
          </w:tcPr>
          <w:p w14:paraId="4A5BEA00">
            <w:pPr>
              <w:widowControl w:val="0"/>
              <w:spacing w:before="253" w:line="219" w:lineRule="auto"/>
              <w:ind w:left="1188"/>
              <w:rPr>
                <w:rFonts w:ascii="宋体" w:hAnsi="宋体" w:eastAsia="宋体" w:cs="宋体"/>
                <w:color w:val="auto"/>
                <w:sz w:val="24"/>
                <w:szCs w:val="24"/>
              </w:rPr>
            </w:pPr>
            <w:r>
              <w:rPr>
                <w:rFonts w:ascii="宋体" w:hAnsi="宋体" w:eastAsia="宋体" w:cs="宋体"/>
                <w:color w:val="auto"/>
                <w:sz w:val="24"/>
                <w:szCs w:val="24"/>
              </w:rPr>
              <w:t>数量</w:t>
            </w:r>
          </w:p>
        </w:tc>
        <w:tc>
          <w:tcPr>
            <w:tcW w:w="3411" w:type="pct"/>
            <w:vAlign w:val="center"/>
          </w:tcPr>
          <w:p w14:paraId="690566AB">
            <w:pPr>
              <w:pStyle w:val="13"/>
              <w:widowControl w:val="0"/>
              <w:jc w:val="center"/>
              <w:rPr>
                <w:rFonts w:eastAsia="宋体"/>
                <w:color w:val="auto"/>
                <w:sz w:val="24"/>
                <w:szCs w:val="24"/>
                <w:lang w:eastAsia="zh-CN"/>
              </w:rPr>
            </w:pPr>
            <w:r>
              <w:rPr>
                <w:rFonts w:hint="eastAsia" w:eastAsia="宋体"/>
                <w:color w:val="auto"/>
                <w:sz w:val="24"/>
                <w:szCs w:val="24"/>
                <w:lang w:eastAsia="zh-CN"/>
              </w:rPr>
              <w:t>1批</w:t>
            </w:r>
          </w:p>
        </w:tc>
      </w:tr>
      <w:tr w14:paraId="6DD84DF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94" w:hRule="atLeast"/>
        </w:trPr>
        <w:tc>
          <w:tcPr>
            <w:tcW w:w="1588" w:type="pct"/>
            <w:gridSpan w:val="2"/>
          </w:tcPr>
          <w:p w14:paraId="791CCF92">
            <w:pPr>
              <w:widowControl w:val="0"/>
              <w:spacing w:before="253" w:line="219" w:lineRule="auto"/>
              <w:ind w:left="1071"/>
              <w:rPr>
                <w:rFonts w:ascii="宋体" w:hAnsi="宋体" w:eastAsia="宋体" w:cs="宋体"/>
                <w:color w:val="auto"/>
                <w:sz w:val="24"/>
                <w:szCs w:val="24"/>
              </w:rPr>
            </w:pPr>
            <w:r>
              <w:rPr>
                <w:rFonts w:hint="eastAsia" w:ascii="宋体" w:hAnsi="宋体" w:eastAsia="宋体" w:cs="宋体"/>
                <w:color w:val="auto"/>
                <w:sz w:val="24"/>
                <w:szCs w:val="24"/>
                <w:lang w:eastAsia="zh-CN"/>
              </w:rPr>
              <w:t>服务</w:t>
            </w:r>
            <w:r>
              <w:rPr>
                <w:rFonts w:ascii="宋体" w:hAnsi="宋体" w:eastAsia="宋体" w:cs="宋体"/>
                <w:color w:val="auto"/>
                <w:sz w:val="24"/>
                <w:szCs w:val="24"/>
              </w:rPr>
              <w:t>期</w:t>
            </w:r>
          </w:p>
        </w:tc>
        <w:tc>
          <w:tcPr>
            <w:tcW w:w="3411" w:type="pct"/>
            <w:vAlign w:val="center"/>
          </w:tcPr>
          <w:p w14:paraId="77CA4F3B">
            <w:pPr>
              <w:pStyle w:val="13"/>
              <w:widowControl w:val="0"/>
              <w:jc w:val="center"/>
              <w:rPr>
                <w:rFonts w:eastAsia="宋体"/>
                <w:color w:val="auto"/>
                <w:sz w:val="24"/>
                <w:szCs w:val="24"/>
                <w:lang w:eastAsia="zh-CN"/>
              </w:rPr>
            </w:pPr>
            <w:r>
              <w:rPr>
                <w:rFonts w:hint="eastAsia" w:ascii="宋体" w:hAnsi="宋体" w:eastAsia="宋体" w:cs="宋体"/>
                <w:color w:val="auto"/>
                <w:sz w:val="24"/>
                <w:szCs w:val="24"/>
                <w:lang w:eastAsia="zh-CN"/>
              </w:rPr>
              <w:t>签订合同之日</w:t>
            </w:r>
            <w:r>
              <w:rPr>
                <w:rFonts w:hint="eastAsia" w:eastAsia="宋体"/>
                <w:color w:val="auto"/>
                <w:sz w:val="24"/>
                <w:szCs w:val="24"/>
                <w:lang w:eastAsia="zh-CN"/>
              </w:rPr>
              <w:t>至2027年3月，按采购人要求时间及次数进行监测服务。</w:t>
            </w:r>
          </w:p>
        </w:tc>
      </w:tr>
      <w:tr w14:paraId="142ED0D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94" w:hRule="atLeast"/>
        </w:trPr>
        <w:tc>
          <w:tcPr>
            <w:tcW w:w="1588" w:type="pct"/>
            <w:gridSpan w:val="2"/>
          </w:tcPr>
          <w:p w14:paraId="023839DD">
            <w:pPr>
              <w:widowControl w:val="0"/>
              <w:spacing w:before="256" w:line="219" w:lineRule="auto"/>
              <w:ind w:left="951"/>
              <w:rPr>
                <w:rFonts w:ascii="宋体" w:hAnsi="宋体" w:eastAsia="宋体" w:cs="宋体"/>
                <w:color w:val="auto"/>
                <w:sz w:val="24"/>
                <w:szCs w:val="24"/>
              </w:rPr>
            </w:pPr>
            <w:r>
              <w:rPr>
                <w:rFonts w:hint="eastAsia" w:ascii="宋体" w:hAnsi="宋体" w:eastAsia="宋体" w:cs="宋体"/>
                <w:color w:val="auto"/>
                <w:sz w:val="24"/>
                <w:szCs w:val="24"/>
                <w:lang w:eastAsia="zh-CN"/>
              </w:rPr>
              <w:t>服务</w:t>
            </w:r>
            <w:r>
              <w:rPr>
                <w:rFonts w:ascii="宋体" w:hAnsi="宋体" w:eastAsia="宋体" w:cs="宋体"/>
                <w:color w:val="auto"/>
                <w:sz w:val="24"/>
                <w:szCs w:val="24"/>
              </w:rPr>
              <w:t>地点</w:t>
            </w:r>
          </w:p>
        </w:tc>
        <w:tc>
          <w:tcPr>
            <w:tcW w:w="3411" w:type="pct"/>
            <w:vAlign w:val="center"/>
          </w:tcPr>
          <w:p w14:paraId="4FFB8055">
            <w:pPr>
              <w:pStyle w:val="13"/>
              <w:widowControl w:val="0"/>
              <w:jc w:val="center"/>
              <w:rPr>
                <w:rFonts w:eastAsia="宋体"/>
                <w:color w:val="auto"/>
                <w:lang w:eastAsia="zh-CN"/>
              </w:rPr>
            </w:pPr>
            <w:r>
              <w:rPr>
                <w:rFonts w:hint="eastAsia" w:ascii="宋体" w:hAnsi="宋体" w:eastAsia="宋体" w:cs="宋体"/>
                <w:color w:val="auto"/>
                <w:spacing w:val="-4"/>
                <w:sz w:val="24"/>
                <w:szCs w:val="24"/>
                <w:lang w:eastAsia="zh-CN"/>
              </w:rPr>
              <w:t>永丰县域内</w:t>
            </w:r>
          </w:p>
        </w:tc>
      </w:tr>
      <w:tr w14:paraId="647F0D2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89" w:hRule="atLeast"/>
        </w:trPr>
        <w:tc>
          <w:tcPr>
            <w:tcW w:w="1588" w:type="pct"/>
            <w:gridSpan w:val="2"/>
          </w:tcPr>
          <w:p w14:paraId="200F1D2A">
            <w:pPr>
              <w:widowControl w:val="0"/>
              <w:spacing w:before="256" w:line="221" w:lineRule="auto"/>
              <w:ind w:left="1189"/>
              <w:rPr>
                <w:rFonts w:ascii="宋体" w:hAnsi="宋体" w:eastAsia="宋体" w:cs="宋体"/>
                <w:color w:val="auto"/>
                <w:sz w:val="24"/>
                <w:szCs w:val="24"/>
              </w:rPr>
            </w:pPr>
            <w:r>
              <w:rPr>
                <w:rFonts w:ascii="宋体" w:hAnsi="宋体" w:eastAsia="宋体" w:cs="宋体"/>
                <w:color w:val="auto"/>
                <w:sz w:val="24"/>
                <w:szCs w:val="24"/>
              </w:rPr>
              <w:t>备注</w:t>
            </w:r>
          </w:p>
        </w:tc>
        <w:tc>
          <w:tcPr>
            <w:tcW w:w="3411" w:type="pct"/>
          </w:tcPr>
          <w:p w14:paraId="7B80B3D4">
            <w:pPr>
              <w:pStyle w:val="13"/>
              <w:widowControl w:val="0"/>
              <w:rPr>
                <w:color w:val="auto"/>
              </w:rPr>
            </w:pPr>
          </w:p>
        </w:tc>
      </w:tr>
    </w:tbl>
    <w:p w14:paraId="75600B13">
      <w:pPr>
        <w:widowControl w:val="0"/>
        <w:rPr>
          <w:color w:val="auto"/>
        </w:rPr>
      </w:pPr>
    </w:p>
    <w:p w14:paraId="68263726">
      <w:pPr>
        <w:widowControl w:val="0"/>
        <w:rPr>
          <w:color w:val="auto"/>
        </w:rPr>
        <w:sectPr>
          <w:footerReference r:id="rId3" w:type="default"/>
          <w:pgSz w:w="11906" w:h="16839"/>
          <w:pgMar w:top="1429" w:right="1786" w:bottom="1429" w:left="1786" w:header="0" w:footer="994" w:gutter="0"/>
          <w:cols w:space="720" w:num="1"/>
        </w:sectPr>
      </w:pPr>
    </w:p>
    <w:p w14:paraId="0F419639">
      <w:pPr>
        <w:widowControl w:val="0"/>
        <w:spacing w:line="245" w:lineRule="auto"/>
        <w:rPr>
          <w:b/>
          <w:bCs/>
          <w:color w:val="auto"/>
          <w:sz w:val="28"/>
          <w:szCs w:val="28"/>
          <w:lang w:eastAsia="zh-CN"/>
        </w:rPr>
      </w:pPr>
    </w:p>
    <w:p w14:paraId="79071307">
      <w:pPr>
        <w:spacing w:before="233" w:line="360" w:lineRule="auto"/>
        <w:ind w:left="410"/>
        <w:rPr>
          <w:rFonts w:asciiTheme="minorEastAsia" w:hAnsiTheme="minorEastAsia" w:eastAsiaTheme="minorEastAsia" w:cstheme="minorEastAsia"/>
          <w:b/>
          <w:bCs/>
          <w:color w:val="auto"/>
          <w:sz w:val="24"/>
          <w:szCs w:val="24"/>
          <w:lang w:eastAsia="zh-CN"/>
        </w:rPr>
      </w:pPr>
      <w:r>
        <w:rPr>
          <w:rFonts w:hint="eastAsia" w:asciiTheme="minorEastAsia" w:hAnsiTheme="minorEastAsia" w:eastAsiaTheme="minorEastAsia" w:cstheme="minorEastAsia"/>
          <w:b/>
          <w:bCs/>
          <w:color w:val="auto"/>
          <w:spacing w:val="-2"/>
          <w:sz w:val="28"/>
          <w:szCs w:val="28"/>
          <w:lang w:eastAsia="zh-CN"/>
        </w:rPr>
        <w:t>3、采购清单及技术参数要求</w:t>
      </w:r>
    </w:p>
    <w:p w14:paraId="75E98C81">
      <w:pPr>
        <w:widowControl w:val="0"/>
        <w:spacing w:line="360" w:lineRule="auto"/>
        <w:rPr>
          <w:rFonts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b/>
          <w:bCs/>
          <w:color w:val="auto"/>
          <w:sz w:val="24"/>
          <w:szCs w:val="24"/>
          <w:lang w:eastAsia="zh-CN"/>
        </w:rPr>
        <w:t>（一）农村饮用水源地水质监测</w:t>
      </w:r>
    </w:p>
    <w:p w14:paraId="749F5318">
      <w:pPr>
        <w:widowControl w:val="0"/>
        <w:spacing w:line="360" w:lineRule="auto"/>
        <w:rPr>
          <w:rFonts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z w:val="24"/>
          <w:szCs w:val="24"/>
          <w:lang w:eastAsia="zh-CN"/>
        </w:rPr>
        <w:t>1.监测范围</w:t>
      </w:r>
    </w:p>
    <w:p w14:paraId="3E6ABF6B">
      <w:pPr>
        <w:widowControl w:val="0"/>
        <w:spacing w:line="360" w:lineRule="auto"/>
        <w:rPr>
          <w:rFonts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z w:val="24"/>
          <w:szCs w:val="24"/>
          <w:lang w:eastAsia="zh-CN"/>
        </w:rPr>
        <w:t>农村（乡镇级及以下）饮用水水源地共计45个，其中14个千吨万人饮用水水源地（地表水12个，地下水2个），31个百吨千人饮用水水源地（地表水19个，地下水12个），名单中标后提供。</w:t>
      </w:r>
    </w:p>
    <w:p w14:paraId="152416C6">
      <w:pPr>
        <w:widowControl w:val="0"/>
        <w:spacing w:line="360" w:lineRule="auto"/>
        <w:rPr>
          <w:rFonts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z w:val="24"/>
          <w:szCs w:val="24"/>
          <w:lang w:eastAsia="zh-CN"/>
        </w:rPr>
        <w:t>2.监测项目</w:t>
      </w:r>
    </w:p>
    <w:p w14:paraId="4BD6232C">
      <w:pPr>
        <w:widowControl w:val="0"/>
        <w:spacing w:line="360" w:lineRule="auto"/>
        <w:rPr>
          <w:rFonts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z w:val="24"/>
          <w:szCs w:val="24"/>
          <w:lang w:eastAsia="zh-CN"/>
        </w:rPr>
        <w:t>（1）地表水饮用水水源地</w:t>
      </w:r>
    </w:p>
    <w:p w14:paraId="310479C4">
      <w:pPr>
        <w:widowControl w:val="0"/>
        <w:spacing w:line="360" w:lineRule="auto"/>
        <w:rPr>
          <w:rFonts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z w:val="24"/>
          <w:szCs w:val="24"/>
          <w:lang w:eastAsia="zh-CN"/>
        </w:rPr>
        <w:t>《地表水环境质量标准》（GB3838-2002）的表1基本项目（化学需氧量除外）、表2补充项目。</w:t>
      </w:r>
    </w:p>
    <w:p w14:paraId="79BC7B2C">
      <w:pPr>
        <w:widowControl w:val="0"/>
        <w:spacing w:line="360" w:lineRule="auto"/>
        <w:rPr>
          <w:rFonts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z w:val="24"/>
          <w:szCs w:val="24"/>
          <w:lang w:eastAsia="zh-CN"/>
        </w:rPr>
        <w:t>（2）地下水饮用水水源地</w:t>
      </w:r>
    </w:p>
    <w:p w14:paraId="04FB8210">
      <w:pPr>
        <w:widowControl w:val="0"/>
        <w:spacing w:line="360" w:lineRule="auto"/>
        <w:rPr>
          <w:rFonts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z w:val="24"/>
          <w:szCs w:val="24"/>
          <w:lang w:eastAsia="zh-CN"/>
        </w:rPr>
        <w:t>《地下水质量标准》（GB/T14848-2017）的表1基本项目</w:t>
      </w:r>
    </w:p>
    <w:p w14:paraId="5A37BBD8">
      <w:pPr>
        <w:widowControl w:val="0"/>
        <w:spacing w:line="360" w:lineRule="auto"/>
        <w:rPr>
          <w:rFonts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z w:val="24"/>
          <w:szCs w:val="24"/>
          <w:lang w:eastAsia="zh-CN"/>
        </w:rPr>
        <w:t>3.监测频次</w:t>
      </w:r>
    </w:p>
    <w:p w14:paraId="5A23C69B">
      <w:pPr>
        <w:widowControl w:val="0"/>
        <w:spacing w:line="360" w:lineRule="auto"/>
        <w:rPr>
          <w:rFonts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z w:val="24"/>
          <w:szCs w:val="24"/>
          <w:lang w:eastAsia="zh-CN"/>
        </w:rPr>
        <w:t>其中千吨万人饮用水水源地（地表水）2026年2、3、4季度及2027年1季度各监测1次，千吨万人饮用水水源地（地下水）2、4季度各监测1次；百吨千人饮用水水源地的地表水水源地常规项目为《地表水环境质量标准》（GB3838-2002）的表1基本项目（化学需氧量除外，河流总氮除外）、表2补充项目，3季度监测1次。地下水水源地常规项目为《地下水质量标准》（GB/T14848-2017）的表1基本项目，3季度监测1次。</w:t>
      </w:r>
    </w:p>
    <w:p w14:paraId="2D915EB8">
      <w:pPr>
        <w:widowControl w:val="0"/>
        <w:spacing w:line="360" w:lineRule="auto"/>
        <w:rPr>
          <w:rFonts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z w:val="24"/>
          <w:szCs w:val="24"/>
          <w:lang w:eastAsia="zh-CN"/>
        </w:rPr>
        <w:t>4.监测时限</w:t>
      </w:r>
    </w:p>
    <w:p w14:paraId="4C6A01FF">
      <w:pPr>
        <w:widowControl w:val="0"/>
        <w:spacing w:line="360" w:lineRule="auto"/>
        <w:rPr>
          <w:rFonts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z w:val="24"/>
          <w:szCs w:val="24"/>
          <w:lang w:eastAsia="zh-CN"/>
        </w:rPr>
        <w:t>于每季度次月底（4季度为11月1日前）前将当季度监测报告及原始记录同时以纸质版及盖章扫描件形式交于采购人。</w:t>
      </w:r>
    </w:p>
    <w:p w14:paraId="7FF41BD5">
      <w:pPr>
        <w:widowControl w:val="0"/>
        <w:spacing w:line="360" w:lineRule="auto"/>
        <w:rPr>
          <w:rFonts w:asciiTheme="minorEastAsia" w:hAnsiTheme="minorEastAsia" w:eastAsiaTheme="minorEastAsia" w:cstheme="minorEastAsia"/>
          <w:b/>
          <w:bCs/>
          <w:color w:val="auto"/>
          <w:sz w:val="24"/>
          <w:szCs w:val="24"/>
          <w:lang w:eastAsia="zh-CN"/>
        </w:rPr>
      </w:pPr>
      <w:r>
        <w:rPr>
          <w:rFonts w:hint="eastAsia" w:asciiTheme="minorEastAsia" w:hAnsiTheme="minorEastAsia" w:eastAsiaTheme="minorEastAsia" w:cstheme="minorEastAsia"/>
          <w:b/>
          <w:bCs/>
          <w:color w:val="auto"/>
          <w:sz w:val="24"/>
          <w:szCs w:val="24"/>
          <w:lang w:eastAsia="zh-CN"/>
        </w:rPr>
        <w:t>（二）农村污水处理设施水质监测</w:t>
      </w:r>
    </w:p>
    <w:p w14:paraId="2030A7F4">
      <w:pPr>
        <w:widowControl w:val="0"/>
        <w:spacing w:line="360" w:lineRule="auto"/>
        <w:rPr>
          <w:rFonts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z w:val="24"/>
          <w:szCs w:val="24"/>
          <w:lang w:eastAsia="zh-CN"/>
        </w:rPr>
        <w:t>1.监测点位</w:t>
      </w:r>
    </w:p>
    <w:p w14:paraId="500D156A">
      <w:pPr>
        <w:widowControl w:val="0"/>
        <w:spacing w:line="360" w:lineRule="auto"/>
        <w:rPr>
          <w:rFonts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z w:val="24"/>
          <w:szCs w:val="24"/>
          <w:lang w:eastAsia="zh-CN"/>
        </w:rPr>
        <w:t>采购人统一送样，约30个。</w:t>
      </w:r>
    </w:p>
    <w:p w14:paraId="48DB54A5">
      <w:pPr>
        <w:widowControl w:val="0"/>
        <w:spacing w:line="360" w:lineRule="auto"/>
        <w:rPr>
          <w:rFonts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z w:val="24"/>
          <w:szCs w:val="24"/>
          <w:lang w:eastAsia="zh-CN"/>
        </w:rPr>
        <w:t>2.监测项目</w:t>
      </w:r>
    </w:p>
    <w:p w14:paraId="4C72314B">
      <w:pPr>
        <w:widowControl w:val="0"/>
        <w:spacing w:line="360" w:lineRule="auto"/>
        <w:rPr>
          <w:rFonts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z w:val="24"/>
          <w:szCs w:val="24"/>
          <w:lang w:eastAsia="zh-CN"/>
        </w:rPr>
        <w:t>总氮</w:t>
      </w:r>
    </w:p>
    <w:p w14:paraId="47E8E6A3">
      <w:pPr>
        <w:widowControl w:val="0"/>
        <w:spacing w:line="360" w:lineRule="auto"/>
        <w:rPr>
          <w:rFonts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z w:val="24"/>
          <w:szCs w:val="24"/>
          <w:lang w:eastAsia="zh-CN"/>
        </w:rPr>
        <w:t>3.监测频次</w:t>
      </w:r>
    </w:p>
    <w:p w14:paraId="50C9EC1F">
      <w:pPr>
        <w:widowControl w:val="0"/>
        <w:spacing w:line="360" w:lineRule="auto"/>
        <w:rPr>
          <w:rFonts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z w:val="24"/>
          <w:szCs w:val="24"/>
          <w:lang w:eastAsia="zh-CN"/>
        </w:rPr>
        <w:t>其中5个点位每季度一次，剩余25个点位每半年1次。</w:t>
      </w:r>
    </w:p>
    <w:p w14:paraId="416DC2B9">
      <w:pPr>
        <w:widowControl w:val="0"/>
        <w:spacing w:line="360" w:lineRule="auto"/>
        <w:rPr>
          <w:rFonts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z w:val="24"/>
          <w:szCs w:val="24"/>
          <w:lang w:eastAsia="zh-CN"/>
        </w:rPr>
        <w:t>4.监测时限</w:t>
      </w:r>
    </w:p>
    <w:p w14:paraId="331BB8B4">
      <w:pPr>
        <w:widowControl w:val="0"/>
        <w:spacing w:line="360" w:lineRule="auto"/>
        <w:rPr>
          <w:rFonts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z w:val="24"/>
          <w:szCs w:val="24"/>
          <w:lang w:eastAsia="zh-CN"/>
        </w:rPr>
        <w:t>于采样当月20日前将监测报告及原始记录同时以纸质版及盖章扫描件形式交于采购人。监测报告中需对达标情况进行评价。评价标准为《江西农村生活污水处理设施水污染物排放标准》(DB36_1102-2019)一级。</w:t>
      </w:r>
    </w:p>
    <w:p w14:paraId="46A7CDBD">
      <w:pPr>
        <w:widowControl w:val="0"/>
        <w:spacing w:line="360" w:lineRule="auto"/>
        <w:rPr>
          <w:rFonts w:asciiTheme="minorEastAsia" w:hAnsiTheme="minorEastAsia" w:eastAsiaTheme="minorEastAsia" w:cstheme="minorEastAsia"/>
          <w:b/>
          <w:bCs/>
          <w:color w:val="auto"/>
          <w:sz w:val="24"/>
          <w:szCs w:val="24"/>
          <w:lang w:eastAsia="zh-CN"/>
        </w:rPr>
      </w:pPr>
      <w:r>
        <w:rPr>
          <w:rFonts w:hint="eastAsia" w:asciiTheme="minorEastAsia" w:hAnsiTheme="minorEastAsia" w:eastAsiaTheme="minorEastAsia" w:cstheme="minorEastAsia"/>
          <w:b/>
          <w:bCs/>
          <w:color w:val="auto"/>
          <w:sz w:val="24"/>
          <w:szCs w:val="24"/>
          <w:lang w:eastAsia="zh-CN"/>
        </w:rPr>
        <w:t>（三）江西洪城水业环保有限公司永丰分公司监督性监测</w:t>
      </w:r>
    </w:p>
    <w:p w14:paraId="49D8E72A">
      <w:pPr>
        <w:widowControl w:val="0"/>
        <w:spacing w:line="360" w:lineRule="auto"/>
        <w:rPr>
          <w:rFonts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z w:val="24"/>
          <w:szCs w:val="24"/>
          <w:lang w:eastAsia="zh-CN"/>
        </w:rPr>
        <w:t>1.监测点位</w:t>
      </w:r>
    </w:p>
    <w:p w14:paraId="1B9514C7">
      <w:pPr>
        <w:widowControl w:val="0"/>
        <w:spacing w:line="360" w:lineRule="auto"/>
        <w:rPr>
          <w:rFonts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z w:val="24"/>
          <w:szCs w:val="24"/>
          <w:lang w:eastAsia="zh-CN"/>
        </w:rPr>
        <w:t>DW001总排放口</w:t>
      </w:r>
    </w:p>
    <w:p w14:paraId="5E5E7234">
      <w:pPr>
        <w:widowControl w:val="0"/>
        <w:spacing w:line="360" w:lineRule="auto"/>
        <w:rPr>
          <w:rFonts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z w:val="24"/>
          <w:szCs w:val="24"/>
          <w:lang w:eastAsia="zh-CN"/>
        </w:rPr>
        <w:t>2.监测项目</w:t>
      </w:r>
    </w:p>
    <w:p w14:paraId="17A9FC50">
      <w:pPr>
        <w:widowControl w:val="0"/>
        <w:spacing w:line="360" w:lineRule="auto"/>
        <w:rPr>
          <w:rFonts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z w:val="24"/>
          <w:szCs w:val="24"/>
          <w:lang w:eastAsia="zh-CN"/>
        </w:rPr>
        <w:t>水温、化学需氧量、五日生化需氧量、悬浮物、动植物油、石油类、阴离子表面活性剂、总氮、氨氮、总磷、色度、pH、粪大肠菌群、总汞、烷基汞、总镉、总铬、六价铬、总砷、总铅、流量、水温并记录采样期间生产负荷。</w:t>
      </w:r>
    </w:p>
    <w:p w14:paraId="2DEBE3E9">
      <w:pPr>
        <w:widowControl w:val="0"/>
        <w:spacing w:line="360" w:lineRule="auto"/>
        <w:rPr>
          <w:rFonts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z w:val="24"/>
          <w:szCs w:val="24"/>
          <w:lang w:eastAsia="zh-CN"/>
        </w:rPr>
        <w:t>3.监测频次</w:t>
      </w:r>
    </w:p>
    <w:p w14:paraId="4C5AAD0D">
      <w:pPr>
        <w:widowControl w:val="0"/>
        <w:spacing w:line="360" w:lineRule="auto"/>
        <w:rPr>
          <w:rFonts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z w:val="24"/>
          <w:szCs w:val="24"/>
          <w:lang w:eastAsia="zh-CN"/>
        </w:rPr>
        <w:t>6月底前监测1次，监测时间可与采购人协商，采样频次依据《城镇污水处理厂污染物排放标准》(GB18918-2002)及相关国家标准规范执行。</w:t>
      </w:r>
    </w:p>
    <w:p w14:paraId="49C02C6C">
      <w:pPr>
        <w:widowControl w:val="0"/>
        <w:spacing w:line="360" w:lineRule="auto"/>
        <w:rPr>
          <w:rFonts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z w:val="24"/>
          <w:szCs w:val="24"/>
          <w:lang w:eastAsia="zh-CN"/>
        </w:rPr>
        <w:t>4.监测时限</w:t>
      </w:r>
    </w:p>
    <w:p w14:paraId="42FEA123">
      <w:pPr>
        <w:widowControl w:val="0"/>
        <w:spacing w:line="360" w:lineRule="auto"/>
        <w:rPr>
          <w:rFonts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z w:val="24"/>
          <w:szCs w:val="24"/>
          <w:lang w:eastAsia="zh-CN"/>
        </w:rPr>
        <w:t>于采样当月20日前将监测报告及原始记录同时以纸质版及盖章扫描件形式交于采购人。监测报告中需对达标情况进行评价。评价标准为《城镇污水处理厂污染物排放标准》(GB18918-2002)一级A。</w:t>
      </w:r>
    </w:p>
    <w:p w14:paraId="3B37E809">
      <w:pPr>
        <w:widowControl w:val="0"/>
        <w:spacing w:line="360" w:lineRule="auto"/>
        <w:rPr>
          <w:rFonts w:asciiTheme="minorEastAsia" w:hAnsiTheme="minorEastAsia" w:eastAsiaTheme="minorEastAsia" w:cstheme="minorEastAsia"/>
          <w:b/>
          <w:bCs/>
          <w:color w:val="auto"/>
          <w:sz w:val="24"/>
          <w:szCs w:val="24"/>
          <w:lang w:eastAsia="zh-CN"/>
        </w:rPr>
      </w:pPr>
      <w:r>
        <w:rPr>
          <w:rFonts w:hint="eastAsia" w:asciiTheme="minorEastAsia" w:hAnsiTheme="minorEastAsia" w:eastAsiaTheme="minorEastAsia" w:cstheme="minorEastAsia"/>
          <w:b/>
          <w:bCs/>
          <w:color w:val="auto"/>
          <w:sz w:val="24"/>
          <w:szCs w:val="24"/>
          <w:lang w:eastAsia="zh-CN"/>
        </w:rPr>
        <w:t>（四）永丰县生活污水处理厂异地扩容项目监督性监测</w:t>
      </w:r>
    </w:p>
    <w:p w14:paraId="3776C45F">
      <w:pPr>
        <w:widowControl w:val="0"/>
        <w:spacing w:line="360" w:lineRule="auto"/>
        <w:rPr>
          <w:rFonts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z w:val="24"/>
          <w:szCs w:val="24"/>
          <w:lang w:eastAsia="zh-CN"/>
        </w:rPr>
        <w:t>1.监测点位</w:t>
      </w:r>
    </w:p>
    <w:p w14:paraId="03DC675A">
      <w:pPr>
        <w:widowControl w:val="0"/>
        <w:spacing w:line="360" w:lineRule="auto"/>
        <w:rPr>
          <w:rFonts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z w:val="24"/>
          <w:szCs w:val="24"/>
          <w:lang w:eastAsia="zh-CN"/>
        </w:rPr>
        <w:t>DW001总排放口</w:t>
      </w:r>
    </w:p>
    <w:p w14:paraId="2FE2E50F">
      <w:pPr>
        <w:widowControl w:val="0"/>
        <w:spacing w:line="360" w:lineRule="auto"/>
        <w:rPr>
          <w:rFonts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z w:val="24"/>
          <w:szCs w:val="24"/>
          <w:lang w:eastAsia="zh-CN"/>
        </w:rPr>
        <w:t>2.监测项目</w:t>
      </w:r>
    </w:p>
    <w:p w14:paraId="12F4031D">
      <w:pPr>
        <w:widowControl w:val="0"/>
        <w:spacing w:line="360" w:lineRule="auto"/>
        <w:rPr>
          <w:rFonts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z w:val="24"/>
          <w:szCs w:val="24"/>
          <w:lang w:eastAsia="zh-CN"/>
        </w:rPr>
        <w:t>水温、化学需氧量、五日生化需氧量、悬浮物、动植物油、石油类、阴离子表面活性剂、总氮、氨氮、总磷、色度、pH、粪大肠菌群、总汞、烷基汞、总镉、总铬、六价铬、总砷、总铅、流量、水温并记录采样期间生产负荷。</w:t>
      </w:r>
    </w:p>
    <w:p w14:paraId="0E10E95D">
      <w:pPr>
        <w:widowControl w:val="0"/>
        <w:spacing w:line="360" w:lineRule="auto"/>
        <w:rPr>
          <w:rFonts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z w:val="24"/>
          <w:szCs w:val="24"/>
          <w:lang w:eastAsia="zh-CN"/>
        </w:rPr>
        <w:t>3.监测频次</w:t>
      </w:r>
    </w:p>
    <w:p w14:paraId="7BB7D4C1">
      <w:pPr>
        <w:widowControl w:val="0"/>
        <w:spacing w:line="360" w:lineRule="auto"/>
        <w:rPr>
          <w:rFonts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z w:val="24"/>
          <w:szCs w:val="24"/>
          <w:lang w:eastAsia="zh-CN"/>
        </w:rPr>
        <w:t>6月底前监测1次，监测时间可与采购人协商，采样频次依据《城镇污水处理厂污染物排放标准》(GB18918-2002)及相关国家标准规范执行。</w:t>
      </w:r>
    </w:p>
    <w:p w14:paraId="17B73A38">
      <w:pPr>
        <w:widowControl w:val="0"/>
        <w:spacing w:line="360" w:lineRule="auto"/>
        <w:rPr>
          <w:rFonts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z w:val="24"/>
          <w:szCs w:val="24"/>
          <w:lang w:eastAsia="zh-CN"/>
        </w:rPr>
        <w:t>4.监测时限</w:t>
      </w:r>
    </w:p>
    <w:p w14:paraId="2B9EBCB8">
      <w:pPr>
        <w:widowControl w:val="0"/>
        <w:spacing w:line="360" w:lineRule="auto"/>
        <w:rPr>
          <w:rFonts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z w:val="24"/>
          <w:szCs w:val="24"/>
          <w:lang w:eastAsia="zh-CN"/>
        </w:rPr>
        <w:t>于采样当月20日前将监测报告及原始记录同时以纸质版及盖章扫描件形式交于采购人。监测报告中需对达标情况进行评价。评价标准为《城镇污水处理厂污染物排放标准》(GB18918-2002)一级A。</w:t>
      </w:r>
    </w:p>
    <w:p w14:paraId="37B84DFF">
      <w:pPr>
        <w:widowControl w:val="0"/>
        <w:spacing w:line="360" w:lineRule="auto"/>
        <w:rPr>
          <w:rFonts w:asciiTheme="minorEastAsia" w:hAnsiTheme="minorEastAsia" w:eastAsiaTheme="minorEastAsia" w:cstheme="minorEastAsia"/>
          <w:b/>
          <w:bCs/>
          <w:color w:val="auto"/>
          <w:sz w:val="24"/>
          <w:szCs w:val="24"/>
          <w:lang w:eastAsia="zh-CN"/>
        </w:rPr>
      </w:pPr>
      <w:r>
        <w:rPr>
          <w:rFonts w:hint="eastAsia" w:asciiTheme="minorEastAsia" w:hAnsiTheme="minorEastAsia" w:eastAsiaTheme="minorEastAsia" w:cstheme="minorEastAsia"/>
          <w:b/>
          <w:bCs/>
          <w:color w:val="auto"/>
          <w:sz w:val="24"/>
          <w:szCs w:val="24"/>
          <w:lang w:eastAsia="zh-CN"/>
        </w:rPr>
        <w:t>（五）联熹水务（永丰）有限公司（永丰工业污水处理厂）监督性监测</w:t>
      </w:r>
    </w:p>
    <w:p w14:paraId="4D02F2A8">
      <w:pPr>
        <w:widowControl w:val="0"/>
        <w:spacing w:line="360" w:lineRule="auto"/>
        <w:rPr>
          <w:rFonts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z w:val="24"/>
          <w:szCs w:val="24"/>
          <w:lang w:eastAsia="zh-CN"/>
        </w:rPr>
        <w:t>1.监测点位</w:t>
      </w:r>
    </w:p>
    <w:p w14:paraId="1982D003">
      <w:pPr>
        <w:widowControl w:val="0"/>
        <w:spacing w:line="360" w:lineRule="auto"/>
        <w:rPr>
          <w:rFonts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z w:val="24"/>
          <w:szCs w:val="24"/>
          <w:lang w:eastAsia="zh-CN"/>
        </w:rPr>
        <w:t>废水处理设施出口</w:t>
      </w:r>
    </w:p>
    <w:p w14:paraId="106734DC">
      <w:pPr>
        <w:widowControl w:val="0"/>
        <w:spacing w:line="360" w:lineRule="auto"/>
        <w:rPr>
          <w:rFonts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z w:val="24"/>
          <w:szCs w:val="24"/>
          <w:lang w:eastAsia="zh-CN"/>
        </w:rPr>
        <w:t>2.监测项目</w:t>
      </w:r>
    </w:p>
    <w:p w14:paraId="51111031">
      <w:pPr>
        <w:widowControl w:val="0"/>
        <w:spacing w:line="360" w:lineRule="auto"/>
        <w:rPr>
          <w:rFonts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z w:val="24"/>
          <w:szCs w:val="24"/>
          <w:lang w:eastAsia="zh-CN"/>
        </w:rPr>
        <w:t>水温、化学需氧量、五日生化需氧量、悬浮物、动植物油、石油类、阴离子表面活性剂、总氮、氨氮、总磷、色度、pH、粪大肠菌群、总汞、烷基汞、总镉、总铬、六价铬、总砷、总铅、流量、水温并记录采样期间生产负荷。</w:t>
      </w:r>
    </w:p>
    <w:p w14:paraId="62CBEA7B">
      <w:pPr>
        <w:widowControl w:val="0"/>
        <w:spacing w:line="360" w:lineRule="auto"/>
        <w:rPr>
          <w:rFonts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z w:val="24"/>
          <w:szCs w:val="24"/>
          <w:lang w:eastAsia="zh-CN"/>
        </w:rPr>
        <w:t>3.监测频次</w:t>
      </w:r>
    </w:p>
    <w:p w14:paraId="1C141D1D">
      <w:pPr>
        <w:widowControl w:val="0"/>
        <w:spacing w:line="360" w:lineRule="auto"/>
        <w:rPr>
          <w:rFonts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z w:val="24"/>
          <w:szCs w:val="24"/>
          <w:lang w:eastAsia="zh-CN"/>
        </w:rPr>
        <w:t>6月底前监测1次，监测时间可与采购人协商，采样频次依据《城镇污水处理厂污染物排放标准》(GB18918-2002)及相关国家标准规范执行。</w:t>
      </w:r>
    </w:p>
    <w:p w14:paraId="213D58FB">
      <w:pPr>
        <w:widowControl w:val="0"/>
        <w:spacing w:line="360" w:lineRule="auto"/>
        <w:rPr>
          <w:rFonts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z w:val="24"/>
          <w:szCs w:val="24"/>
          <w:lang w:eastAsia="zh-CN"/>
        </w:rPr>
        <w:t>4.监测时限</w:t>
      </w:r>
    </w:p>
    <w:p w14:paraId="4EC19F42">
      <w:pPr>
        <w:widowControl w:val="0"/>
        <w:spacing w:line="360" w:lineRule="auto"/>
        <w:rPr>
          <w:rFonts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z w:val="24"/>
          <w:szCs w:val="24"/>
          <w:lang w:eastAsia="zh-CN"/>
        </w:rPr>
        <w:t>于采样当月20日前将监测报告及原始记录同时以纸质版及盖章扫描件形式交于采购人。监测报告中需对达标情况进行评价。《城镇污水处理厂污染物排放标准》(GB18918-2002)一级B。</w:t>
      </w:r>
    </w:p>
    <w:p w14:paraId="7C13AB8E">
      <w:pPr>
        <w:widowControl w:val="0"/>
        <w:spacing w:line="360" w:lineRule="auto"/>
        <w:rPr>
          <w:rFonts w:asciiTheme="minorEastAsia" w:hAnsiTheme="minorEastAsia" w:eastAsiaTheme="minorEastAsia" w:cstheme="minorEastAsia"/>
          <w:b/>
          <w:bCs/>
          <w:color w:val="auto"/>
          <w:sz w:val="24"/>
          <w:szCs w:val="24"/>
          <w:lang w:eastAsia="zh-CN"/>
        </w:rPr>
      </w:pPr>
      <w:r>
        <w:rPr>
          <w:rFonts w:hint="eastAsia" w:asciiTheme="minorEastAsia" w:hAnsiTheme="minorEastAsia" w:eastAsiaTheme="minorEastAsia" w:cstheme="minorEastAsia"/>
          <w:b/>
          <w:bCs/>
          <w:color w:val="auto"/>
          <w:sz w:val="24"/>
          <w:szCs w:val="24"/>
          <w:lang w:eastAsia="zh-CN"/>
        </w:rPr>
        <w:t>（六）江西永丰南方水泥有限公司监督性监测</w:t>
      </w:r>
    </w:p>
    <w:p w14:paraId="001310CE">
      <w:pPr>
        <w:widowControl w:val="0"/>
        <w:spacing w:line="360" w:lineRule="auto"/>
        <w:rPr>
          <w:rFonts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z w:val="24"/>
          <w:szCs w:val="24"/>
          <w:lang w:eastAsia="zh-CN"/>
        </w:rPr>
        <w:t>1.监测点位</w:t>
      </w:r>
    </w:p>
    <w:p w14:paraId="27B29759">
      <w:pPr>
        <w:widowControl w:val="0"/>
        <w:spacing w:line="360" w:lineRule="auto"/>
        <w:rPr>
          <w:rFonts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z w:val="24"/>
          <w:szCs w:val="24"/>
          <w:lang w:eastAsia="zh-CN"/>
        </w:rPr>
        <w:t>共计64个排口。</w:t>
      </w:r>
    </w:p>
    <w:p w14:paraId="5BB0D6DA">
      <w:pPr>
        <w:widowControl w:val="0"/>
        <w:spacing w:line="360" w:lineRule="auto"/>
        <w:rPr>
          <w:rFonts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z w:val="24"/>
          <w:szCs w:val="24"/>
          <w:lang w:eastAsia="zh-CN"/>
        </w:rPr>
        <w:t>2.监测项目</w:t>
      </w:r>
    </w:p>
    <w:p w14:paraId="19348C52">
      <w:pPr>
        <w:widowControl w:val="0"/>
        <w:spacing w:line="360" w:lineRule="auto"/>
        <w:rPr>
          <w:rFonts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z w:val="24"/>
          <w:szCs w:val="24"/>
          <w:lang w:eastAsia="zh-CN"/>
        </w:rPr>
        <w:t>其中63个监测颗粒物、流量、温度、湿度、含氧量；DA078窑尾废气排放口除尘监测氟化氢、氨（氨气）、（铍、铬、锡、锑、铜、钴、锰、镍、钒及其化合物）、（铊、镉、铅、砷及其化合物）、氟化物、汞及其化合物、二噁英类、氮氧化物、氯化氢、二氧化硫、颗粒物、总有机碳、流量、温度、湿度、含氧量、流速并记录采样期间生产负荷。</w:t>
      </w:r>
    </w:p>
    <w:p w14:paraId="6A415820">
      <w:pPr>
        <w:widowControl w:val="0"/>
        <w:spacing w:line="360" w:lineRule="auto"/>
        <w:rPr>
          <w:rFonts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z w:val="24"/>
          <w:szCs w:val="24"/>
          <w:lang w:eastAsia="zh-CN"/>
        </w:rPr>
        <w:t>3.监测频次</w:t>
      </w:r>
    </w:p>
    <w:p w14:paraId="15D829EB">
      <w:pPr>
        <w:widowControl w:val="0"/>
        <w:spacing w:line="360" w:lineRule="auto"/>
        <w:rPr>
          <w:rFonts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z w:val="24"/>
          <w:szCs w:val="24"/>
          <w:lang w:eastAsia="zh-CN"/>
        </w:rPr>
        <w:t>6月底前监测1次，监测时间可与采购人协商，采样频次依据《水泥工业大气污染物排放标准》（GB4915-2013）及相关国家标准规范执行。</w:t>
      </w:r>
    </w:p>
    <w:p w14:paraId="26CF223D">
      <w:pPr>
        <w:widowControl w:val="0"/>
        <w:spacing w:line="360" w:lineRule="auto"/>
        <w:rPr>
          <w:rFonts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z w:val="24"/>
          <w:szCs w:val="24"/>
          <w:lang w:eastAsia="zh-CN"/>
        </w:rPr>
        <w:t>4.监测时限</w:t>
      </w:r>
    </w:p>
    <w:p w14:paraId="30096B1A">
      <w:pPr>
        <w:widowControl w:val="0"/>
        <w:spacing w:line="360" w:lineRule="auto"/>
        <w:rPr>
          <w:rFonts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z w:val="24"/>
          <w:szCs w:val="24"/>
          <w:lang w:eastAsia="zh-CN"/>
        </w:rPr>
        <w:t>于采样当月20日前将监测报告及原始记录同时以纸质版及盖章扫描件形式交于采购人。监测报告中需对达标情况进行评价。</w:t>
      </w:r>
    </w:p>
    <w:p w14:paraId="22EEC406">
      <w:pPr>
        <w:widowControl w:val="0"/>
        <w:spacing w:line="360" w:lineRule="auto"/>
        <w:rPr>
          <w:rFonts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b/>
          <w:bCs/>
          <w:color w:val="auto"/>
          <w:sz w:val="24"/>
          <w:szCs w:val="24"/>
          <w:lang w:eastAsia="zh-CN"/>
        </w:rPr>
        <w:t>（七）江西鹰鹏水泥有限公司监督性监测</w:t>
      </w:r>
    </w:p>
    <w:p w14:paraId="246FEB96">
      <w:pPr>
        <w:widowControl w:val="0"/>
        <w:spacing w:line="360" w:lineRule="auto"/>
        <w:rPr>
          <w:rFonts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z w:val="24"/>
          <w:szCs w:val="24"/>
          <w:lang w:eastAsia="zh-CN"/>
        </w:rPr>
        <w:t>1.监测点位</w:t>
      </w:r>
    </w:p>
    <w:p w14:paraId="2C091BB1">
      <w:pPr>
        <w:widowControl w:val="0"/>
        <w:spacing w:line="360" w:lineRule="auto"/>
        <w:rPr>
          <w:rFonts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z w:val="24"/>
          <w:szCs w:val="24"/>
          <w:lang w:eastAsia="zh-CN"/>
        </w:rPr>
        <w:t>共计84个排口。</w:t>
      </w:r>
    </w:p>
    <w:p w14:paraId="5D6244DB">
      <w:pPr>
        <w:widowControl w:val="0"/>
        <w:spacing w:line="360" w:lineRule="auto"/>
        <w:rPr>
          <w:rFonts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z w:val="24"/>
          <w:szCs w:val="24"/>
          <w:lang w:eastAsia="zh-CN"/>
        </w:rPr>
        <w:t>2.监测项目</w:t>
      </w:r>
    </w:p>
    <w:p w14:paraId="3A37890A">
      <w:pPr>
        <w:widowControl w:val="0"/>
        <w:spacing w:line="360" w:lineRule="auto"/>
        <w:rPr>
          <w:rFonts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z w:val="24"/>
          <w:szCs w:val="24"/>
          <w:lang w:eastAsia="zh-CN"/>
        </w:rPr>
        <w:t>其中83个监测颗粒物、流量、温度、湿度、含氧量；DA008窑尾废气监测总有机碳、氟化氢、氨（氨气）、（铍、铬、锡、锑、铜、钴、锰、镍、钒及其化合物）、（铊、镉、铅、砷及其化合物）、氟化物、汞及其化合物、二噁英类、氮氧化物、氯化氢、二氧化硫、颗粒物、流量、温度、湿度、含氧量、流速，并记录采样期间生产负荷。</w:t>
      </w:r>
    </w:p>
    <w:p w14:paraId="70429605">
      <w:pPr>
        <w:widowControl w:val="0"/>
        <w:spacing w:line="360" w:lineRule="auto"/>
        <w:rPr>
          <w:rFonts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z w:val="24"/>
          <w:szCs w:val="24"/>
          <w:lang w:eastAsia="zh-CN"/>
        </w:rPr>
        <w:t>其中铍、铬、锡、锑、铜、钴、锰、镍、钒及其化合物须出具总体结果，（铊、镉、铅、砷及其化合物）须出具总体结果。</w:t>
      </w:r>
    </w:p>
    <w:p w14:paraId="34DF4858">
      <w:pPr>
        <w:widowControl w:val="0"/>
        <w:spacing w:line="360" w:lineRule="auto"/>
        <w:rPr>
          <w:rFonts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z w:val="24"/>
          <w:szCs w:val="24"/>
          <w:lang w:eastAsia="zh-CN"/>
        </w:rPr>
        <w:t>3.监测频次</w:t>
      </w:r>
    </w:p>
    <w:p w14:paraId="1555CE89">
      <w:pPr>
        <w:widowControl w:val="0"/>
        <w:spacing w:line="360" w:lineRule="auto"/>
        <w:rPr>
          <w:rFonts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z w:val="24"/>
          <w:szCs w:val="24"/>
          <w:lang w:eastAsia="zh-CN"/>
        </w:rPr>
        <w:t>6月底前监测1次，监测时间可与采购人协商，采样频次依据《水泥工业大气污染物排放标准》（GB4915-2013）、《水泥窑协同处置固体废物污染控制标准》（GB30485-2013）及相关国家标准规范执行。</w:t>
      </w:r>
    </w:p>
    <w:p w14:paraId="6733D11B">
      <w:pPr>
        <w:widowControl w:val="0"/>
        <w:spacing w:line="360" w:lineRule="auto"/>
        <w:rPr>
          <w:rFonts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z w:val="24"/>
          <w:szCs w:val="24"/>
          <w:lang w:eastAsia="zh-CN"/>
        </w:rPr>
        <w:t>4.监测时限</w:t>
      </w:r>
    </w:p>
    <w:p w14:paraId="71E049C1">
      <w:pPr>
        <w:widowControl w:val="0"/>
        <w:spacing w:line="360" w:lineRule="auto"/>
        <w:rPr>
          <w:rFonts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z w:val="24"/>
          <w:szCs w:val="24"/>
          <w:lang w:eastAsia="zh-CN"/>
        </w:rPr>
        <w:t>于采样当月20日前将监测报告及原始记录同时以纸质版及盖章扫描件形式交于采购人。监测报告中需对达标情况进行评价。</w:t>
      </w:r>
    </w:p>
    <w:p w14:paraId="01F1F299">
      <w:pPr>
        <w:widowControl w:val="0"/>
        <w:spacing w:line="360" w:lineRule="auto"/>
        <w:rPr>
          <w:rFonts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b/>
          <w:bCs/>
          <w:color w:val="auto"/>
          <w:sz w:val="24"/>
          <w:szCs w:val="24"/>
          <w:lang w:eastAsia="zh-CN"/>
        </w:rPr>
        <w:t>（八）江西源丰有色金属有限公司监督性监测</w:t>
      </w:r>
    </w:p>
    <w:p w14:paraId="41AB5AC0">
      <w:pPr>
        <w:widowControl w:val="0"/>
        <w:spacing w:line="360" w:lineRule="auto"/>
        <w:rPr>
          <w:rFonts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z w:val="24"/>
          <w:szCs w:val="24"/>
          <w:lang w:eastAsia="zh-CN"/>
        </w:rPr>
        <w:t>1.监测项目</w:t>
      </w:r>
    </w:p>
    <w:p w14:paraId="38A33A03">
      <w:pPr>
        <w:widowControl w:val="0"/>
        <w:spacing w:line="360" w:lineRule="auto"/>
        <w:rPr>
          <w:rFonts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z w:val="24"/>
          <w:szCs w:val="24"/>
          <w:lang w:eastAsia="zh-CN"/>
        </w:rPr>
        <w:t>废铅蓄电池储存废气排放口DA001：颗粒物,硫酸雾、流量、温度、湿度、含氧量、流速。</w:t>
      </w:r>
    </w:p>
    <w:p w14:paraId="36A08C4A">
      <w:pPr>
        <w:widowControl w:val="0"/>
        <w:spacing w:line="360" w:lineRule="auto"/>
        <w:rPr>
          <w:rFonts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z w:val="24"/>
          <w:szCs w:val="24"/>
          <w:lang w:eastAsia="zh-CN"/>
        </w:rPr>
        <w:t>破碎工序废气排放口DA002：颗粒物,硫酸雾、流量、温度、湿度、含氧量、流速。</w:t>
      </w:r>
    </w:p>
    <w:p w14:paraId="7A383501">
      <w:pPr>
        <w:widowControl w:val="0"/>
        <w:spacing w:line="360" w:lineRule="auto"/>
        <w:rPr>
          <w:rFonts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z w:val="24"/>
          <w:szCs w:val="24"/>
          <w:lang w:eastAsia="zh-CN"/>
        </w:rPr>
        <w:t>合金炉烟气排放口DA003：二氧化硫,氮氧化物,颗粒物,锡及其化合物,铅及其化合物,锑及其化合物,硫酸雾,铊及其化合物、砷及其化合物、镉及其化合物、铬及其化合物、二噁英、流量、温度、湿度、含氧量、流速。</w:t>
      </w:r>
    </w:p>
    <w:p w14:paraId="3A1DC1A8">
      <w:pPr>
        <w:widowControl w:val="0"/>
        <w:spacing w:line="360" w:lineRule="auto"/>
        <w:rPr>
          <w:rFonts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z w:val="24"/>
          <w:szCs w:val="24"/>
          <w:lang w:eastAsia="zh-CN"/>
        </w:rPr>
        <w:t>熔炼烟气排放口DA005：二氧化硫,氮氧化物,锡及其化合物,锑及其化合物,颗粒物,铅及其化合物,二噁英类,硫酸雾,铊及其化合物,氨（氨气）、流量、温度、湿度、含氧量、流速。</w:t>
      </w:r>
    </w:p>
    <w:p w14:paraId="31606E6D">
      <w:pPr>
        <w:widowControl w:val="0"/>
        <w:spacing w:line="360" w:lineRule="auto"/>
        <w:rPr>
          <w:rFonts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z w:val="24"/>
          <w:szCs w:val="24"/>
          <w:lang w:eastAsia="zh-CN"/>
        </w:rPr>
        <w:t>熔炼环境集烟、火法精炼烟气排放口DA006：二氧化硫,氮氧化物,颗粒物,铅及其化合物,锑及其化合物,锡及其化合物,铊及其化合物、流量、温度、湿度、含氧量、流速。</w:t>
      </w:r>
    </w:p>
    <w:p w14:paraId="63E2EC68">
      <w:pPr>
        <w:widowControl w:val="0"/>
        <w:spacing w:line="360" w:lineRule="auto"/>
        <w:rPr>
          <w:rFonts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z w:val="24"/>
          <w:szCs w:val="24"/>
          <w:lang w:eastAsia="zh-CN"/>
        </w:rPr>
        <w:t>污酸废水处理站废气排放口DA007：硫酸雾、流量、温度、湿度、含氧量、流速。</w:t>
      </w:r>
    </w:p>
    <w:p w14:paraId="7169D6DA">
      <w:pPr>
        <w:widowControl w:val="0"/>
        <w:spacing w:line="360" w:lineRule="auto"/>
        <w:rPr>
          <w:rFonts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z w:val="24"/>
          <w:szCs w:val="24"/>
          <w:lang w:eastAsia="zh-CN"/>
        </w:rPr>
        <w:t>实验室废气排放口DA008：硫酸雾、流量、温度、湿度、含氧量、流速。</w:t>
      </w:r>
    </w:p>
    <w:p w14:paraId="5C48455C">
      <w:pPr>
        <w:widowControl w:val="0"/>
        <w:spacing w:line="360" w:lineRule="auto"/>
        <w:rPr>
          <w:rFonts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z w:val="24"/>
          <w:szCs w:val="24"/>
          <w:lang w:eastAsia="zh-CN"/>
        </w:rPr>
        <w:t>火法精炼间接加热烟气排放口DA009：二氧化硫,氮氧化物,颗粒物、温度、湿度、含氧量、流速。</w:t>
      </w:r>
    </w:p>
    <w:p w14:paraId="0400A04D">
      <w:pPr>
        <w:widowControl w:val="0"/>
        <w:spacing w:line="360" w:lineRule="auto"/>
        <w:rPr>
          <w:rFonts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z w:val="24"/>
          <w:szCs w:val="24"/>
          <w:lang w:eastAsia="zh-CN"/>
        </w:rPr>
        <w:t>浆化浸出废气、净化废气、烘干废气排放口(DA008)：二氧化硫,氮氧化物,颗粒物，硫酸雾、流量、温度、湿度、含氧量、流速。</w:t>
      </w:r>
    </w:p>
    <w:p w14:paraId="293424CA">
      <w:pPr>
        <w:widowControl w:val="0"/>
        <w:spacing w:line="360" w:lineRule="auto"/>
        <w:rPr>
          <w:rFonts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z w:val="24"/>
          <w:szCs w:val="24"/>
          <w:lang w:eastAsia="zh-CN"/>
        </w:rPr>
        <w:t>生活污水排口（DW001）：水温、氨氮、总磷（以P计）、化学需氧量、悬浮物、动植物油、五日生化需氧量、总氮（以N计）、pH值、总锌、总铜、锑、铊、流量。</w:t>
      </w:r>
    </w:p>
    <w:p w14:paraId="693C79CC">
      <w:pPr>
        <w:widowControl w:val="0"/>
        <w:spacing w:line="360" w:lineRule="auto"/>
        <w:rPr>
          <w:rFonts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z w:val="24"/>
          <w:szCs w:val="24"/>
          <w:lang w:eastAsia="zh-CN"/>
        </w:rPr>
        <w:t>同时记录采样期间生产负荷。</w:t>
      </w:r>
    </w:p>
    <w:p w14:paraId="342A04D3">
      <w:pPr>
        <w:widowControl w:val="0"/>
        <w:spacing w:line="360" w:lineRule="auto"/>
        <w:rPr>
          <w:rFonts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z w:val="24"/>
          <w:szCs w:val="24"/>
          <w:lang w:eastAsia="zh-CN"/>
        </w:rPr>
        <w:t>2.监测频次</w:t>
      </w:r>
    </w:p>
    <w:p w14:paraId="69958FF5">
      <w:pPr>
        <w:widowControl w:val="0"/>
        <w:spacing w:line="360" w:lineRule="auto"/>
        <w:rPr>
          <w:rFonts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z w:val="24"/>
          <w:szCs w:val="24"/>
          <w:lang w:eastAsia="zh-CN"/>
        </w:rPr>
        <w:t>6月底前监测1次，监测时间可与采购人协商，采样频次依据《再生铜、铝、铅、锌工业污染物排放标准》（GB31574-2015）、《大气污染物综合排放标准》（GB16297-1996）及相关国家标准规范执行。</w:t>
      </w:r>
    </w:p>
    <w:p w14:paraId="72C5537D">
      <w:pPr>
        <w:widowControl w:val="0"/>
        <w:spacing w:line="360" w:lineRule="auto"/>
        <w:rPr>
          <w:rFonts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z w:val="24"/>
          <w:szCs w:val="24"/>
          <w:lang w:eastAsia="zh-CN"/>
        </w:rPr>
        <w:t>3.监测时限</w:t>
      </w:r>
    </w:p>
    <w:p w14:paraId="2BB80B35">
      <w:pPr>
        <w:widowControl w:val="0"/>
        <w:spacing w:line="360" w:lineRule="auto"/>
        <w:rPr>
          <w:rFonts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z w:val="24"/>
          <w:szCs w:val="24"/>
          <w:lang w:eastAsia="zh-CN"/>
        </w:rPr>
        <w:t>于采样当月20日前将监测报告及原始记录同时以纸质版及盖章扫描件形式交于采购人。监测报告中需对达标情况进行评价。</w:t>
      </w:r>
    </w:p>
    <w:p w14:paraId="5AD84BF6">
      <w:pPr>
        <w:widowControl w:val="0"/>
        <w:spacing w:line="360" w:lineRule="auto"/>
        <w:rPr>
          <w:rFonts w:asciiTheme="minorEastAsia" w:hAnsiTheme="minorEastAsia" w:eastAsiaTheme="minorEastAsia" w:cstheme="minorEastAsia"/>
          <w:b/>
          <w:bCs/>
          <w:color w:val="auto"/>
          <w:sz w:val="24"/>
          <w:szCs w:val="24"/>
          <w:lang w:eastAsia="zh-CN"/>
        </w:rPr>
      </w:pPr>
      <w:r>
        <w:rPr>
          <w:rFonts w:hint="eastAsia" w:asciiTheme="minorEastAsia" w:hAnsiTheme="minorEastAsia" w:eastAsiaTheme="minorEastAsia" w:cstheme="minorEastAsia"/>
          <w:b/>
          <w:bCs/>
          <w:color w:val="auto"/>
          <w:sz w:val="24"/>
          <w:szCs w:val="24"/>
          <w:lang w:eastAsia="zh-CN"/>
        </w:rPr>
        <w:t>（九）江西祥盛环保科技有限公司监督性监测</w:t>
      </w:r>
    </w:p>
    <w:p w14:paraId="42BC5381">
      <w:pPr>
        <w:widowControl w:val="0"/>
        <w:spacing w:line="360" w:lineRule="auto"/>
        <w:rPr>
          <w:rFonts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z w:val="24"/>
          <w:szCs w:val="24"/>
          <w:lang w:eastAsia="zh-CN"/>
        </w:rPr>
        <w:t>1.监测项目</w:t>
      </w:r>
    </w:p>
    <w:p w14:paraId="06AA122C">
      <w:pPr>
        <w:widowControl w:val="0"/>
        <w:spacing w:line="360" w:lineRule="auto"/>
        <w:rPr>
          <w:rFonts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z w:val="24"/>
          <w:szCs w:val="24"/>
          <w:lang w:eastAsia="zh-CN"/>
        </w:rPr>
        <w:t>电积酸雾1#排放口(DA006)：硫酸雾、流速、流量、温度、含氧量</w:t>
      </w:r>
    </w:p>
    <w:p w14:paraId="36BF9371">
      <w:pPr>
        <w:widowControl w:val="0"/>
        <w:spacing w:line="360" w:lineRule="auto"/>
        <w:rPr>
          <w:rFonts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z w:val="24"/>
          <w:szCs w:val="24"/>
          <w:lang w:eastAsia="zh-CN"/>
        </w:rPr>
        <w:t>电积酸雾2#排放口(DA009)：硫酸雾、流速、流量、温度、含氧量</w:t>
      </w:r>
    </w:p>
    <w:p w14:paraId="17FF8363">
      <w:pPr>
        <w:widowControl w:val="0"/>
        <w:spacing w:line="360" w:lineRule="auto"/>
        <w:rPr>
          <w:rFonts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z w:val="24"/>
          <w:szCs w:val="24"/>
          <w:lang w:eastAsia="zh-CN"/>
        </w:rPr>
        <w:t>锅炉尾气烟囱(DA004)：二氧化硫、颗粒物、林格曼黑度、氮氧化物、流速、流量、温度、含氧量</w:t>
      </w:r>
    </w:p>
    <w:p w14:paraId="3FCFB889">
      <w:pPr>
        <w:widowControl w:val="0"/>
        <w:spacing w:line="360" w:lineRule="auto"/>
        <w:rPr>
          <w:rFonts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z w:val="24"/>
          <w:szCs w:val="24"/>
          <w:lang w:eastAsia="zh-CN"/>
        </w:rPr>
        <w:t>回转窑尾气排放烟囱(DA003)：二氧化硫、氮氧化物、颗粒物、砷及其化合物、镉及其化合物、铬及其化合物、铅及其化合物、锡及其化合物、二噁英、流速、流量、温度、含氧量</w:t>
      </w:r>
    </w:p>
    <w:p w14:paraId="33E36DAE">
      <w:pPr>
        <w:widowControl w:val="0"/>
        <w:spacing w:line="360" w:lineRule="auto"/>
        <w:rPr>
          <w:rFonts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z w:val="24"/>
          <w:szCs w:val="24"/>
          <w:lang w:eastAsia="zh-CN"/>
        </w:rPr>
        <w:t>浆化酸雾排放口(DA008)：硫酸雾、流速、流量、温度、含氧量</w:t>
      </w:r>
    </w:p>
    <w:p w14:paraId="6BC4438A">
      <w:pPr>
        <w:widowControl w:val="0"/>
        <w:spacing w:line="360" w:lineRule="auto"/>
        <w:rPr>
          <w:rFonts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z w:val="24"/>
          <w:szCs w:val="24"/>
          <w:lang w:eastAsia="zh-CN"/>
        </w:rPr>
        <w:t>浸出槽排气筒(DA001)：硫酸雾、流速、流量、温度、含氧量</w:t>
      </w:r>
    </w:p>
    <w:p w14:paraId="3C1A871E">
      <w:pPr>
        <w:widowControl w:val="0"/>
        <w:spacing w:line="360" w:lineRule="auto"/>
        <w:rPr>
          <w:rFonts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z w:val="24"/>
          <w:szCs w:val="24"/>
          <w:lang w:eastAsia="zh-CN"/>
        </w:rPr>
        <w:t>净化槽排气筒(DA002)：硫酸雾、流速、流量、温度、含氧量</w:t>
      </w:r>
    </w:p>
    <w:p w14:paraId="730B44E3">
      <w:pPr>
        <w:widowControl w:val="0"/>
        <w:spacing w:line="360" w:lineRule="auto"/>
        <w:rPr>
          <w:rFonts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z w:val="24"/>
          <w:szCs w:val="24"/>
          <w:lang w:eastAsia="zh-CN"/>
        </w:rPr>
        <w:t>实验室废气排放口(DA010)：硫酸雾、流速、流量、温度、含氧量</w:t>
      </w:r>
    </w:p>
    <w:p w14:paraId="1C9EF816">
      <w:pPr>
        <w:widowControl w:val="0"/>
        <w:spacing w:line="360" w:lineRule="auto"/>
        <w:rPr>
          <w:rFonts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z w:val="24"/>
          <w:szCs w:val="24"/>
          <w:lang w:eastAsia="zh-CN"/>
        </w:rPr>
        <w:t>熔铸熔化废气排放口(DA007)：氮氧化物、二氧化硫、氨（氨气）、颗粒物、林格曼黑度、流速、流量、温度、含氧量</w:t>
      </w:r>
    </w:p>
    <w:p w14:paraId="3C42962B">
      <w:pPr>
        <w:widowControl w:val="0"/>
        <w:spacing w:line="360" w:lineRule="auto"/>
        <w:rPr>
          <w:rFonts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z w:val="24"/>
          <w:szCs w:val="24"/>
          <w:lang w:eastAsia="zh-CN"/>
        </w:rPr>
        <w:t>生活污水排口（DW001）：水温、氨氮、总磷、pH值、五日生化需氧量、悬浮物、化学需氧量、总氮、锑、铊、动植物油、总铜、总汞、总镉、总铬、总砷、总铅、总镍、总锌、流量。</w:t>
      </w:r>
    </w:p>
    <w:p w14:paraId="6D012142">
      <w:pPr>
        <w:widowControl w:val="0"/>
        <w:spacing w:line="360" w:lineRule="auto"/>
        <w:rPr>
          <w:rFonts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z w:val="24"/>
          <w:szCs w:val="24"/>
          <w:lang w:eastAsia="zh-CN"/>
        </w:rPr>
        <w:t>同时记录采样期间生产负荷。</w:t>
      </w:r>
    </w:p>
    <w:p w14:paraId="40E0EE41">
      <w:pPr>
        <w:widowControl w:val="0"/>
        <w:spacing w:line="360" w:lineRule="auto"/>
        <w:rPr>
          <w:rFonts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z w:val="24"/>
          <w:szCs w:val="24"/>
          <w:lang w:eastAsia="zh-CN"/>
        </w:rPr>
        <w:t>2.监测频次</w:t>
      </w:r>
    </w:p>
    <w:p w14:paraId="5AA80352">
      <w:pPr>
        <w:widowControl w:val="0"/>
        <w:spacing w:line="360" w:lineRule="auto"/>
        <w:rPr>
          <w:rFonts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z w:val="24"/>
          <w:szCs w:val="24"/>
          <w:lang w:eastAsia="zh-CN"/>
        </w:rPr>
        <w:t>6月底前监测1次，采样频次要求依据排污许可证执行标准及管理要求执行。</w:t>
      </w:r>
    </w:p>
    <w:p w14:paraId="32B0E450">
      <w:pPr>
        <w:widowControl w:val="0"/>
        <w:spacing w:line="360" w:lineRule="auto"/>
        <w:rPr>
          <w:rFonts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z w:val="24"/>
          <w:szCs w:val="24"/>
          <w:lang w:eastAsia="zh-CN"/>
        </w:rPr>
        <w:t>3.监测时限</w:t>
      </w:r>
    </w:p>
    <w:p w14:paraId="4DD55B38">
      <w:pPr>
        <w:widowControl w:val="0"/>
        <w:spacing w:line="360" w:lineRule="auto"/>
        <w:rPr>
          <w:rFonts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z w:val="24"/>
          <w:szCs w:val="24"/>
          <w:lang w:eastAsia="zh-CN"/>
        </w:rPr>
        <w:t>于采样当月20日前将监测报告及原始记录同时以纸质版及盖章扫描件形式交于采购人。监测报告中需对达标情况进行评价。</w:t>
      </w:r>
    </w:p>
    <w:p w14:paraId="247B5E44">
      <w:pPr>
        <w:widowControl w:val="0"/>
        <w:spacing w:line="360" w:lineRule="auto"/>
        <w:rPr>
          <w:rFonts w:asciiTheme="minorEastAsia" w:hAnsiTheme="minorEastAsia" w:eastAsiaTheme="minorEastAsia" w:cstheme="minorEastAsia"/>
          <w:b/>
          <w:bCs/>
          <w:color w:val="auto"/>
          <w:sz w:val="24"/>
          <w:szCs w:val="24"/>
          <w:lang w:eastAsia="zh-CN"/>
        </w:rPr>
      </w:pPr>
      <w:r>
        <w:rPr>
          <w:rFonts w:hint="eastAsia" w:asciiTheme="minorEastAsia" w:hAnsiTheme="minorEastAsia" w:eastAsiaTheme="minorEastAsia" w:cstheme="minorEastAsia"/>
          <w:b/>
          <w:bCs/>
          <w:color w:val="auto"/>
          <w:sz w:val="24"/>
          <w:szCs w:val="24"/>
          <w:lang w:eastAsia="zh-CN"/>
        </w:rPr>
        <w:t>（十）江西龙天勇有色金属有限公司监督性监测</w:t>
      </w:r>
    </w:p>
    <w:p w14:paraId="78DABAE5">
      <w:pPr>
        <w:widowControl w:val="0"/>
        <w:spacing w:line="360" w:lineRule="auto"/>
        <w:rPr>
          <w:rFonts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z w:val="24"/>
          <w:szCs w:val="24"/>
          <w:lang w:eastAsia="zh-CN"/>
        </w:rPr>
        <w:t>1.监测项目</w:t>
      </w:r>
    </w:p>
    <w:p w14:paraId="15779134">
      <w:pPr>
        <w:widowControl w:val="0"/>
        <w:spacing w:line="360" w:lineRule="auto"/>
        <w:rPr>
          <w:rFonts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z w:val="24"/>
          <w:szCs w:val="24"/>
          <w:lang w:eastAsia="zh-CN"/>
        </w:rPr>
        <w:t>钯车间废气排放口(DA006)：挥发性有机物、砷、氮氧化物、二噁英、二氧化硫、颗粒物、氯（氯气）、氯化氢、氟化氢、氨（氨气）、流速、流量、温度、含氧量</w:t>
      </w:r>
    </w:p>
    <w:p w14:paraId="62EACF06">
      <w:pPr>
        <w:widowControl w:val="0"/>
        <w:spacing w:line="360" w:lineRule="auto"/>
        <w:rPr>
          <w:rFonts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z w:val="24"/>
          <w:szCs w:val="24"/>
          <w:lang w:eastAsia="zh-CN"/>
        </w:rPr>
        <w:t>银车间废气废气排放口(DA007)：氮氧化物、砷、铅、颗粒物、锡及其化合物、锑、硫酸雾、流速、流量、温度、含氧量。</w:t>
      </w:r>
    </w:p>
    <w:p w14:paraId="352FAC6F">
      <w:pPr>
        <w:widowControl w:val="0"/>
        <w:spacing w:line="360" w:lineRule="auto"/>
        <w:rPr>
          <w:rFonts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z w:val="24"/>
          <w:szCs w:val="24"/>
          <w:lang w:eastAsia="zh-CN"/>
        </w:rPr>
        <w:t>雨水排放口：水温、pH值、化学需氧量、五日生化需氧量、悬浮物、石油类、总氮、总磷、总汞、总镉、总铬、总砷、总铅、总锌、总铊、总镍、总铜、总银、总锑、总锡、氨氮、流量。</w:t>
      </w:r>
    </w:p>
    <w:p w14:paraId="1D4D38F1">
      <w:pPr>
        <w:widowControl w:val="0"/>
        <w:spacing w:line="360" w:lineRule="auto"/>
        <w:rPr>
          <w:rFonts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z w:val="24"/>
          <w:szCs w:val="24"/>
          <w:lang w:eastAsia="zh-CN"/>
        </w:rPr>
        <w:t>DW001厂区污水总排口：水温、总铊、化学需氧量、石油类、总磷（以P计）、氨氮、五日生化需氧量、总氮（以N计）、悬浮物、pH值、锑、总铅、总铬、总砷、总镍、总铜、总锌、总银、总锡、总锑、流量。</w:t>
      </w:r>
    </w:p>
    <w:p w14:paraId="099AA08A">
      <w:pPr>
        <w:widowControl w:val="0"/>
        <w:spacing w:line="360" w:lineRule="auto"/>
        <w:rPr>
          <w:rFonts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z w:val="24"/>
          <w:szCs w:val="24"/>
          <w:lang w:eastAsia="zh-CN"/>
        </w:rPr>
        <w:t>2.监测频次</w:t>
      </w:r>
    </w:p>
    <w:p w14:paraId="740DCD82">
      <w:pPr>
        <w:widowControl w:val="0"/>
        <w:spacing w:line="360" w:lineRule="auto"/>
        <w:rPr>
          <w:rFonts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z w:val="24"/>
          <w:szCs w:val="24"/>
          <w:lang w:eastAsia="zh-CN"/>
        </w:rPr>
        <w:t>7月底前监测1次，监测时间可与采购人协商，采样频次依据排污许可证执行标准及相关国家标准规范执行。</w:t>
      </w:r>
    </w:p>
    <w:p w14:paraId="594C989C">
      <w:pPr>
        <w:widowControl w:val="0"/>
        <w:spacing w:line="360" w:lineRule="auto"/>
        <w:rPr>
          <w:rFonts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z w:val="24"/>
          <w:szCs w:val="24"/>
          <w:lang w:eastAsia="zh-CN"/>
        </w:rPr>
        <w:t>3.监测时限</w:t>
      </w:r>
    </w:p>
    <w:p w14:paraId="144F4377">
      <w:pPr>
        <w:widowControl w:val="0"/>
        <w:spacing w:line="360" w:lineRule="auto"/>
        <w:rPr>
          <w:rFonts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z w:val="24"/>
          <w:szCs w:val="24"/>
          <w:lang w:eastAsia="zh-CN"/>
        </w:rPr>
        <w:t>于采样当月20日前将监测报告及原始记录同时以纸质版及盖章扫描件形式交于采购人。监测报告中需对达标情况进行评价。</w:t>
      </w:r>
    </w:p>
    <w:p w14:paraId="4215732B">
      <w:pPr>
        <w:widowControl w:val="0"/>
        <w:spacing w:line="360" w:lineRule="auto"/>
        <w:rPr>
          <w:rFonts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b/>
          <w:bCs/>
          <w:color w:val="auto"/>
          <w:sz w:val="24"/>
          <w:szCs w:val="24"/>
          <w:lang w:eastAsia="zh-CN"/>
        </w:rPr>
        <w:t>（十一）永丰伟明环保能源有限公司监督性监测</w:t>
      </w:r>
    </w:p>
    <w:p w14:paraId="601E25AB">
      <w:pPr>
        <w:widowControl w:val="0"/>
        <w:spacing w:line="360" w:lineRule="auto"/>
        <w:rPr>
          <w:rFonts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z w:val="24"/>
          <w:szCs w:val="24"/>
          <w:lang w:eastAsia="zh-CN"/>
        </w:rPr>
        <w:t>1.监测点位</w:t>
      </w:r>
    </w:p>
    <w:p w14:paraId="1F09B9A1">
      <w:pPr>
        <w:widowControl w:val="0"/>
        <w:spacing w:line="360" w:lineRule="auto"/>
        <w:rPr>
          <w:rFonts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z w:val="24"/>
          <w:szCs w:val="24"/>
          <w:lang w:eastAsia="zh-CN"/>
        </w:rPr>
        <w:t>2个焚烧炉排气筒。</w:t>
      </w:r>
    </w:p>
    <w:p w14:paraId="51A3153D">
      <w:pPr>
        <w:widowControl w:val="0"/>
        <w:spacing w:line="360" w:lineRule="auto"/>
        <w:rPr>
          <w:rFonts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z w:val="24"/>
          <w:szCs w:val="24"/>
          <w:lang w:eastAsia="zh-CN"/>
        </w:rPr>
        <w:t>2.监测项目</w:t>
      </w:r>
    </w:p>
    <w:p w14:paraId="65930D35">
      <w:pPr>
        <w:widowControl w:val="0"/>
        <w:spacing w:line="360" w:lineRule="auto"/>
        <w:rPr>
          <w:rFonts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z w:val="24"/>
          <w:szCs w:val="24"/>
          <w:lang w:eastAsia="zh-CN"/>
        </w:rPr>
        <w:t>颗粒物，汞及其化合物,二氧化硫,镉、铊及其化合物（以Cd+Tl计）,一氧化碳,氮氧化物,氯化氢,锑、砷、铅、铬、钴、铜、锰、镍及其化合物（以Sb+As+Pb+Cr+Co+Cu+Mn+Ni计）、二噁英类,焚烧炉渣热灼减率、流量、温度、湿度、含氧量、流速、生产负荷。</w:t>
      </w:r>
    </w:p>
    <w:p w14:paraId="7EDF1C96">
      <w:pPr>
        <w:widowControl w:val="0"/>
        <w:spacing w:line="360" w:lineRule="auto"/>
        <w:rPr>
          <w:rFonts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z w:val="24"/>
          <w:szCs w:val="24"/>
          <w:lang w:eastAsia="zh-CN"/>
        </w:rPr>
        <w:t>3.监测频次</w:t>
      </w:r>
    </w:p>
    <w:p w14:paraId="787634E4">
      <w:pPr>
        <w:widowControl w:val="0"/>
        <w:spacing w:line="360" w:lineRule="auto"/>
        <w:rPr>
          <w:rFonts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z w:val="24"/>
          <w:szCs w:val="24"/>
          <w:lang w:eastAsia="zh-CN"/>
        </w:rPr>
        <w:t>除二噁英类以外其他监测项目于2026年5月、7月、10月及2027年1月各监测1次，二噁英类于2026年7月监测1次。采样频次依据《生活垃圾焚烧污染控制标准(GB18485-2014)》及修改单等国家标准规范要求。</w:t>
      </w:r>
    </w:p>
    <w:p w14:paraId="194FF548">
      <w:pPr>
        <w:widowControl w:val="0"/>
        <w:spacing w:line="360" w:lineRule="auto"/>
        <w:rPr>
          <w:rFonts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z w:val="24"/>
          <w:szCs w:val="24"/>
          <w:lang w:eastAsia="zh-CN"/>
        </w:rPr>
        <w:t>4.监测时限</w:t>
      </w:r>
    </w:p>
    <w:p w14:paraId="1988B4CF">
      <w:pPr>
        <w:widowControl w:val="0"/>
        <w:spacing w:line="360" w:lineRule="auto"/>
        <w:rPr>
          <w:rFonts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z w:val="24"/>
          <w:szCs w:val="24"/>
          <w:lang w:eastAsia="zh-CN"/>
        </w:rPr>
        <w:t>于当月20日前将监测报告及原始记录同时以纸质版及盖章扫描件形式交于采购人。监测报告中需对达标情况进行评价。</w:t>
      </w:r>
    </w:p>
    <w:p w14:paraId="2579AA0D">
      <w:pPr>
        <w:widowControl w:val="0"/>
        <w:spacing w:line="360" w:lineRule="auto"/>
        <w:rPr>
          <w:rFonts w:asciiTheme="minorEastAsia" w:hAnsiTheme="minorEastAsia" w:eastAsiaTheme="minorEastAsia" w:cstheme="minorEastAsia"/>
          <w:b/>
          <w:bCs/>
          <w:color w:val="auto"/>
          <w:sz w:val="24"/>
          <w:szCs w:val="24"/>
          <w:lang w:eastAsia="zh-CN"/>
        </w:rPr>
      </w:pPr>
      <w:r>
        <w:rPr>
          <w:rFonts w:hint="eastAsia" w:asciiTheme="minorEastAsia" w:hAnsiTheme="minorEastAsia" w:eastAsiaTheme="minorEastAsia" w:cstheme="minorEastAsia"/>
          <w:b/>
          <w:bCs/>
          <w:color w:val="auto"/>
          <w:sz w:val="24"/>
          <w:szCs w:val="24"/>
          <w:lang w:eastAsia="zh-CN"/>
        </w:rPr>
        <w:t>(十二）永丰县环境卫生管理所监督性监测</w:t>
      </w:r>
    </w:p>
    <w:p w14:paraId="2946F340">
      <w:pPr>
        <w:widowControl w:val="0"/>
        <w:spacing w:line="360" w:lineRule="auto"/>
        <w:rPr>
          <w:rFonts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z w:val="24"/>
          <w:szCs w:val="24"/>
          <w:lang w:eastAsia="zh-CN"/>
        </w:rPr>
        <w:t>1.监测项目</w:t>
      </w:r>
    </w:p>
    <w:p w14:paraId="17A55636">
      <w:pPr>
        <w:widowControl w:val="0"/>
        <w:spacing w:line="360" w:lineRule="auto"/>
        <w:rPr>
          <w:rFonts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z w:val="24"/>
          <w:szCs w:val="24"/>
          <w:lang w:eastAsia="zh-CN"/>
        </w:rPr>
        <w:t>废水处理设施出口: 水温、色度、CODCr、BOD5、SS、总氮、氨氮、总磷、粪大肠菌群、总汞、总镉、总铬、六价铬、总砷、总铅、流量、水温。每季度监测1次。</w:t>
      </w:r>
    </w:p>
    <w:p w14:paraId="7C4D10C7">
      <w:pPr>
        <w:widowControl w:val="0"/>
        <w:spacing w:line="360" w:lineRule="auto"/>
        <w:rPr>
          <w:rFonts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z w:val="24"/>
          <w:szCs w:val="24"/>
          <w:lang w:eastAsia="zh-CN"/>
        </w:rPr>
        <w:t>地下水（6口井）：水温、pH、总硬度、溶解性总固体、耗氧量、氨氮、硝酸盐、亚硝酸盐、硫酸盐、氯化物、挥发性酚类、氰化物、砷、汞、六价铬、铅、氟、镉、铁、锰、铜、锌、总大肠菌群、井深、水位。每季度监测1次。</w:t>
      </w:r>
    </w:p>
    <w:p w14:paraId="2A705F3C">
      <w:pPr>
        <w:widowControl w:val="0"/>
        <w:spacing w:line="360" w:lineRule="auto"/>
        <w:rPr>
          <w:rFonts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z w:val="24"/>
          <w:szCs w:val="24"/>
          <w:lang w:eastAsia="zh-CN"/>
        </w:rPr>
        <w:t>场界内（外）：甲烷、臭气浓度、氨、硫化氢、颗粒物、风速、温度、压力，每季度监测1次。</w:t>
      </w:r>
    </w:p>
    <w:p w14:paraId="56DA1D6D">
      <w:pPr>
        <w:widowControl w:val="0"/>
        <w:spacing w:line="360" w:lineRule="auto"/>
        <w:rPr>
          <w:rFonts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z w:val="24"/>
          <w:szCs w:val="24"/>
          <w:lang w:eastAsia="zh-CN"/>
        </w:rPr>
        <w:t>2.监测时限</w:t>
      </w:r>
    </w:p>
    <w:p w14:paraId="7A7F3A09">
      <w:pPr>
        <w:widowControl w:val="0"/>
        <w:spacing w:line="360" w:lineRule="auto"/>
        <w:rPr>
          <w:rFonts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z w:val="24"/>
          <w:szCs w:val="24"/>
          <w:lang w:eastAsia="zh-CN"/>
        </w:rPr>
        <w:t>每季度监测一次，于采样当月25日前将监测报告及原始记录同时以纸质版及盖章扫描件形式交于采购人。监测报告中需对达标情况进行评价。</w:t>
      </w:r>
    </w:p>
    <w:p w14:paraId="35B87131">
      <w:pPr>
        <w:widowControl w:val="0"/>
        <w:spacing w:line="360" w:lineRule="auto"/>
        <w:rPr>
          <w:rFonts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z w:val="24"/>
          <w:szCs w:val="24"/>
          <w:lang w:eastAsia="zh-CN"/>
        </w:rPr>
        <w:t>3.采样要求</w:t>
      </w:r>
    </w:p>
    <w:p w14:paraId="533269B2">
      <w:pPr>
        <w:widowControl w:val="0"/>
        <w:spacing w:line="360" w:lineRule="auto"/>
        <w:rPr>
          <w:rFonts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z w:val="24"/>
          <w:szCs w:val="24"/>
          <w:lang w:eastAsia="zh-CN"/>
        </w:rPr>
        <w:t>采样频次需符合《生活垃圾填埋场污染控制标准》、《生活垃圾卫生填埋场环境监测技术要求》等国家有关标准要求执行。采样前1至2天通知排污单位洗井。</w:t>
      </w:r>
    </w:p>
    <w:p w14:paraId="6595DC15">
      <w:pPr>
        <w:widowControl w:val="0"/>
        <w:spacing w:line="360" w:lineRule="auto"/>
        <w:rPr>
          <w:rFonts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b/>
          <w:bCs/>
          <w:color w:val="auto"/>
          <w:sz w:val="24"/>
          <w:szCs w:val="24"/>
          <w:lang w:eastAsia="zh-CN"/>
        </w:rPr>
        <w:t>(十三）江西丰泰环保有限公司监督性监测</w:t>
      </w:r>
    </w:p>
    <w:p w14:paraId="675D16F9">
      <w:pPr>
        <w:widowControl w:val="0"/>
        <w:spacing w:line="360" w:lineRule="auto"/>
        <w:rPr>
          <w:rFonts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z w:val="24"/>
          <w:szCs w:val="24"/>
          <w:lang w:eastAsia="zh-CN"/>
        </w:rPr>
        <w:t>1.监测点位</w:t>
      </w:r>
    </w:p>
    <w:p w14:paraId="49FD1276">
      <w:pPr>
        <w:widowControl w:val="0"/>
        <w:spacing w:line="360" w:lineRule="auto"/>
        <w:rPr>
          <w:rFonts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z w:val="24"/>
          <w:szCs w:val="24"/>
          <w:lang w:eastAsia="zh-CN"/>
        </w:rPr>
        <w:t>废水处理设施出口</w:t>
      </w:r>
    </w:p>
    <w:p w14:paraId="69703B91">
      <w:pPr>
        <w:widowControl w:val="0"/>
        <w:spacing w:line="360" w:lineRule="auto"/>
        <w:rPr>
          <w:rFonts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z w:val="24"/>
          <w:szCs w:val="24"/>
          <w:lang w:eastAsia="zh-CN"/>
        </w:rPr>
        <w:t>2.监测项目</w:t>
      </w:r>
    </w:p>
    <w:p w14:paraId="15DBCFCE">
      <w:pPr>
        <w:widowControl w:val="0"/>
        <w:spacing w:line="360" w:lineRule="auto"/>
        <w:rPr>
          <w:rFonts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z w:val="24"/>
          <w:szCs w:val="24"/>
          <w:lang w:eastAsia="zh-CN"/>
        </w:rPr>
        <w:t>水温、化学需氧量、五日生化需氧量、悬浮物、动植物油、石油类、阴离子表面活性剂、总氮、氨氮、总磷、色度、pH、粪大肠菌群、总汞、烷基汞、总镉、总铬、六价铬、总砷、总铅、总镍、流量、水温，并记录采样期间生产负荷。</w:t>
      </w:r>
    </w:p>
    <w:p w14:paraId="52B76DE6">
      <w:pPr>
        <w:widowControl w:val="0"/>
        <w:spacing w:line="360" w:lineRule="auto"/>
        <w:rPr>
          <w:rFonts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z w:val="24"/>
          <w:szCs w:val="24"/>
          <w:lang w:eastAsia="zh-CN"/>
        </w:rPr>
        <w:t>3.监测频次</w:t>
      </w:r>
    </w:p>
    <w:p w14:paraId="55C25A28">
      <w:pPr>
        <w:widowControl w:val="0"/>
        <w:spacing w:line="360" w:lineRule="auto"/>
        <w:rPr>
          <w:rFonts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z w:val="24"/>
          <w:szCs w:val="24"/>
          <w:lang w:eastAsia="zh-CN"/>
        </w:rPr>
        <w:t>6月底前监测1次，监测时间可与采购人协商，采样频次依据《城镇污水处理厂污染物排放标准》(GB18918-2002)一级A及相关国家标准规范执行。</w:t>
      </w:r>
    </w:p>
    <w:p w14:paraId="37132B7F">
      <w:pPr>
        <w:widowControl w:val="0"/>
        <w:spacing w:line="360" w:lineRule="auto"/>
        <w:rPr>
          <w:rFonts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z w:val="24"/>
          <w:szCs w:val="24"/>
          <w:lang w:eastAsia="zh-CN"/>
        </w:rPr>
        <w:t>4.监测时限</w:t>
      </w:r>
    </w:p>
    <w:p w14:paraId="0E1959C5">
      <w:pPr>
        <w:widowControl w:val="0"/>
        <w:spacing w:line="360" w:lineRule="auto"/>
        <w:rPr>
          <w:rFonts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z w:val="24"/>
          <w:szCs w:val="24"/>
          <w:lang w:eastAsia="zh-CN"/>
        </w:rPr>
        <w:t>于采样当月20日前将监测报告及原始记录同时以纸质版及盖章扫描件形式交于采购人。监测报告中需对达标情况进行评价。</w:t>
      </w:r>
    </w:p>
    <w:p w14:paraId="71473081">
      <w:pPr>
        <w:widowControl w:val="0"/>
        <w:spacing w:line="360" w:lineRule="auto"/>
        <w:rPr>
          <w:rFonts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b/>
          <w:bCs/>
          <w:color w:val="auto"/>
          <w:sz w:val="24"/>
          <w:szCs w:val="24"/>
          <w:lang w:eastAsia="zh-CN"/>
        </w:rPr>
        <w:t>(十四）永丰县佐龙铁矿带源尾矿库监督性监测</w:t>
      </w:r>
    </w:p>
    <w:p w14:paraId="6EC976B3">
      <w:pPr>
        <w:widowControl w:val="0"/>
        <w:spacing w:line="360" w:lineRule="auto"/>
        <w:rPr>
          <w:rFonts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z w:val="24"/>
          <w:szCs w:val="24"/>
          <w:lang w:eastAsia="zh-CN"/>
        </w:rPr>
        <w:t>1.监测项目</w:t>
      </w:r>
    </w:p>
    <w:p w14:paraId="448D2E14">
      <w:pPr>
        <w:widowControl w:val="0"/>
        <w:spacing w:line="360" w:lineRule="auto"/>
        <w:rPr>
          <w:rFonts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z w:val="24"/>
          <w:szCs w:val="24"/>
          <w:lang w:eastAsia="zh-CN"/>
        </w:rPr>
        <w:t>矿井涌水排口（DW001）：水温、总磷、总铁、总锌、总氮、总锰、悬浮物、氟化物、化学需氧量、氨氮、pH值、流量。</w:t>
      </w:r>
    </w:p>
    <w:p w14:paraId="47F994F7">
      <w:pPr>
        <w:widowControl w:val="0"/>
        <w:spacing w:line="360" w:lineRule="auto"/>
        <w:rPr>
          <w:rFonts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z w:val="24"/>
          <w:szCs w:val="24"/>
          <w:lang w:eastAsia="zh-CN"/>
        </w:rPr>
        <w:t>尾矿库溢流水排口（DW002）：水温、化学需氧量、氨氮、总磷、总铁、总锌、总氮、总锰、悬浮物、氟化物、pH值、流量。</w:t>
      </w:r>
    </w:p>
    <w:p w14:paraId="00FC2FC1">
      <w:pPr>
        <w:widowControl w:val="0"/>
        <w:spacing w:line="360" w:lineRule="auto"/>
        <w:rPr>
          <w:rFonts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z w:val="24"/>
          <w:szCs w:val="24"/>
          <w:lang w:eastAsia="zh-CN"/>
        </w:rPr>
        <w:t>原矿破碎、筛分粉尘排气筒（DA001）：颗粒物、流量、温度、湿度、含氧量、流速、生产负荷。</w:t>
      </w:r>
    </w:p>
    <w:p w14:paraId="335F0EBB">
      <w:pPr>
        <w:widowControl w:val="0"/>
        <w:spacing w:line="360" w:lineRule="auto"/>
        <w:rPr>
          <w:rFonts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z w:val="24"/>
          <w:szCs w:val="24"/>
          <w:lang w:eastAsia="zh-CN"/>
        </w:rPr>
        <w:t>地下水监测井（3口）：水温、色、嗅和味、浑浊度、肉眼可见物、pH、总硬度、溶解性总固体、硫酸盐、氯化物、铁、锰、铜、锌、铝、挥发性酚类、阴离子表面活性剂、耗氧量、氨氮、硫化物、钠、总大肠菌群、菌落总数、亚硝酸盐、硝酸盐、氰化物、氟化物、碘化物、汞、砷、硒、镉、铬（六价）、铅、钙、镁、钾、三氯甲烷、四氯化碳、苯、甲苯、总α放射性、总β放射性</w:t>
      </w:r>
    </w:p>
    <w:p w14:paraId="6EDCB13B">
      <w:pPr>
        <w:widowControl w:val="0"/>
        <w:spacing w:line="360" w:lineRule="auto"/>
        <w:rPr>
          <w:rFonts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z w:val="24"/>
          <w:szCs w:val="24"/>
          <w:lang w:eastAsia="zh-CN"/>
        </w:rPr>
        <w:t>2.监测频次</w:t>
      </w:r>
    </w:p>
    <w:p w14:paraId="64A5904C">
      <w:pPr>
        <w:widowControl w:val="0"/>
        <w:spacing w:line="360" w:lineRule="auto"/>
        <w:rPr>
          <w:rFonts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z w:val="24"/>
          <w:szCs w:val="24"/>
          <w:lang w:eastAsia="zh-CN"/>
        </w:rPr>
        <w:t>6月底前监测1次，监测时间可与采购人协商，采样频次依据《钢铁工业水污染物排放标准》、《污水综合排放标准》、《铁矿采选工业污染物排放标准》(GB28661-2012)和地下水质量标准及相关国家标准规范执行。</w:t>
      </w:r>
    </w:p>
    <w:p w14:paraId="00739C95">
      <w:pPr>
        <w:widowControl w:val="0"/>
        <w:spacing w:line="360" w:lineRule="auto"/>
        <w:rPr>
          <w:rFonts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z w:val="24"/>
          <w:szCs w:val="24"/>
          <w:lang w:eastAsia="zh-CN"/>
        </w:rPr>
        <w:t>3.监测时限</w:t>
      </w:r>
    </w:p>
    <w:p w14:paraId="05FBEA67">
      <w:pPr>
        <w:widowControl w:val="0"/>
        <w:spacing w:line="360" w:lineRule="auto"/>
        <w:rPr>
          <w:rFonts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z w:val="24"/>
          <w:szCs w:val="24"/>
          <w:lang w:eastAsia="zh-CN"/>
        </w:rPr>
        <w:t>于采样当月20日前将监测报告及原始记录同时以纸质版及盖章扫描件形式交于采购人。监测报告中需对达标情况进行评价。</w:t>
      </w:r>
    </w:p>
    <w:p w14:paraId="0FF53511">
      <w:pPr>
        <w:widowControl w:val="0"/>
        <w:spacing w:line="360" w:lineRule="auto"/>
        <w:rPr>
          <w:rFonts w:asciiTheme="minorEastAsia" w:hAnsiTheme="minorEastAsia" w:eastAsiaTheme="minorEastAsia" w:cstheme="minorEastAsia"/>
          <w:b/>
          <w:bCs/>
          <w:color w:val="auto"/>
          <w:sz w:val="24"/>
          <w:szCs w:val="24"/>
          <w:lang w:eastAsia="zh-CN"/>
        </w:rPr>
      </w:pPr>
      <w:r>
        <w:rPr>
          <w:rFonts w:hint="eastAsia" w:asciiTheme="minorEastAsia" w:hAnsiTheme="minorEastAsia" w:eastAsiaTheme="minorEastAsia" w:cstheme="minorEastAsia"/>
          <w:b/>
          <w:bCs/>
          <w:color w:val="auto"/>
          <w:sz w:val="24"/>
          <w:szCs w:val="24"/>
          <w:lang w:eastAsia="zh-CN"/>
        </w:rPr>
        <w:t>（十五）永丰县官山建材有限责任公司监督性监测</w:t>
      </w:r>
    </w:p>
    <w:p w14:paraId="7756C479">
      <w:pPr>
        <w:widowControl w:val="0"/>
        <w:spacing w:line="360" w:lineRule="auto"/>
        <w:rPr>
          <w:rFonts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z w:val="24"/>
          <w:szCs w:val="24"/>
          <w:lang w:eastAsia="zh-CN"/>
        </w:rPr>
        <w:t>1.监测点位</w:t>
      </w:r>
    </w:p>
    <w:p w14:paraId="10594BBE">
      <w:pPr>
        <w:widowControl w:val="0"/>
        <w:spacing w:line="360" w:lineRule="auto"/>
        <w:rPr>
          <w:rFonts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z w:val="24"/>
          <w:szCs w:val="24"/>
          <w:lang w:eastAsia="zh-CN"/>
        </w:rPr>
        <w:t>废气排放口2个。</w:t>
      </w:r>
    </w:p>
    <w:p w14:paraId="4F6056A0">
      <w:pPr>
        <w:widowControl w:val="0"/>
        <w:spacing w:line="360" w:lineRule="auto"/>
        <w:rPr>
          <w:rFonts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z w:val="24"/>
          <w:szCs w:val="24"/>
          <w:lang w:eastAsia="zh-CN"/>
        </w:rPr>
        <w:t>2.监测项目</w:t>
      </w:r>
    </w:p>
    <w:p w14:paraId="6C7D659E">
      <w:pPr>
        <w:widowControl w:val="0"/>
        <w:spacing w:line="360" w:lineRule="auto"/>
        <w:rPr>
          <w:rFonts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z w:val="24"/>
          <w:szCs w:val="24"/>
          <w:lang w:eastAsia="zh-CN"/>
        </w:rPr>
        <w:t>原料制备废气排放口（DA001）：颗粒物、流量、温度、湿度、含氧量、流速、生产负荷。</w:t>
      </w:r>
    </w:p>
    <w:p w14:paraId="1E4F8744">
      <w:pPr>
        <w:widowControl w:val="0"/>
        <w:spacing w:line="360" w:lineRule="auto"/>
        <w:rPr>
          <w:rFonts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z w:val="24"/>
          <w:szCs w:val="24"/>
          <w:lang w:eastAsia="zh-CN"/>
        </w:rPr>
        <w:t>窑烟囱废气排放口（DA002）：颗粒物、二氧化硫、氮氧化物、氟化物、流量、温度、湿度、含氧量、流速、生产负荷。</w:t>
      </w:r>
    </w:p>
    <w:p w14:paraId="63402690">
      <w:pPr>
        <w:widowControl w:val="0"/>
        <w:spacing w:line="360" w:lineRule="auto"/>
        <w:rPr>
          <w:rFonts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z w:val="24"/>
          <w:szCs w:val="24"/>
          <w:lang w:eastAsia="zh-CN"/>
        </w:rPr>
        <w:t>3.监测频次</w:t>
      </w:r>
    </w:p>
    <w:p w14:paraId="25AEC7F3">
      <w:pPr>
        <w:widowControl w:val="0"/>
        <w:spacing w:line="360" w:lineRule="auto"/>
        <w:rPr>
          <w:rFonts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z w:val="24"/>
          <w:szCs w:val="24"/>
          <w:lang w:eastAsia="zh-CN"/>
        </w:rPr>
        <w:t>7月底前监测1次，监测时间可与采购人协商，采样频次依据《砖瓦工业大气污染物排放标准》（GB29620-2013）及其修改单和相关国家标准规范执行。</w:t>
      </w:r>
    </w:p>
    <w:p w14:paraId="56E6AD63">
      <w:pPr>
        <w:widowControl w:val="0"/>
        <w:spacing w:line="360" w:lineRule="auto"/>
        <w:rPr>
          <w:rFonts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z w:val="24"/>
          <w:szCs w:val="24"/>
          <w:lang w:eastAsia="zh-CN"/>
        </w:rPr>
        <w:t>4.监测时限</w:t>
      </w:r>
    </w:p>
    <w:p w14:paraId="1F1D8C1F">
      <w:pPr>
        <w:widowControl w:val="0"/>
        <w:spacing w:line="360" w:lineRule="auto"/>
        <w:rPr>
          <w:rFonts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z w:val="24"/>
          <w:szCs w:val="24"/>
          <w:lang w:eastAsia="zh-CN"/>
        </w:rPr>
        <w:t>于采样当月20日前将监测报告及原始记录同时以纸质版及盖章扫描件形式交于采购人。监测报告中需对达标情况进行评价。</w:t>
      </w:r>
    </w:p>
    <w:p w14:paraId="5242C745">
      <w:pPr>
        <w:widowControl w:val="0"/>
        <w:spacing w:line="360" w:lineRule="auto"/>
        <w:rPr>
          <w:rFonts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b/>
          <w:bCs/>
          <w:color w:val="auto"/>
          <w:sz w:val="24"/>
          <w:szCs w:val="24"/>
          <w:lang w:eastAsia="zh-CN"/>
        </w:rPr>
        <w:t>（十六）吉安瑞瑞新型环保建材有限公司监督性监测</w:t>
      </w:r>
    </w:p>
    <w:p w14:paraId="4D4190DA">
      <w:pPr>
        <w:widowControl w:val="0"/>
        <w:spacing w:line="360" w:lineRule="auto"/>
        <w:rPr>
          <w:rFonts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z w:val="24"/>
          <w:szCs w:val="24"/>
          <w:lang w:eastAsia="zh-CN"/>
        </w:rPr>
        <w:t>1.监测点位</w:t>
      </w:r>
    </w:p>
    <w:p w14:paraId="60BDF58C">
      <w:pPr>
        <w:widowControl w:val="0"/>
        <w:spacing w:line="360" w:lineRule="auto"/>
        <w:rPr>
          <w:rFonts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z w:val="24"/>
          <w:szCs w:val="24"/>
          <w:lang w:eastAsia="zh-CN"/>
        </w:rPr>
        <w:t>废气排放口2个。</w:t>
      </w:r>
    </w:p>
    <w:p w14:paraId="70C4DFC0">
      <w:pPr>
        <w:widowControl w:val="0"/>
        <w:spacing w:line="360" w:lineRule="auto"/>
        <w:rPr>
          <w:rFonts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z w:val="24"/>
          <w:szCs w:val="24"/>
          <w:lang w:eastAsia="zh-CN"/>
        </w:rPr>
        <w:t>2.监测项目</w:t>
      </w:r>
    </w:p>
    <w:p w14:paraId="6F1A97FF">
      <w:pPr>
        <w:widowControl w:val="0"/>
        <w:spacing w:line="360" w:lineRule="auto"/>
        <w:rPr>
          <w:rFonts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z w:val="24"/>
          <w:szCs w:val="24"/>
          <w:lang w:eastAsia="zh-CN"/>
        </w:rPr>
        <w:t>原料制备废气排放口（DA001）：颗粒物、流量、温度、湿度、含氧量、流速、生产负荷。</w:t>
      </w:r>
    </w:p>
    <w:p w14:paraId="139A6333">
      <w:pPr>
        <w:widowControl w:val="0"/>
        <w:spacing w:line="360" w:lineRule="auto"/>
        <w:rPr>
          <w:rFonts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z w:val="24"/>
          <w:szCs w:val="24"/>
          <w:lang w:eastAsia="zh-CN"/>
        </w:rPr>
        <w:t>窑烟囱废气排放口（DA002）：颗粒物、二氧化硫、氮氧化物、氟化物、流量、温度、湿度、含氧量、流速、生产负荷。</w:t>
      </w:r>
    </w:p>
    <w:p w14:paraId="0E1D09A8">
      <w:pPr>
        <w:widowControl w:val="0"/>
        <w:spacing w:line="360" w:lineRule="auto"/>
        <w:rPr>
          <w:rFonts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z w:val="24"/>
          <w:szCs w:val="24"/>
          <w:lang w:eastAsia="zh-CN"/>
        </w:rPr>
        <w:t>3.监测频次</w:t>
      </w:r>
    </w:p>
    <w:p w14:paraId="28F24683">
      <w:pPr>
        <w:widowControl w:val="0"/>
        <w:spacing w:line="360" w:lineRule="auto"/>
        <w:rPr>
          <w:rFonts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z w:val="24"/>
          <w:szCs w:val="24"/>
          <w:lang w:eastAsia="zh-CN"/>
        </w:rPr>
        <w:t>7月底前监测1次，监测时间可与采购人协商，采样频次依据《砖瓦工业大气污染物排放标准》（GB29620-2013）及其修改单和相关国家标准规范执行。</w:t>
      </w:r>
    </w:p>
    <w:p w14:paraId="51EB67DC">
      <w:pPr>
        <w:widowControl w:val="0"/>
        <w:spacing w:line="360" w:lineRule="auto"/>
        <w:rPr>
          <w:rFonts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z w:val="24"/>
          <w:szCs w:val="24"/>
          <w:lang w:eastAsia="zh-CN"/>
        </w:rPr>
        <w:t>4.监测时限</w:t>
      </w:r>
    </w:p>
    <w:p w14:paraId="60E4FEB8">
      <w:pPr>
        <w:widowControl w:val="0"/>
        <w:spacing w:line="360" w:lineRule="auto"/>
        <w:rPr>
          <w:rFonts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z w:val="24"/>
          <w:szCs w:val="24"/>
          <w:lang w:eastAsia="zh-CN"/>
        </w:rPr>
        <w:t>于采样当月20日前将监测报告及原始记录同时以纸质版及盖章扫描件形式交于采购人。监测报告中需对达标情况进行评价。</w:t>
      </w:r>
    </w:p>
    <w:p w14:paraId="33C6BE0B">
      <w:pPr>
        <w:widowControl w:val="0"/>
        <w:spacing w:line="360" w:lineRule="auto"/>
        <w:rPr>
          <w:rFonts w:asciiTheme="minorEastAsia" w:hAnsiTheme="minorEastAsia" w:eastAsiaTheme="minorEastAsia" w:cstheme="minorEastAsia"/>
          <w:b/>
          <w:bCs/>
          <w:color w:val="auto"/>
          <w:sz w:val="24"/>
          <w:szCs w:val="24"/>
          <w:lang w:eastAsia="zh-CN"/>
        </w:rPr>
      </w:pPr>
      <w:r>
        <w:rPr>
          <w:rFonts w:hint="eastAsia" w:asciiTheme="minorEastAsia" w:hAnsiTheme="minorEastAsia" w:eastAsiaTheme="minorEastAsia" w:cstheme="minorEastAsia"/>
          <w:b/>
          <w:bCs/>
          <w:color w:val="auto"/>
          <w:sz w:val="24"/>
          <w:szCs w:val="24"/>
          <w:lang w:eastAsia="zh-CN"/>
        </w:rPr>
        <w:t>（十七）永丰县盛安新建材有限公司监督性监测</w:t>
      </w:r>
    </w:p>
    <w:p w14:paraId="21C3445C">
      <w:pPr>
        <w:widowControl w:val="0"/>
        <w:spacing w:line="360" w:lineRule="auto"/>
        <w:rPr>
          <w:rFonts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z w:val="24"/>
          <w:szCs w:val="24"/>
          <w:lang w:eastAsia="zh-CN"/>
        </w:rPr>
        <w:t>1.监测点位</w:t>
      </w:r>
    </w:p>
    <w:p w14:paraId="21CB8570">
      <w:pPr>
        <w:widowControl w:val="0"/>
        <w:spacing w:line="360" w:lineRule="auto"/>
        <w:rPr>
          <w:rFonts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z w:val="24"/>
          <w:szCs w:val="24"/>
          <w:lang w:eastAsia="zh-CN"/>
        </w:rPr>
        <w:t>废气排放口2个。</w:t>
      </w:r>
    </w:p>
    <w:p w14:paraId="16E5C937">
      <w:pPr>
        <w:widowControl w:val="0"/>
        <w:spacing w:line="360" w:lineRule="auto"/>
        <w:rPr>
          <w:rFonts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z w:val="24"/>
          <w:szCs w:val="24"/>
          <w:lang w:eastAsia="zh-CN"/>
        </w:rPr>
        <w:t>2.监测项目</w:t>
      </w:r>
    </w:p>
    <w:p w14:paraId="5C281617">
      <w:pPr>
        <w:widowControl w:val="0"/>
        <w:spacing w:line="360" w:lineRule="auto"/>
        <w:rPr>
          <w:rFonts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z w:val="24"/>
          <w:szCs w:val="24"/>
          <w:lang w:eastAsia="zh-CN"/>
        </w:rPr>
        <w:t>原料制备废气排放口（DA001）：颗粒物、流量、温度、湿度、含氧量、流速、生产负荷。</w:t>
      </w:r>
    </w:p>
    <w:p w14:paraId="408F2EA0">
      <w:pPr>
        <w:widowControl w:val="0"/>
        <w:spacing w:line="360" w:lineRule="auto"/>
        <w:rPr>
          <w:rFonts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z w:val="24"/>
          <w:szCs w:val="24"/>
          <w:lang w:eastAsia="zh-CN"/>
        </w:rPr>
        <w:t>窑烟囱废气排放口（DA002）：颗粒物、二氧化硫、氮氧化物、氟化物、流量、温度、湿度、含氧量、流速、生产负荷。</w:t>
      </w:r>
    </w:p>
    <w:p w14:paraId="31CD028E">
      <w:pPr>
        <w:widowControl w:val="0"/>
        <w:spacing w:line="360" w:lineRule="auto"/>
        <w:rPr>
          <w:rFonts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z w:val="24"/>
          <w:szCs w:val="24"/>
          <w:lang w:eastAsia="zh-CN"/>
        </w:rPr>
        <w:t>3.监测频次</w:t>
      </w:r>
    </w:p>
    <w:p w14:paraId="793F6780">
      <w:pPr>
        <w:widowControl w:val="0"/>
        <w:spacing w:line="360" w:lineRule="auto"/>
        <w:rPr>
          <w:rFonts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z w:val="24"/>
          <w:szCs w:val="24"/>
          <w:lang w:eastAsia="zh-CN"/>
        </w:rPr>
        <w:t>7月底前监测1次，监测时间可与采购人协商，采样频次依据《砖瓦工业大气污染物排放标准》（GB29620-2013）及其修改单和相关国家标准规范执行。</w:t>
      </w:r>
    </w:p>
    <w:p w14:paraId="5DDE37BB">
      <w:pPr>
        <w:widowControl w:val="0"/>
        <w:spacing w:line="360" w:lineRule="auto"/>
        <w:rPr>
          <w:rFonts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z w:val="24"/>
          <w:szCs w:val="24"/>
          <w:lang w:eastAsia="zh-CN"/>
        </w:rPr>
        <w:t>4.监测时限</w:t>
      </w:r>
    </w:p>
    <w:p w14:paraId="7F6EF243">
      <w:pPr>
        <w:widowControl w:val="0"/>
        <w:spacing w:line="360" w:lineRule="auto"/>
        <w:rPr>
          <w:rFonts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z w:val="24"/>
          <w:szCs w:val="24"/>
          <w:lang w:eastAsia="zh-CN"/>
        </w:rPr>
        <w:t>于采样当月20日前将监测报告及原始记录同时以纸质版及盖章扫描件形式交于采购人。监测报告中需对达标情况进行评价。</w:t>
      </w:r>
    </w:p>
    <w:p w14:paraId="011D4511">
      <w:pPr>
        <w:widowControl w:val="0"/>
        <w:spacing w:line="360" w:lineRule="auto"/>
        <w:rPr>
          <w:rFonts w:asciiTheme="minorEastAsia" w:hAnsiTheme="minorEastAsia" w:eastAsiaTheme="minorEastAsia" w:cstheme="minorEastAsia"/>
          <w:b/>
          <w:bCs/>
          <w:color w:val="auto"/>
          <w:sz w:val="24"/>
          <w:szCs w:val="24"/>
          <w:lang w:eastAsia="zh-CN"/>
        </w:rPr>
      </w:pPr>
      <w:r>
        <w:rPr>
          <w:rFonts w:hint="eastAsia" w:asciiTheme="minorEastAsia" w:hAnsiTheme="minorEastAsia" w:eastAsiaTheme="minorEastAsia" w:cstheme="minorEastAsia"/>
          <w:b/>
          <w:bCs/>
          <w:color w:val="auto"/>
          <w:sz w:val="24"/>
          <w:szCs w:val="24"/>
          <w:lang w:eastAsia="zh-CN"/>
        </w:rPr>
        <w:t>（十八）入河排污口监测</w:t>
      </w:r>
    </w:p>
    <w:p w14:paraId="388D1AFA">
      <w:pPr>
        <w:widowControl w:val="0"/>
        <w:spacing w:line="360" w:lineRule="auto"/>
        <w:rPr>
          <w:rFonts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z w:val="24"/>
          <w:szCs w:val="24"/>
          <w:lang w:eastAsia="zh-CN"/>
        </w:rPr>
        <w:t>监测频次每季度1次，具体监测项目如下表：</w:t>
      </w:r>
    </w:p>
    <w:p w14:paraId="52B152D7">
      <w:pPr>
        <w:widowControl w:val="0"/>
        <w:spacing w:line="360" w:lineRule="auto"/>
        <w:rPr>
          <w:rFonts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z w:val="24"/>
          <w:szCs w:val="24"/>
          <w:lang w:eastAsia="zh-CN"/>
        </w:rPr>
        <w:t>监测时限：于当月20日前将监测报告及原始记录同时以纸质版及盖章扫描件形式交于采购人，监测报告中需对达标情况进行评价，评价标准以监测项目表中标准为准。江西永丰县金丰萤石有限公司废水入河排污口、江西永丰南方水泥有限公司以《污水综合排放标准》评价。</w:t>
      </w:r>
    </w:p>
    <w:tbl>
      <w:tblPr>
        <w:tblStyle w:val="11"/>
        <w:tblW w:w="5000" w:type="pct"/>
        <w:jc w:val="center"/>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autofit"/>
        <w:tblCellMar>
          <w:top w:w="0" w:type="dxa"/>
          <w:left w:w="108" w:type="dxa"/>
          <w:bottom w:w="0" w:type="dxa"/>
          <w:right w:w="108" w:type="dxa"/>
        </w:tblCellMar>
      </w:tblPr>
      <w:tblGrid>
        <w:gridCol w:w="2974"/>
        <w:gridCol w:w="1504"/>
        <w:gridCol w:w="5002"/>
        <w:gridCol w:w="25"/>
      </w:tblGrid>
      <w:tr w14:paraId="5D74EE5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108" w:type="dxa"/>
            <w:bottom w:w="0" w:type="dxa"/>
            <w:right w:w="108" w:type="dxa"/>
          </w:tblCellMar>
        </w:tblPrEx>
        <w:trPr>
          <w:gridAfter w:val="1"/>
          <w:wAfter w:w="13" w:type="pct"/>
          <w:trHeight w:val="1313" w:hRule="atLeast"/>
          <w:jc w:val="center"/>
        </w:trPr>
        <w:tc>
          <w:tcPr>
            <w:tcW w:w="1565" w:type="pct"/>
            <w:tcBorders>
              <w:top w:val="single" w:color="000000" w:sz="2" w:space="0"/>
              <w:left w:val="single" w:color="000000" w:sz="2" w:space="0"/>
              <w:bottom w:val="single" w:color="000000" w:sz="2" w:space="0"/>
              <w:right w:val="single" w:color="000000" w:sz="2" w:space="0"/>
            </w:tcBorders>
            <w:vAlign w:val="center"/>
          </w:tcPr>
          <w:p w14:paraId="141CA6C4">
            <w:pPr>
              <w:widowControl w:val="0"/>
              <w:spacing w:line="360" w:lineRule="auto"/>
              <w:jc w:val="center"/>
              <w:rPr>
                <w:rFonts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z w:val="24"/>
                <w:szCs w:val="24"/>
                <w:lang w:eastAsia="zh-CN"/>
              </w:rPr>
              <w:t>入河排污口名称</w:t>
            </w:r>
          </w:p>
        </w:tc>
        <w:tc>
          <w:tcPr>
            <w:tcW w:w="791" w:type="pct"/>
            <w:tcBorders>
              <w:top w:val="single" w:color="000000" w:sz="2" w:space="0"/>
              <w:left w:val="single" w:color="000000" w:sz="2" w:space="0"/>
              <w:bottom w:val="single" w:color="000000" w:sz="2" w:space="0"/>
              <w:right w:val="single" w:color="000000" w:sz="2" w:space="0"/>
            </w:tcBorders>
            <w:vAlign w:val="center"/>
          </w:tcPr>
          <w:p w14:paraId="75564405">
            <w:pPr>
              <w:widowControl w:val="0"/>
              <w:spacing w:line="360" w:lineRule="auto"/>
              <w:jc w:val="center"/>
              <w:rPr>
                <w:rFonts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z w:val="24"/>
                <w:szCs w:val="24"/>
                <w:lang w:eastAsia="zh-CN"/>
              </w:rPr>
              <w:t>类型</w:t>
            </w:r>
          </w:p>
        </w:tc>
        <w:tc>
          <w:tcPr>
            <w:tcW w:w="2631" w:type="pct"/>
            <w:tcBorders>
              <w:top w:val="single" w:color="000000" w:sz="2" w:space="0"/>
              <w:left w:val="single" w:color="000000" w:sz="2" w:space="0"/>
              <w:bottom w:val="single" w:color="000000" w:sz="2" w:space="0"/>
              <w:right w:val="single" w:color="000000" w:sz="2" w:space="0"/>
            </w:tcBorders>
            <w:vAlign w:val="center"/>
          </w:tcPr>
          <w:p w14:paraId="339424C5">
            <w:pPr>
              <w:widowControl w:val="0"/>
              <w:spacing w:line="360" w:lineRule="auto"/>
              <w:jc w:val="center"/>
              <w:rPr>
                <w:rFonts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z w:val="24"/>
                <w:szCs w:val="24"/>
                <w:lang w:eastAsia="zh-CN"/>
              </w:rPr>
              <w:t>监测项目</w:t>
            </w:r>
          </w:p>
        </w:tc>
      </w:tr>
      <w:tr w14:paraId="0533411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108" w:type="dxa"/>
            <w:bottom w:w="0" w:type="dxa"/>
            <w:right w:w="108" w:type="dxa"/>
          </w:tblCellMar>
        </w:tblPrEx>
        <w:trPr>
          <w:gridAfter w:val="1"/>
          <w:wAfter w:w="13" w:type="pct"/>
          <w:trHeight w:val="997" w:hRule="atLeast"/>
          <w:jc w:val="center"/>
        </w:trPr>
        <w:tc>
          <w:tcPr>
            <w:tcW w:w="1565" w:type="pct"/>
            <w:tcBorders>
              <w:top w:val="single" w:color="000000" w:sz="2" w:space="0"/>
              <w:left w:val="single" w:color="000000" w:sz="2" w:space="0"/>
              <w:bottom w:val="single" w:color="000000" w:sz="2" w:space="0"/>
              <w:right w:val="single" w:color="000000" w:sz="2" w:space="0"/>
            </w:tcBorders>
            <w:vAlign w:val="center"/>
          </w:tcPr>
          <w:p w14:paraId="151A853D">
            <w:pPr>
              <w:widowControl w:val="0"/>
              <w:spacing w:line="360" w:lineRule="auto"/>
              <w:rPr>
                <w:rFonts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z w:val="24"/>
                <w:szCs w:val="24"/>
                <w:lang w:eastAsia="zh-CN"/>
              </w:rPr>
              <w:t>永丰县工业园南区工业基础废水入河排污口</w:t>
            </w:r>
          </w:p>
        </w:tc>
        <w:tc>
          <w:tcPr>
            <w:tcW w:w="791" w:type="pct"/>
            <w:tcBorders>
              <w:top w:val="single" w:color="000000" w:sz="2" w:space="0"/>
              <w:left w:val="single" w:color="000000" w:sz="2" w:space="0"/>
              <w:bottom w:val="single" w:color="000000" w:sz="2" w:space="0"/>
              <w:right w:val="single" w:color="000000" w:sz="2" w:space="0"/>
            </w:tcBorders>
            <w:vAlign w:val="center"/>
          </w:tcPr>
          <w:p w14:paraId="6208ECF4">
            <w:pPr>
              <w:widowControl w:val="0"/>
              <w:spacing w:line="360" w:lineRule="auto"/>
              <w:rPr>
                <w:rFonts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z w:val="24"/>
                <w:szCs w:val="24"/>
                <w:lang w:eastAsia="zh-CN"/>
              </w:rPr>
              <w:t>企业废水</w:t>
            </w:r>
          </w:p>
        </w:tc>
        <w:tc>
          <w:tcPr>
            <w:tcW w:w="2631" w:type="pct"/>
            <w:tcBorders>
              <w:top w:val="single" w:color="000000" w:sz="2" w:space="0"/>
              <w:left w:val="single" w:color="000000" w:sz="2" w:space="0"/>
              <w:bottom w:val="single" w:color="000000" w:sz="2" w:space="0"/>
              <w:right w:val="single" w:color="000000" w:sz="2" w:space="0"/>
            </w:tcBorders>
            <w:vAlign w:val="center"/>
          </w:tcPr>
          <w:p w14:paraId="5BA07912">
            <w:pPr>
              <w:widowControl w:val="0"/>
              <w:spacing w:line="360" w:lineRule="auto"/>
              <w:rPr>
                <w:rFonts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z w:val="24"/>
                <w:szCs w:val="24"/>
                <w:lang w:eastAsia="zh-CN"/>
              </w:rPr>
              <w:t>水温、流量、城镇污水处理厂污染物排放标准中表1、2一级B所有项目</w:t>
            </w:r>
          </w:p>
        </w:tc>
      </w:tr>
      <w:tr w14:paraId="69CFFF2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108" w:type="dxa"/>
            <w:bottom w:w="0" w:type="dxa"/>
            <w:right w:w="108" w:type="dxa"/>
          </w:tblCellMar>
        </w:tblPrEx>
        <w:trPr>
          <w:gridAfter w:val="1"/>
          <w:wAfter w:w="13" w:type="pct"/>
          <w:trHeight w:val="1027" w:hRule="atLeast"/>
          <w:jc w:val="center"/>
        </w:trPr>
        <w:tc>
          <w:tcPr>
            <w:tcW w:w="1565" w:type="pct"/>
            <w:tcBorders>
              <w:top w:val="single" w:color="000000" w:sz="2" w:space="0"/>
              <w:left w:val="single" w:color="000000" w:sz="2" w:space="0"/>
              <w:bottom w:val="single" w:color="000000" w:sz="2" w:space="0"/>
              <w:right w:val="single" w:color="000000" w:sz="2" w:space="0"/>
            </w:tcBorders>
            <w:vAlign w:val="center"/>
          </w:tcPr>
          <w:p w14:paraId="3F4DFCAE">
            <w:pPr>
              <w:widowControl w:val="0"/>
              <w:spacing w:line="360" w:lineRule="auto"/>
              <w:rPr>
                <w:rFonts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z w:val="24"/>
                <w:szCs w:val="24"/>
                <w:lang w:eastAsia="zh-CN"/>
              </w:rPr>
              <w:t>江西洪城水业环保有限公司永丰分公司入河排污口</w:t>
            </w:r>
          </w:p>
        </w:tc>
        <w:tc>
          <w:tcPr>
            <w:tcW w:w="791" w:type="pct"/>
            <w:tcBorders>
              <w:top w:val="single" w:color="000000" w:sz="2" w:space="0"/>
              <w:left w:val="single" w:color="000000" w:sz="2" w:space="0"/>
              <w:bottom w:val="single" w:color="000000" w:sz="2" w:space="0"/>
              <w:right w:val="single" w:color="000000" w:sz="2" w:space="0"/>
            </w:tcBorders>
            <w:vAlign w:val="center"/>
          </w:tcPr>
          <w:p w14:paraId="7CDDCFF0">
            <w:pPr>
              <w:widowControl w:val="0"/>
              <w:spacing w:line="360" w:lineRule="auto"/>
              <w:rPr>
                <w:rFonts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z w:val="24"/>
                <w:szCs w:val="24"/>
                <w:lang w:eastAsia="zh-CN"/>
              </w:rPr>
              <w:t>企业废水</w:t>
            </w:r>
          </w:p>
        </w:tc>
        <w:tc>
          <w:tcPr>
            <w:tcW w:w="2631" w:type="pct"/>
            <w:tcBorders>
              <w:top w:val="single" w:color="000000" w:sz="2" w:space="0"/>
              <w:left w:val="single" w:color="000000" w:sz="2" w:space="0"/>
              <w:bottom w:val="single" w:color="000000" w:sz="2" w:space="0"/>
              <w:right w:val="single" w:color="000000" w:sz="2" w:space="0"/>
            </w:tcBorders>
            <w:vAlign w:val="center"/>
          </w:tcPr>
          <w:p w14:paraId="0BFB6CA2">
            <w:pPr>
              <w:widowControl w:val="0"/>
              <w:spacing w:line="360" w:lineRule="auto"/>
              <w:rPr>
                <w:rFonts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z w:val="24"/>
                <w:szCs w:val="24"/>
                <w:lang w:eastAsia="zh-CN"/>
              </w:rPr>
              <w:t>水温、流量、城镇污水处理厂污染物排放标准中表1、2一级A所有项目</w:t>
            </w:r>
          </w:p>
        </w:tc>
      </w:tr>
      <w:tr w14:paraId="1A84952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108" w:type="dxa"/>
            <w:bottom w:w="0" w:type="dxa"/>
            <w:right w:w="108" w:type="dxa"/>
          </w:tblCellMar>
        </w:tblPrEx>
        <w:trPr>
          <w:gridAfter w:val="1"/>
          <w:wAfter w:w="13" w:type="pct"/>
          <w:trHeight w:val="1778" w:hRule="atLeast"/>
          <w:jc w:val="center"/>
        </w:trPr>
        <w:tc>
          <w:tcPr>
            <w:tcW w:w="1565" w:type="pct"/>
            <w:tcBorders>
              <w:top w:val="single" w:color="000000" w:sz="2" w:space="0"/>
              <w:left w:val="single" w:color="000000" w:sz="2" w:space="0"/>
              <w:bottom w:val="single" w:color="000000" w:sz="2" w:space="0"/>
              <w:right w:val="single" w:color="000000" w:sz="2" w:space="0"/>
            </w:tcBorders>
            <w:vAlign w:val="center"/>
          </w:tcPr>
          <w:p w14:paraId="24820199">
            <w:pPr>
              <w:widowControl w:val="0"/>
              <w:spacing w:line="360" w:lineRule="auto"/>
              <w:rPr>
                <w:rFonts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z w:val="24"/>
                <w:szCs w:val="24"/>
                <w:lang w:eastAsia="zh-CN"/>
              </w:rPr>
              <w:t>永丰县工业园北区工业基础废水入河排污口</w:t>
            </w:r>
          </w:p>
        </w:tc>
        <w:tc>
          <w:tcPr>
            <w:tcW w:w="791" w:type="pct"/>
            <w:tcBorders>
              <w:top w:val="single" w:color="000000" w:sz="2" w:space="0"/>
              <w:left w:val="single" w:color="000000" w:sz="2" w:space="0"/>
              <w:bottom w:val="single" w:color="000000" w:sz="2" w:space="0"/>
              <w:right w:val="single" w:color="000000" w:sz="2" w:space="0"/>
            </w:tcBorders>
            <w:vAlign w:val="center"/>
          </w:tcPr>
          <w:p w14:paraId="48FB16EC">
            <w:pPr>
              <w:widowControl w:val="0"/>
              <w:spacing w:line="360" w:lineRule="auto"/>
              <w:rPr>
                <w:rFonts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z w:val="24"/>
                <w:szCs w:val="24"/>
                <w:lang w:eastAsia="zh-CN"/>
              </w:rPr>
              <w:t>混合废水</w:t>
            </w:r>
          </w:p>
        </w:tc>
        <w:tc>
          <w:tcPr>
            <w:tcW w:w="2631" w:type="pct"/>
            <w:tcBorders>
              <w:top w:val="single" w:color="000000" w:sz="2" w:space="0"/>
              <w:left w:val="single" w:color="000000" w:sz="2" w:space="0"/>
              <w:bottom w:val="single" w:color="000000" w:sz="2" w:space="0"/>
              <w:right w:val="single" w:color="000000" w:sz="2" w:space="0"/>
            </w:tcBorders>
            <w:vAlign w:val="center"/>
          </w:tcPr>
          <w:p w14:paraId="03C42B64">
            <w:pPr>
              <w:widowControl w:val="0"/>
              <w:spacing w:line="360" w:lineRule="auto"/>
              <w:rPr>
                <w:rFonts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z w:val="24"/>
                <w:szCs w:val="24"/>
                <w:lang w:eastAsia="zh-CN"/>
              </w:rPr>
              <w:t>水温、流量、化学需氧量、生化需氧量、悬浮物、动植物油石油类、阴离子表面活性剂、总氮（以N计）、氨氮（以N计）、总磷（以P计）、色度(稀释倍数）、粪大肠菌群数、总汞、烷基汞、总镉、总铬、六价铬、总砷、总铅、pH值</w:t>
            </w:r>
          </w:p>
        </w:tc>
      </w:tr>
      <w:tr w14:paraId="1B783B8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108" w:type="dxa"/>
            <w:bottom w:w="0" w:type="dxa"/>
            <w:right w:w="108" w:type="dxa"/>
          </w:tblCellMar>
        </w:tblPrEx>
        <w:trPr>
          <w:gridAfter w:val="1"/>
          <w:wAfter w:w="13" w:type="pct"/>
          <w:trHeight w:val="1790" w:hRule="atLeast"/>
          <w:jc w:val="center"/>
        </w:trPr>
        <w:tc>
          <w:tcPr>
            <w:tcW w:w="1565" w:type="pct"/>
            <w:tcBorders>
              <w:top w:val="single" w:color="000000" w:sz="2" w:space="0"/>
              <w:left w:val="single" w:color="000000" w:sz="2" w:space="0"/>
              <w:bottom w:val="single" w:color="000000" w:sz="2" w:space="0"/>
              <w:right w:val="single" w:color="000000" w:sz="2" w:space="0"/>
            </w:tcBorders>
            <w:vAlign w:val="center"/>
          </w:tcPr>
          <w:p w14:paraId="3A445A08">
            <w:pPr>
              <w:widowControl w:val="0"/>
              <w:spacing w:line="360" w:lineRule="auto"/>
              <w:rPr>
                <w:rFonts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z w:val="24"/>
                <w:szCs w:val="24"/>
                <w:lang w:eastAsia="zh-CN"/>
              </w:rPr>
              <w:t>永丰县工业园西区工业基础废水入河排污口1#</w:t>
            </w:r>
          </w:p>
        </w:tc>
        <w:tc>
          <w:tcPr>
            <w:tcW w:w="791" w:type="pct"/>
            <w:tcBorders>
              <w:top w:val="single" w:color="000000" w:sz="2" w:space="0"/>
              <w:left w:val="single" w:color="000000" w:sz="2" w:space="0"/>
              <w:bottom w:val="single" w:color="000000" w:sz="2" w:space="0"/>
              <w:right w:val="single" w:color="000000" w:sz="2" w:space="0"/>
            </w:tcBorders>
            <w:vAlign w:val="center"/>
          </w:tcPr>
          <w:p w14:paraId="0A5BDC06">
            <w:pPr>
              <w:widowControl w:val="0"/>
              <w:spacing w:line="360" w:lineRule="auto"/>
              <w:rPr>
                <w:rFonts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z w:val="24"/>
                <w:szCs w:val="24"/>
                <w:lang w:eastAsia="zh-CN"/>
              </w:rPr>
              <w:t>混合废水</w:t>
            </w:r>
          </w:p>
        </w:tc>
        <w:tc>
          <w:tcPr>
            <w:tcW w:w="2631" w:type="pct"/>
            <w:tcBorders>
              <w:top w:val="single" w:color="000000" w:sz="2" w:space="0"/>
              <w:left w:val="single" w:color="000000" w:sz="2" w:space="0"/>
              <w:bottom w:val="single" w:color="000000" w:sz="2" w:space="0"/>
              <w:right w:val="single" w:color="000000" w:sz="2" w:space="0"/>
            </w:tcBorders>
            <w:vAlign w:val="center"/>
          </w:tcPr>
          <w:p w14:paraId="2DF80D84">
            <w:pPr>
              <w:widowControl w:val="0"/>
              <w:spacing w:line="360" w:lineRule="auto"/>
              <w:rPr>
                <w:rFonts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z w:val="24"/>
                <w:szCs w:val="24"/>
                <w:lang w:eastAsia="zh-CN"/>
              </w:rPr>
              <w:t>水温、流量、化学需氧量、生化需氧量、悬浮物、动植物油石油类、阴离子表面活性剂、总氮（以N计）、氨氮（以N计）、总磷（以P计）、色度(稀释倍数）、粪大肠菌群数、总汞、烷基汞、总镉、总铬、六价铬、总砷、总铅、pH值</w:t>
            </w:r>
          </w:p>
        </w:tc>
      </w:tr>
      <w:tr w14:paraId="3BE139D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108" w:type="dxa"/>
            <w:bottom w:w="0" w:type="dxa"/>
            <w:right w:w="108" w:type="dxa"/>
          </w:tblCellMar>
        </w:tblPrEx>
        <w:trPr>
          <w:gridAfter w:val="1"/>
          <w:wAfter w:w="13" w:type="pct"/>
          <w:trHeight w:val="965" w:hRule="atLeast"/>
          <w:jc w:val="center"/>
        </w:trPr>
        <w:tc>
          <w:tcPr>
            <w:tcW w:w="1565" w:type="pct"/>
            <w:tcBorders>
              <w:top w:val="single" w:color="000000" w:sz="2" w:space="0"/>
              <w:left w:val="single" w:color="000000" w:sz="2" w:space="0"/>
              <w:bottom w:val="single" w:color="000000" w:sz="2" w:space="0"/>
              <w:right w:val="single" w:color="000000" w:sz="2" w:space="0"/>
            </w:tcBorders>
            <w:vAlign w:val="center"/>
          </w:tcPr>
          <w:p w14:paraId="48EB9F6A">
            <w:pPr>
              <w:widowControl w:val="0"/>
              <w:spacing w:line="360" w:lineRule="auto"/>
              <w:rPr>
                <w:rFonts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z w:val="24"/>
                <w:szCs w:val="24"/>
                <w:lang w:eastAsia="zh-CN"/>
              </w:rPr>
              <w:t>永丰县工业园西区工业基础废水入河排污口2#</w:t>
            </w:r>
          </w:p>
        </w:tc>
        <w:tc>
          <w:tcPr>
            <w:tcW w:w="791" w:type="pct"/>
            <w:tcBorders>
              <w:top w:val="single" w:color="000000" w:sz="2" w:space="0"/>
              <w:left w:val="single" w:color="000000" w:sz="2" w:space="0"/>
              <w:bottom w:val="single" w:color="000000" w:sz="2" w:space="0"/>
              <w:right w:val="single" w:color="000000" w:sz="2" w:space="0"/>
            </w:tcBorders>
            <w:vAlign w:val="center"/>
          </w:tcPr>
          <w:p w14:paraId="7CCE3BED">
            <w:pPr>
              <w:widowControl w:val="0"/>
              <w:spacing w:line="360" w:lineRule="auto"/>
              <w:rPr>
                <w:rFonts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z w:val="24"/>
                <w:szCs w:val="24"/>
                <w:lang w:eastAsia="zh-CN"/>
              </w:rPr>
              <w:t>混合废水</w:t>
            </w:r>
          </w:p>
        </w:tc>
        <w:tc>
          <w:tcPr>
            <w:tcW w:w="2631" w:type="pct"/>
            <w:tcBorders>
              <w:top w:val="single" w:color="000000" w:sz="2" w:space="0"/>
              <w:left w:val="single" w:color="000000" w:sz="2" w:space="0"/>
              <w:bottom w:val="single" w:color="000000" w:sz="2" w:space="0"/>
              <w:right w:val="single" w:color="000000" w:sz="2" w:space="0"/>
            </w:tcBorders>
            <w:vAlign w:val="center"/>
          </w:tcPr>
          <w:p w14:paraId="153F92EE">
            <w:pPr>
              <w:widowControl w:val="0"/>
              <w:spacing w:line="360" w:lineRule="auto"/>
              <w:rPr>
                <w:rFonts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z w:val="24"/>
                <w:szCs w:val="24"/>
                <w:lang w:eastAsia="zh-CN"/>
              </w:rPr>
              <w:t>水温、流量、城镇污水处理厂污染物排放标准中表1、2一级A所有项目</w:t>
            </w:r>
          </w:p>
        </w:tc>
      </w:tr>
      <w:tr w14:paraId="7305536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108" w:type="dxa"/>
            <w:bottom w:w="0" w:type="dxa"/>
            <w:right w:w="108" w:type="dxa"/>
          </w:tblCellMar>
        </w:tblPrEx>
        <w:trPr>
          <w:gridAfter w:val="1"/>
          <w:wAfter w:w="13" w:type="pct"/>
          <w:trHeight w:val="1009" w:hRule="atLeast"/>
          <w:jc w:val="center"/>
        </w:trPr>
        <w:tc>
          <w:tcPr>
            <w:tcW w:w="1565" w:type="pct"/>
            <w:tcBorders>
              <w:top w:val="single" w:color="000000" w:sz="2" w:space="0"/>
              <w:left w:val="single" w:color="000000" w:sz="2" w:space="0"/>
              <w:bottom w:val="single" w:color="000000" w:sz="2" w:space="0"/>
              <w:right w:val="single" w:color="000000" w:sz="2" w:space="0"/>
            </w:tcBorders>
            <w:vAlign w:val="center"/>
          </w:tcPr>
          <w:p w14:paraId="3DD43B23">
            <w:pPr>
              <w:widowControl w:val="0"/>
              <w:spacing w:line="360" w:lineRule="auto"/>
              <w:rPr>
                <w:rFonts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z w:val="24"/>
                <w:szCs w:val="24"/>
                <w:lang w:eastAsia="zh-CN"/>
              </w:rPr>
              <w:t>江西永丰县金丰萤石有限公司废水入河排污口</w:t>
            </w:r>
          </w:p>
        </w:tc>
        <w:tc>
          <w:tcPr>
            <w:tcW w:w="791" w:type="pct"/>
            <w:tcBorders>
              <w:top w:val="single" w:color="000000" w:sz="2" w:space="0"/>
              <w:left w:val="single" w:color="000000" w:sz="2" w:space="0"/>
              <w:bottom w:val="single" w:color="000000" w:sz="2" w:space="0"/>
              <w:right w:val="single" w:color="000000" w:sz="2" w:space="0"/>
            </w:tcBorders>
            <w:vAlign w:val="center"/>
          </w:tcPr>
          <w:p w14:paraId="388D31D0">
            <w:pPr>
              <w:widowControl w:val="0"/>
              <w:spacing w:line="360" w:lineRule="auto"/>
              <w:rPr>
                <w:rFonts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z w:val="24"/>
                <w:szCs w:val="24"/>
                <w:lang w:eastAsia="zh-CN"/>
              </w:rPr>
              <w:t>企业废水</w:t>
            </w:r>
          </w:p>
        </w:tc>
        <w:tc>
          <w:tcPr>
            <w:tcW w:w="2631" w:type="pct"/>
            <w:tcBorders>
              <w:top w:val="single" w:color="000000" w:sz="2" w:space="0"/>
              <w:left w:val="single" w:color="000000" w:sz="2" w:space="0"/>
              <w:bottom w:val="single" w:color="000000" w:sz="2" w:space="0"/>
              <w:right w:val="single" w:color="000000" w:sz="2" w:space="0"/>
            </w:tcBorders>
            <w:vAlign w:val="center"/>
          </w:tcPr>
          <w:p w14:paraId="231B5CCD">
            <w:pPr>
              <w:widowControl w:val="0"/>
              <w:spacing w:line="360" w:lineRule="auto"/>
              <w:rPr>
                <w:rFonts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z w:val="24"/>
                <w:szCs w:val="24"/>
                <w:lang w:eastAsia="zh-CN"/>
              </w:rPr>
              <w:t>水温、流量、pH值、悬浮物、化学需氧量、氨氮（NH3-N）、石油类、五日生化需氧量、氟化物、总磷</w:t>
            </w:r>
          </w:p>
        </w:tc>
      </w:tr>
      <w:tr w14:paraId="3B67DE0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108" w:type="dxa"/>
            <w:bottom w:w="0" w:type="dxa"/>
            <w:right w:w="108" w:type="dxa"/>
          </w:tblCellMar>
        </w:tblPrEx>
        <w:trPr>
          <w:gridAfter w:val="1"/>
          <w:wAfter w:w="13" w:type="pct"/>
          <w:trHeight w:val="770" w:hRule="atLeast"/>
          <w:jc w:val="center"/>
        </w:trPr>
        <w:tc>
          <w:tcPr>
            <w:tcW w:w="1565" w:type="pct"/>
            <w:tcBorders>
              <w:top w:val="single" w:color="000000" w:sz="2" w:space="0"/>
              <w:left w:val="single" w:color="000000" w:sz="2" w:space="0"/>
              <w:bottom w:val="single" w:color="000000" w:sz="2" w:space="0"/>
              <w:right w:val="single" w:color="000000" w:sz="2" w:space="0"/>
            </w:tcBorders>
            <w:vAlign w:val="center"/>
          </w:tcPr>
          <w:p w14:paraId="4B6C3285">
            <w:pPr>
              <w:widowControl w:val="0"/>
              <w:spacing w:line="360" w:lineRule="auto"/>
              <w:rPr>
                <w:rFonts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z w:val="24"/>
                <w:szCs w:val="24"/>
                <w:lang w:eastAsia="zh-CN"/>
              </w:rPr>
              <w:t>江西永丰南方水泥有限公司</w:t>
            </w:r>
          </w:p>
        </w:tc>
        <w:tc>
          <w:tcPr>
            <w:tcW w:w="791" w:type="pct"/>
            <w:tcBorders>
              <w:top w:val="single" w:color="000000" w:sz="2" w:space="0"/>
              <w:left w:val="single" w:color="000000" w:sz="2" w:space="0"/>
              <w:bottom w:val="single" w:color="000000" w:sz="2" w:space="0"/>
              <w:right w:val="single" w:color="000000" w:sz="2" w:space="0"/>
            </w:tcBorders>
            <w:vAlign w:val="center"/>
          </w:tcPr>
          <w:p w14:paraId="7264822A">
            <w:pPr>
              <w:widowControl w:val="0"/>
              <w:spacing w:line="360" w:lineRule="auto"/>
              <w:rPr>
                <w:rFonts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z w:val="24"/>
                <w:szCs w:val="24"/>
                <w:lang w:eastAsia="zh-CN"/>
              </w:rPr>
              <w:t>企业废水</w:t>
            </w:r>
          </w:p>
        </w:tc>
        <w:tc>
          <w:tcPr>
            <w:tcW w:w="2631" w:type="pct"/>
            <w:tcBorders>
              <w:top w:val="single" w:color="000000" w:sz="2" w:space="0"/>
              <w:left w:val="single" w:color="000000" w:sz="2" w:space="0"/>
              <w:bottom w:val="single" w:color="000000" w:sz="2" w:space="0"/>
              <w:right w:val="single" w:color="000000" w:sz="2" w:space="0"/>
            </w:tcBorders>
            <w:vAlign w:val="center"/>
          </w:tcPr>
          <w:p w14:paraId="24CCCCCD">
            <w:pPr>
              <w:widowControl w:val="0"/>
              <w:spacing w:line="360" w:lineRule="auto"/>
              <w:rPr>
                <w:rFonts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z w:val="24"/>
                <w:szCs w:val="24"/>
                <w:lang w:eastAsia="zh-CN"/>
              </w:rPr>
              <w:t>水温、流量、pH值、悬浮物、化学需氧量、氨氮（NH3-N）、石油类、五日生化需氧量、氟化物、总磷</w:t>
            </w:r>
          </w:p>
        </w:tc>
      </w:tr>
      <w:tr w14:paraId="0F8B701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108" w:type="dxa"/>
            <w:bottom w:w="0" w:type="dxa"/>
            <w:right w:w="108" w:type="dxa"/>
          </w:tblCellMar>
        </w:tblPrEx>
        <w:trPr>
          <w:trHeight w:val="696" w:hRule="atLeast"/>
          <w:jc w:val="center"/>
        </w:trPr>
        <w:tc>
          <w:tcPr>
            <w:tcW w:w="1565" w:type="pct"/>
            <w:tcBorders>
              <w:top w:val="single" w:color="000000" w:sz="2" w:space="0"/>
              <w:left w:val="single" w:color="000000" w:sz="2" w:space="0"/>
              <w:bottom w:val="single" w:color="000000" w:sz="2" w:space="0"/>
              <w:right w:val="single" w:color="000000" w:sz="2" w:space="0"/>
            </w:tcBorders>
            <w:vAlign w:val="center"/>
          </w:tcPr>
          <w:p w14:paraId="7C0D12A5">
            <w:pPr>
              <w:widowControl w:val="0"/>
              <w:spacing w:line="360" w:lineRule="auto"/>
              <w:rPr>
                <w:rFonts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z w:val="24"/>
                <w:szCs w:val="24"/>
                <w:lang w:eastAsia="zh-CN"/>
              </w:rPr>
              <w:t>藤田污水处理设施</w:t>
            </w:r>
          </w:p>
        </w:tc>
        <w:tc>
          <w:tcPr>
            <w:tcW w:w="791" w:type="pct"/>
            <w:tcBorders>
              <w:top w:val="single" w:color="000000" w:sz="2" w:space="0"/>
              <w:left w:val="single" w:color="000000" w:sz="2" w:space="0"/>
              <w:bottom w:val="single" w:color="000000" w:sz="2" w:space="0"/>
              <w:right w:val="single" w:color="000000" w:sz="2" w:space="0"/>
            </w:tcBorders>
            <w:vAlign w:val="center"/>
          </w:tcPr>
          <w:p w14:paraId="21188013">
            <w:pPr>
              <w:widowControl w:val="0"/>
              <w:spacing w:line="360" w:lineRule="auto"/>
              <w:rPr>
                <w:rFonts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z w:val="24"/>
                <w:szCs w:val="24"/>
                <w:lang w:eastAsia="zh-CN"/>
              </w:rPr>
              <w:t>企业废水</w:t>
            </w:r>
          </w:p>
        </w:tc>
        <w:tc>
          <w:tcPr>
            <w:tcW w:w="2644" w:type="pct"/>
            <w:gridSpan w:val="2"/>
            <w:tcBorders>
              <w:top w:val="single" w:color="000000" w:sz="2" w:space="0"/>
              <w:left w:val="single" w:color="000000" w:sz="2" w:space="0"/>
              <w:bottom w:val="single" w:color="000000" w:sz="2" w:space="0"/>
              <w:right w:val="single" w:color="000000" w:sz="2" w:space="0"/>
            </w:tcBorders>
            <w:vAlign w:val="center"/>
          </w:tcPr>
          <w:p w14:paraId="7A2C3A00">
            <w:pPr>
              <w:widowControl w:val="0"/>
              <w:spacing w:line="360" w:lineRule="auto"/>
              <w:rPr>
                <w:rFonts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z w:val="24"/>
                <w:szCs w:val="24"/>
                <w:lang w:eastAsia="zh-CN"/>
              </w:rPr>
              <w:t>水温、流量、城镇污水处理厂污染物排放标准中表1、2一级B所有项目</w:t>
            </w:r>
          </w:p>
        </w:tc>
      </w:tr>
      <w:tr w14:paraId="1E2CB98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108" w:type="dxa"/>
            <w:bottom w:w="0" w:type="dxa"/>
            <w:right w:w="108" w:type="dxa"/>
          </w:tblCellMar>
        </w:tblPrEx>
        <w:trPr>
          <w:trHeight w:val="1104" w:hRule="atLeast"/>
          <w:jc w:val="center"/>
        </w:trPr>
        <w:tc>
          <w:tcPr>
            <w:tcW w:w="1565" w:type="pct"/>
            <w:tcBorders>
              <w:top w:val="single" w:color="000000" w:sz="2" w:space="0"/>
              <w:left w:val="single" w:color="000000" w:sz="2" w:space="0"/>
              <w:bottom w:val="single" w:color="000000" w:sz="2" w:space="0"/>
              <w:right w:val="single" w:color="000000" w:sz="2" w:space="0"/>
            </w:tcBorders>
            <w:vAlign w:val="center"/>
          </w:tcPr>
          <w:p w14:paraId="192D4719">
            <w:pPr>
              <w:widowControl w:val="0"/>
              <w:spacing w:line="360" w:lineRule="auto"/>
              <w:rPr>
                <w:rFonts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z w:val="24"/>
                <w:szCs w:val="24"/>
                <w:lang w:eastAsia="zh-CN"/>
              </w:rPr>
              <w:t>永丰县生活污水处理厂异地扩容项目入河排污口</w:t>
            </w:r>
          </w:p>
        </w:tc>
        <w:tc>
          <w:tcPr>
            <w:tcW w:w="791" w:type="pct"/>
            <w:tcBorders>
              <w:top w:val="single" w:color="000000" w:sz="2" w:space="0"/>
              <w:left w:val="single" w:color="000000" w:sz="2" w:space="0"/>
              <w:bottom w:val="single" w:color="000000" w:sz="2" w:space="0"/>
              <w:right w:val="single" w:color="000000" w:sz="2" w:space="0"/>
            </w:tcBorders>
            <w:vAlign w:val="center"/>
          </w:tcPr>
          <w:p w14:paraId="7FCCD26F">
            <w:pPr>
              <w:widowControl w:val="0"/>
              <w:spacing w:line="360" w:lineRule="auto"/>
              <w:rPr>
                <w:rFonts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z w:val="24"/>
                <w:szCs w:val="24"/>
                <w:lang w:eastAsia="zh-CN"/>
              </w:rPr>
              <w:t>企业废水</w:t>
            </w:r>
          </w:p>
        </w:tc>
        <w:tc>
          <w:tcPr>
            <w:tcW w:w="2644" w:type="pct"/>
            <w:gridSpan w:val="2"/>
            <w:tcBorders>
              <w:top w:val="single" w:color="000000" w:sz="2" w:space="0"/>
              <w:left w:val="single" w:color="000000" w:sz="2" w:space="0"/>
              <w:bottom w:val="single" w:color="000000" w:sz="2" w:space="0"/>
              <w:right w:val="single" w:color="000000" w:sz="2" w:space="0"/>
            </w:tcBorders>
            <w:vAlign w:val="center"/>
          </w:tcPr>
          <w:p w14:paraId="6A043D4B">
            <w:pPr>
              <w:widowControl w:val="0"/>
              <w:spacing w:line="360" w:lineRule="auto"/>
              <w:rPr>
                <w:rFonts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z w:val="24"/>
                <w:szCs w:val="24"/>
                <w:lang w:eastAsia="zh-CN"/>
              </w:rPr>
              <w:t>水温、流量、城镇污水处理厂污染物排放标准中表1、2一级A所有项目</w:t>
            </w:r>
          </w:p>
        </w:tc>
      </w:tr>
    </w:tbl>
    <w:p w14:paraId="78DEFD96">
      <w:pPr>
        <w:widowControl w:val="0"/>
        <w:spacing w:line="360" w:lineRule="auto"/>
        <w:rPr>
          <w:rFonts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b/>
          <w:bCs/>
          <w:color w:val="auto"/>
          <w:sz w:val="24"/>
          <w:szCs w:val="24"/>
          <w:lang w:eastAsia="zh-CN"/>
        </w:rPr>
        <w:t>（十九）土壤污染重点监管单位周边土壤环境质量监测</w:t>
      </w:r>
    </w:p>
    <w:p w14:paraId="6FD07F72">
      <w:pPr>
        <w:widowControl w:val="0"/>
        <w:spacing w:line="360" w:lineRule="auto"/>
        <w:rPr>
          <w:rFonts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z w:val="24"/>
          <w:szCs w:val="24"/>
          <w:lang w:eastAsia="zh-CN"/>
        </w:rPr>
        <w:t>1.监测点位：土壤监测点位10个，地下水监测点位10个。</w:t>
      </w:r>
    </w:p>
    <w:p w14:paraId="755F106A">
      <w:pPr>
        <w:widowControl w:val="0"/>
        <w:spacing w:line="360" w:lineRule="auto"/>
        <w:rPr>
          <w:rFonts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z w:val="24"/>
          <w:szCs w:val="24"/>
          <w:lang w:eastAsia="zh-CN"/>
        </w:rPr>
        <w:t>2.监测频次：9月底前监测1次。</w:t>
      </w:r>
    </w:p>
    <w:p w14:paraId="2AFA687E">
      <w:pPr>
        <w:widowControl w:val="0"/>
        <w:spacing w:line="360" w:lineRule="auto"/>
        <w:rPr>
          <w:rFonts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z w:val="24"/>
          <w:szCs w:val="24"/>
          <w:lang w:eastAsia="zh-CN"/>
        </w:rPr>
        <w:t>3.监测项目：</w:t>
      </w:r>
    </w:p>
    <w:p w14:paraId="3746469C">
      <w:pPr>
        <w:widowControl w:val="0"/>
        <w:spacing w:line="360" w:lineRule="auto"/>
        <w:rPr>
          <w:rFonts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z w:val="24"/>
          <w:szCs w:val="24"/>
          <w:lang w:eastAsia="zh-CN"/>
        </w:rPr>
        <w:t>监测方案制定（信息采集、污染识别、点位布设、监测项目和频次）、监测方案实施、质量保证与质量控制、监测报告编制执行《工业企业周边土壤和地下水监测技术指南（试行）》（总站土字〔2024〕73）</w:t>
      </w:r>
      <w:bookmarkStart w:id="2" w:name="OLE_LINK4"/>
      <w:r>
        <w:rPr>
          <w:rFonts w:hint="eastAsia" w:asciiTheme="minorEastAsia" w:hAnsiTheme="minorEastAsia" w:eastAsiaTheme="minorEastAsia" w:cstheme="minorEastAsia"/>
          <w:color w:val="auto"/>
          <w:sz w:val="24"/>
          <w:szCs w:val="24"/>
          <w:lang w:eastAsia="zh-CN"/>
        </w:rPr>
        <w:t>。</w:t>
      </w:r>
      <w:bookmarkEnd w:id="2"/>
    </w:p>
    <w:p w14:paraId="207CB9EC">
      <w:pPr>
        <w:widowControl w:val="0"/>
        <w:spacing w:line="360" w:lineRule="auto"/>
        <w:rPr>
          <w:rFonts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z w:val="24"/>
          <w:szCs w:val="24"/>
          <w:lang w:eastAsia="zh-CN"/>
        </w:rPr>
        <w:t>于采样结束45天内将监测报告及原始记录同时以纸质版及盖章扫描件形式交于采购人，监测结果需依据相关国家标准进行评价。</w:t>
      </w:r>
    </w:p>
    <w:p w14:paraId="69A78B00">
      <w:pPr>
        <w:widowControl w:val="0"/>
        <w:spacing w:line="360" w:lineRule="auto"/>
        <w:rPr>
          <w:rFonts w:asciiTheme="minorEastAsia" w:hAnsiTheme="minorEastAsia" w:eastAsiaTheme="minorEastAsia" w:cstheme="minorEastAsia"/>
          <w:b/>
          <w:bCs/>
          <w:color w:val="auto"/>
          <w:sz w:val="24"/>
          <w:szCs w:val="24"/>
          <w:lang w:eastAsia="zh-CN"/>
        </w:rPr>
      </w:pPr>
      <w:r>
        <w:rPr>
          <w:rFonts w:hint="eastAsia" w:asciiTheme="minorEastAsia" w:hAnsiTheme="minorEastAsia" w:eastAsiaTheme="minorEastAsia" w:cstheme="minorEastAsia"/>
          <w:b/>
          <w:bCs/>
          <w:color w:val="auto"/>
          <w:sz w:val="24"/>
          <w:szCs w:val="24"/>
          <w:lang w:eastAsia="zh-CN"/>
        </w:rPr>
        <w:t>（二十）尾矿库监测</w:t>
      </w:r>
    </w:p>
    <w:p w14:paraId="6279049B">
      <w:pPr>
        <w:widowControl w:val="0"/>
        <w:spacing w:line="360" w:lineRule="auto"/>
        <w:rPr>
          <w:rFonts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z w:val="24"/>
          <w:szCs w:val="24"/>
          <w:lang w:eastAsia="zh-CN"/>
        </w:rPr>
        <w:t>1.尾矿库尾水排放口、下游地表水断面、下游地下水各9个。</w:t>
      </w:r>
    </w:p>
    <w:p w14:paraId="1A075845">
      <w:pPr>
        <w:widowControl w:val="0"/>
        <w:spacing w:line="360" w:lineRule="auto"/>
        <w:rPr>
          <w:rFonts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z w:val="24"/>
          <w:szCs w:val="24"/>
          <w:lang w:eastAsia="zh-CN"/>
        </w:rPr>
        <w:t>2.监测指标：其佐龙铁矿、龙兴铁矿废水排口、地表水断面监测《铁矿采选工业污染物排放标准》表2中所有监测项目及总磷、总氮，其他尾矿库废水排放口监测水温、pH、COD 、悬浮物、氰化物、氟化物、Hg、Cr、Cr(VI)、Cu、Pb、Zn、Cd和Ni、硫化物、铍、铝、钒、钴、锑、铋、总磷、总氮。地表水断面监测水温、pH 值、溶解氧、高锰酸盐指数、化学需氧量、五日生化需氧量、氨氮、总磷、总氮、铜、锌、氟化物、硒、砷、汞、镉、六价铬、铅、氰化物、挥发酚、石油类、阴离子表面活性剂、硫化物，地下水监测《地下水质量标准》、表1所有监测项目及总磷、总氮。</w:t>
      </w:r>
    </w:p>
    <w:p w14:paraId="642C9A2D">
      <w:pPr>
        <w:widowControl w:val="0"/>
        <w:spacing w:line="360" w:lineRule="auto"/>
        <w:rPr>
          <w:rFonts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z w:val="24"/>
          <w:szCs w:val="24"/>
          <w:lang w:eastAsia="zh-CN"/>
        </w:rPr>
        <w:t>3.监测频次：10月底前完成1次监测。</w:t>
      </w:r>
    </w:p>
    <w:p w14:paraId="3E401356">
      <w:pPr>
        <w:widowControl w:val="0"/>
        <w:spacing w:line="360" w:lineRule="auto"/>
        <w:rPr>
          <w:rFonts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z w:val="24"/>
          <w:szCs w:val="24"/>
          <w:lang w:eastAsia="zh-CN"/>
        </w:rPr>
        <w:t>于采样后20日内将监测报告及原始记录同时以纸质版及盖章扫描件形式交于采购人，须依据相关国家标准进行评价。</w:t>
      </w:r>
    </w:p>
    <w:p w14:paraId="31B7A2B7">
      <w:pPr>
        <w:widowControl w:val="0"/>
        <w:spacing w:line="360" w:lineRule="auto"/>
        <w:rPr>
          <w:rFonts w:asciiTheme="minorEastAsia" w:hAnsiTheme="minorEastAsia" w:eastAsiaTheme="minorEastAsia" w:cstheme="minorEastAsia"/>
          <w:b/>
          <w:bCs/>
          <w:color w:val="auto"/>
          <w:sz w:val="24"/>
          <w:szCs w:val="24"/>
          <w:lang w:eastAsia="zh-CN"/>
        </w:rPr>
      </w:pPr>
      <w:r>
        <w:rPr>
          <w:rFonts w:hint="eastAsia" w:asciiTheme="minorEastAsia" w:hAnsiTheme="minorEastAsia" w:eastAsiaTheme="minorEastAsia" w:cstheme="minorEastAsia"/>
          <w:b/>
          <w:bCs/>
          <w:color w:val="auto"/>
          <w:sz w:val="24"/>
          <w:szCs w:val="24"/>
          <w:lang w:eastAsia="zh-CN"/>
        </w:rPr>
        <w:t>（二十一）循环经济产业园水质例行监测</w:t>
      </w:r>
    </w:p>
    <w:p w14:paraId="0FF68369">
      <w:pPr>
        <w:widowControl w:val="0"/>
        <w:spacing w:line="360" w:lineRule="auto"/>
        <w:rPr>
          <w:rFonts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z w:val="24"/>
          <w:szCs w:val="24"/>
          <w:lang w:eastAsia="zh-CN"/>
        </w:rPr>
        <w:t>1.监测点位：地表水、废水共7个点。</w:t>
      </w:r>
    </w:p>
    <w:p w14:paraId="3327A69A">
      <w:pPr>
        <w:widowControl w:val="0"/>
        <w:spacing w:line="360" w:lineRule="auto"/>
        <w:rPr>
          <w:rFonts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z w:val="24"/>
          <w:szCs w:val="24"/>
          <w:lang w:eastAsia="zh-CN"/>
        </w:rPr>
        <w:t>2.监测项目：化学需氧量、氨氮、氟化物、铜、铅、镉、铊、锌。</w:t>
      </w:r>
    </w:p>
    <w:p w14:paraId="79C8D1F6">
      <w:pPr>
        <w:widowControl w:val="0"/>
        <w:spacing w:line="360" w:lineRule="auto"/>
        <w:rPr>
          <w:rFonts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z w:val="24"/>
          <w:szCs w:val="24"/>
          <w:lang w:eastAsia="zh-CN"/>
        </w:rPr>
        <w:t>3.监测频次：每月监测2次。</w:t>
      </w:r>
    </w:p>
    <w:p w14:paraId="4AA77573">
      <w:pPr>
        <w:widowControl w:val="0"/>
        <w:spacing w:line="360" w:lineRule="auto"/>
        <w:rPr>
          <w:rFonts w:asciiTheme="minorEastAsia" w:hAnsiTheme="minorEastAsia" w:eastAsiaTheme="minorEastAsia" w:cstheme="minorEastAsia"/>
          <w:b/>
          <w:bCs/>
          <w:color w:val="auto"/>
          <w:sz w:val="24"/>
          <w:szCs w:val="24"/>
          <w:lang w:eastAsia="zh-CN"/>
        </w:rPr>
      </w:pPr>
      <w:r>
        <w:rPr>
          <w:rFonts w:hint="eastAsia" w:asciiTheme="minorEastAsia" w:hAnsiTheme="minorEastAsia" w:eastAsiaTheme="minorEastAsia" w:cstheme="minorEastAsia"/>
          <w:b/>
          <w:bCs/>
          <w:color w:val="auto"/>
          <w:sz w:val="24"/>
          <w:szCs w:val="24"/>
          <w:lang w:eastAsia="zh-CN"/>
        </w:rPr>
        <w:t>（二十二）功能区噪声监测</w:t>
      </w:r>
    </w:p>
    <w:p w14:paraId="3CB6D6AA">
      <w:pPr>
        <w:widowControl w:val="0"/>
        <w:spacing w:line="360" w:lineRule="auto"/>
        <w:rPr>
          <w:rFonts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z w:val="24"/>
          <w:szCs w:val="24"/>
          <w:lang w:eastAsia="zh-CN"/>
        </w:rPr>
        <w:t>1.监测点位：8个点</w:t>
      </w:r>
    </w:p>
    <w:p w14:paraId="74123EDC">
      <w:pPr>
        <w:widowControl w:val="0"/>
        <w:spacing w:line="360" w:lineRule="auto"/>
        <w:rPr>
          <w:rFonts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z w:val="24"/>
          <w:szCs w:val="24"/>
          <w:lang w:eastAsia="zh-CN"/>
        </w:rPr>
        <w:t>2.采样频次：24小时连续监测。</w:t>
      </w:r>
    </w:p>
    <w:p w14:paraId="7CBF7B3F">
      <w:pPr>
        <w:widowControl w:val="0"/>
        <w:spacing w:line="360" w:lineRule="auto"/>
        <w:rPr>
          <w:rFonts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z w:val="24"/>
          <w:szCs w:val="24"/>
          <w:lang w:eastAsia="zh-CN"/>
        </w:rPr>
        <w:t>3.监测频次：2026年5月、7月、10月及2027年1月分别监测1次，需于次月5日（2026年5月需于15目前）前提供相应监测报告。</w:t>
      </w:r>
    </w:p>
    <w:p w14:paraId="0E9987A4">
      <w:pPr>
        <w:widowControl w:val="0"/>
        <w:spacing w:line="360" w:lineRule="auto"/>
        <w:rPr>
          <w:rFonts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z w:val="24"/>
          <w:szCs w:val="24"/>
          <w:lang w:eastAsia="zh-CN"/>
        </w:rPr>
        <w:t>将监测报告及原始记录同时以纸质版及盖章扫描件形式交于采购人，须依据相关国家标准（由采购人在采样前提供）进行评价。</w:t>
      </w:r>
    </w:p>
    <w:p w14:paraId="50A31561">
      <w:pPr>
        <w:widowControl w:val="0"/>
        <w:spacing w:line="360" w:lineRule="auto"/>
        <w:rPr>
          <w:rFonts w:asciiTheme="minorEastAsia" w:hAnsiTheme="minorEastAsia" w:eastAsiaTheme="minorEastAsia" w:cstheme="minorEastAsia"/>
          <w:b/>
          <w:bCs/>
          <w:color w:val="auto"/>
          <w:sz w:val="24"/>
          <w:szCs w:val="24"/>
          <w:lang w:eastAsia="zh-CN"/>
        </w:rPr>
      </w:pPr>
      <w:r>
        <w:rPr>
          <w:rFonts w:hint="eastAsia" w:asciiTheme="minorEastAsia" w:hAnsiTheme="minorEastAsia" w:eastAsiaTheme="minorEastAsia" w:cstheme="minorEastAsia"/>
          <w:b/>
          <w:bCs/>
          <w:color w:val="auto"/>
          <w:sz w:val="24"/>
          <w:szCs w:val="24"/>
          <w:lang w:eastAsia="zh-CN"/>
        </w:rPr>
        <w:t>（二十三）涉重企业监测10月底前监测1次，具体监测项目如下表：</w:t>
      </w:r>
    </w:p>
    <w:tbl>
      <w:tblPr>
        <w:tblStyle w:val="14"/>
        <w:tblW w:w="9294"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660"/>
        <w:gridCol w:w="1134"/>
        <w:gridCol w:w="1073"/>
        <w:gridCol w:w="1492"/>
        <w:gridCol w:w="1015"/>
        <w:gridCol w:w="2497"/>
        <w:gridCol w:w="1423"/>
      </w:tblGrid>
      <w:tr w14:paraId="5A6678F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025" w:hRule="atLeast"/>
        </w:trPr>
        <w:tc>
          <w:tcPr>
            <w:tcW w:w="660" w:type="dxa"/>
            <w:textDirection w:val="tbRlV"/>
            <w:vAlign w:val="center"/>
          </w:tcPr>
          <w:p w14:paraId="343A4246">
            <w:pPr>
              <w:pStyle w:val="13"/>
              <w:spacing w:before="306" w:line="360" w:lineRule="auto"/>
              <w:jc w:val="center"/>
              <w:rPr>
                <w:rFonts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序</w:t>
            </w:r>
            <w:r>
              <w:rPr>
                <w:rFonts w:hint="eastAsia" w:asciiTheme="minorEastAsia" w:hAnsiTheme="minorEastAsia" w:eastAsiaTheme="minorEastAsia" w:cstheme="minorEastAsia"/>
                <w:color w:val="auto"/>
                <w:spacing w:val="56"/>
                <w:sz w:val="24"/>
                <w:szCs w:val="24"/>
              </w:rPr>
              <w:t xml:space="preserve">  </w:t>
            </w:r>
            <w:r>
              <w:rPr>
                <w:rFonts w:hint="eastAsia" w:asciiTheme="minorEastAsia" w:hAnsiTheme="minorEastAsia" w:eastAsiaTheme="minorEastAsia" w:cstheme="minorEastAsia"/>
                <w:color w:val="auto"/>
                <w:sz w:val="24"/>
                <w:szCs w:val="24"/>
              </w:rPr>
              <w:t>号</w:t>
            </w:r>
          </w:p>
        </w:tc>
        <w:tc>
          <w:tcPr>
            <w:tcW w:w="1134" w:type="dxa"/>
            <w:vAlign w:val="center"/>
          </w:tcPr>
          <w:p w14:paraId="38380563">
            <w:pPr>
              <w:pStyle w:val="13"/>
              <w:spacing w:before="79" w:line="360" w:lineRule="auto"/>
              <w:ind w:left="129" w:right="220" w:hanging="16"/>
              <w:jc w:val="center"/>
              <w:rPr>
                <w:rFonts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pacing w:val="-42"/>
                <w:sz w:val="24"/>
                <w:szCs w:val="24"/>
              </w:rPr>
              <w:t>县（市、</w:t>
            </w:r>
            <w:r>
              <w:rPr>
                <w:rFonts w:hint="eastAsia" w:asciiTheme="minorEastAsia" w:hAnsiTheme="minorEastAsia" w:eastAsiaTheme="minorEastAsia" w:cstheme="minorEastAsia"/>
                <w:color w:val="auto"/>
                <w:spacing w:val="-11"/>
                <w:sz w:val="24"/>
                <w:szCs w:val="24"/>
              </w:rPr>
              <w:t>区）</w:t>
            </w:r>
          </w:p>
        </w:tc>
        <w:tc>
          <w:tcPr>
            <w:tcW w:w="1073" w:type="dxa"/>
            <w:vAlign w:val="center"/>
          </w:tcPr>
          <w:p w14:paraId="6A152D4E">
            <w:pPr>
              <w:pStyle w:val="13"/>
              <w:spacing w:before="78" w:line="360" w:lineRule="auto"/>
              <w:ind w:left="116" w:right="303"/>
              <w:jc w:val="center"/>
              <w:rPr>
                <w:rFonts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pacing w:val="-11"/>
                <w:sz w:val="24"/>
                <w:szCs w:val="24"/>
              </w:rPr>
              <w:t>企</w:t>
            </w:r>
            <w:r>
              <w:rPr>
                <w:rFonts w:hint="eastAsia" w:asciiTheme="minorEastAsia" w:hAnsiTheme="minorEastAsia" w:eastAsiaTheme="minorEastAsia" w:cstheme="minorEastAsia"/>
                <w:color w:val="auto"/>
                <w:spacing w:val="68"/>
                <w:sz w:val="24"/>
                <w:szCs w:val="24"/>
              </w:rPr>
              <w:t xml:space="preserve"> </w:t>
            </w:r>
            <w:r>
              <w:rPr>
                <w:rFonts w:hint="eastAsia" w:asciiTheme="minorEastAsia" w:hAnsiTheme="minorEastAsia" w:eastAsiaTheme="minorEastAsia" w:cstheme="minorEastAsia"/>
                <w:color w:val="auto"/>
                <w:spacing w:val="-11"/>
                <w:sz w:val="24"/>
                <w:szCs w:val="24"/>
              </w:rPr>
              <w:t>业</w:t>
            </w:r>
            <w:r>
              <w:rPr>
                <w:rFonts w:hint="eastAsia" w:asciiTheme="minorEastAsia" w:hAnsiTheme="minorEastAsia" w:eastAsiaTheme="minorEastAsia" w:cstheme="minorEastAsia"/>
                <w:color w:val="auto"/>
                <w:spacing w:val="-4"/>
                <w:sz w:val="24"/>
                <w:szCs w:val="24"/>
              </w:rPr>
              <w:t>名称</w:t>
            </w:r>
          </w:p>
        </w:tc>
        <w:tc>
          <w:tcPr>
            <w:tcW w:w="1492" w:type="dxa"/>
            <w:vAlign w:val="center"/>
          </w:tcPr>
          <w:p w14:paraId="78D48816">
            <w:pPr>
              <w:pStyle w:val="13"/>
              <w:spacing w:before="237" w:line="360" w:lineRule="auto"/>
              <w:ind w:left="116"/>
              <w:jc w:val="center"/>
              <w:rPr>
                <w:rFonts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pacing w:val="26"/>
                <w:sz w:val="24"/>
                <w:szCs w:val="24"/>
                <w:lang w:eastAsia="zh-CN"/>
              </w:rPr>
              <w:t>环境监管</w:t>
            </w:r>
          </w:p>
          <w:p w14:paraId="02903819">
            <w:pPr>
              <w:pStyle w:val="13"/>
              <w:spacing w:before="307" w:line="360" w:lineRule="auto"/>
              <w:ind w:left="117"/>
              <w:jc w:val="center"/>
              <w:rPr>
                <w:rFonts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pacing w:val="26"/>
                <w:sz w:val="24"/>
                <w:szCs w:val="24"/>
                <w:lang w:eastAsia="zh-CN"/>
              </w:rPr>
              <w:t>重点单位</w:t>
            </w:r>
          </w:p>
          <w:p w14:paraId="31E1169F">
            <w:pPr>
              <w:pStyle w:val="13"/>
              <w:spacing w:before="303" w:line="360" w:lineRule="auto"/>
              <w:ind w:left="119"/>
              <w:jc w:val="center"/>
              <w:rPr>
                <w:rFonts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pacing w:val="-3"/>
                <w:sz w:val="24"/>
                <w:szCs w:val="24"/>
                <w:lang w:eastAsia="zh-CN"/>
              </w:rPr>
              <w:t>名录类别</w:t>
            </w:r>
          </w:p>
        </w:tc>
        <w:tc>
          <w:tcPr>
            <w:tcW w:w="1015" w:type="dxa"/>
            <w:tcBorders>
              <w:right w:val="single" w:color="000000" w:sz="4" w:space="0"/>
            </w:tcBorders>
            <w:vAlign w:val="center"/>
          </w:tcPr>
          <w:p w14:paraId="36C2B992">
            <w:pPr>
              <w:pStyle w:val="13"/>
              <w:spacing w:before="78" w:line="360" w:lineRule="auto"/>
              <w:ind w:left="125" w:right="299" w:hanging="7"/>
              <w:jc w:val="center"/>
              <w:rPr>
                <w:rFonts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pacing w:val="-11"/>
                <w:sz w:val="24"/>
                <w:szCs w:val="24"/>
              </w:rPr>
              <w:t>监</w:t>
            </w:r>
            <w:r>
              <w:rPr>
                <w:rFonts w:hint="eastAsia" w:asciiTheme="minorEastAsia" w:hAnsiTheme="minorEastAsia" w:eastAsiaTheme="minorEastAsia" w:cstheme="minorEastAsia"/>
                <w:color w:val="auto"/>
                <w:spacing w:val="10"/>
                <w:sz w:val="24"/>
                <w:szCs w:val="24"/>
              </w:rPr>
              <w:t xml:space="preserve"> </w:t>
            </w:r>
            <w:r>
              <w:rPr>
                <w:rFonts w:hint="eastAsia" w:asciiTheme="minorEastAsia" w:hAnsiTheme="minorEastAsia" w:eastAsiaTheme="minorEastAsia" w:cstheme="minorEastAsia"/>
                <w:color w:val="auto"/>
                <w:spacing w:val="-11"/>
                <w:sz w:val="24"/>
                <w:szCs w:val="24"/>
              </w:rPr>
              <w:t>测</w:t>
            </w:r>
            <w:r>
              <w:rPr>
                <w:rFonts w:hint="eastAsia" w:asciiTheme="minorEastAsia" w:hAnsiTheme="minorEastAsia" w:eastAsiaTheme="minorEastAsia" w:cstheme="minorEastAsia"/>
                <w:color w:val="auto"/>
                <w:spacing w:val="-5"/>
                <w:sz w:val="24"/>
                <w:szCs w:val="24"/>
              </w:rPr>
              <w:t>点位</w:t>
            </w:r>
          </w:p>
        </w:tc>
        <w:tc>
          <w:tcPr>
            <w:tcW w:w="2497" w:type="dxa"/>
            <w:tcBorders>
              <w:left w:val="single" w:color="000000" w:sz="4" w:space="0"/>
            </w:tcBorders>
            <w:vAlign w:val="center"/>
          </w:tcPr>
          <w:p w14:paraId="0BB1A3A5">
            <w:pPr>
              <w:pStyle w:val="13"/>
              <w:spacing w:before="78" w:line="360" w:lineRule="auto"/>
              <w:ind w:left="116"/>
              <w:jc w:val="center"/>
              <w:rPr>
                <w:rFonts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pacing w:val="-2"/>
                <w:sz w:val="24"/>
                <w:szCs w:val="24"/>
              </w:rPr>
              <w:t>监测项目</w:t>
            </w:r>
          </w:p>
        </w:tc>
        <w:tc>
          <w:tcPr>
            <w:tcW w:w="1423" w:type="dxa"/>
            <w:vAlign w:val="center"/>
          </w:tcPr>
          <w:p w14:paraId="7873B67E">
            <w:pPr>
              <w:pStyle w:val="13"/>
              <w:spacing w:before="78" w:line="360" w:lineRule="auto"/>
              <w:ind w:left="120"/>
              <w:jc w:val="center"/>
              <w:rPr>
                <w:rFonts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pacing w:val="-4"/>
                <w:sz w:val="24"/>
                <w:szCs w:val="24"/>
              </w:rPr>
              <w:t>备注</w:t>
            </w:r>
          </w:p>
        </w:tc>
      </w:tr>
      <w:tr w14:paraId="497A5C0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11" w:hRule="atLeast"/>
        </w:trPr>
        <w:tc>
          <w:tcPr>
            <w:tcW w:w="660" w:type="dxa"/>
          </w:tcPr>
          <w:p w14:paraId="635C1D8E">
            <w:pPr>
              <w:spacing w:line="360" w:lineRule="auto"/>
              <w:rPr>
                <w:rFonts w:asciiTheme="minorEastAsia" w:hAnsiTheme="minorEastAsia" w:eastAsiaTheme="minorEastAsia" w:cstheme="minorEastAsia"/>
                <w:color w:val="auto"/>
                <w:sz w:val="24"/>
                <w:szCs w:val="24"/>
              </w:rPr>
            </w:pPr>
          </w:p>
          <w:p w14:paraId="38AF6F44">
            <w:pPr>
              <w:spacing w:line="360" w:lineRule="auto"/>
              <w:rPr>
                <w:rFonts w:asciiTheme="minorEastAsia" w:hAnsiTheme="minorEastAsia" w:eastAsiaTheme="minorEastAsia" w:cstheme="minorEastAsia"/>
                <w:color w:val="auto"/>
                <w:sz w:val="24"/>
                <w:szCs w:val="24"/>
              </w:rPr>
            </w:pPr>
          </w:p>
          <w:p w14:paraId="23768615">
            <w:pPr>
              <w:spacing w:line="360" w:lineRule="auto"/>
              <w:rPr>
                <w:rFonts w:asciiTheme="minorEastAsia" w:hAnsiTheme="minorEastAsia" w:eastAsiaTheme="minorEastAsia" w:cstheme="minorEastAsia"/>
                <w:color w:val="auto"/>
                <w:sz w:val="24"/>
                <w:szCs w:val="24"/>
              </w:rPr>
            </w:pPr>
          </w:p>
          <w:p w14:paraId="60D8B113">
            <w:pPr>
              <w:spacing w:line="360" w:lineRule="auto"/>
              <w:rPr>
                <w:rFonts w:asciiTheme="minorEastAsia" w:hAnsiTheme="minorEastAsia" w:eastAsiaTheme="minorEastAsia" w:cstheme="minorEastAsia"/>
                <w:color w:val="auto"/>
                <w:sz w:val="24"/>
                <w:szCs w:val="24"/>
              </w:rPr>
            </w:pPr>
          </w:p>
          <w:p w14:paraId="474D1A71">
            <w:pPr>
              <w:spacing w:line="360" w:lineRule="auto"/>
              <w:rPr>
                <w:rFonts w:asciiTheme="minorEastAsia" w:hAnsiTheme="minorEastAsia" w:eastAsiaTheme="minorEastAsia" w:cstheme="minorEastAsia"/>
                <w:color w:val="auto"/>
                <w:sz w:val="24"/>
                <w:szCs w:val="24"/>
              </w:rPr>
            </w:pPr>
          </w:p>
          <w:p w14:paraId="4A5991EE">
            <w:pPr>
              <w:spacing w:line="360" w:lineRule="auto"/>
              <w:rPr>
                <w:rFonts w:asciiTheme="minorEastAsia" w:hAnsiTheme="minorEastAsia" w:eastAsiaTheme="minorEastAsia" w:cstheme="minorEastAsia"/>
                <w:color w:val="auto"/>
                <w:sz w:val="24"/>
                <w:szCs w:val="24"/>
              </w:rPr>
            </w:pPr>
          </w:p>
          <w:p w14:paraId="3C3BFA33">
            <w:pPr>
              <w:pStyle w:val="13"/>
              <w:spacing w:before="78" w:line="360" w:lineRule="auto"/>
              <w:ind w:left="135"/>
              <w:rPr>
                <w:rFonts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1</w:t>
            </w:r>
          </w:p>
        </w:tc>
        <w:tc>
          <w:tcPr>
            <w:tcW w:w="1134" w:type="dxa"/>
          </w:tcPr>
          <w:p w14:paraId="5C55CEAB">
            <w:pPr>
              <w:spacing w:line="360" w:lineRule="auto"/>
              <w:rPr>
                <w:rFonts w:asciiTheme="minorEastAsia" w:hAnsiTheme="minorEastAsia" w:eastAsiaTheme="minorEastAsia" w:cstheme="minorEastAsia"/>
                <w:color w:val="auto"/>
                <w:sz w:val="24"/>
                <w:szCs w:val="24"/>
              </w:rPr>
            </w:pPr>
          </w:p>
          <w:p w14:paraId="7098E534">
            <w:pPr>
              <w:spacing w:line="360" w:lineRule="auto"/>
              <w:rPr>
                <w:rFonts w:asciiTheme="minorEastAsia" w:hAnsiTheme="minorEastAsia" w:eastAsiaTheme="minorEastAsia" w:cstheme="minorEastAsia"/>
                <w:color w:val="auto"/>
                <w:sz w:val="24"/>
                <w:szCs w:val="24"/>
              </w:rPr>
            </w:pPr>
          </w:p>
          <w:p w14:paraId="438C55C8">
            <w:pPr>
              <w:spacing w:line="360" w:lineRule="auto"/>
              <w:rPr>
                <w:rFonts w:asciiTheme="minorEastAsia" w:hAnsiTheme="minorEastAsia" w:eastAsiaTheme="minorEastAsia" w:cstheme="minorEastAsia"/>
                <w:color w:val="auto"/>
                <w:sz w:val="24"/>
                <w:szCs w:val="24"/>
              </w:rPr>
            </w:pPr>
          </w:p>
          <w:p w14:paraId="46737F3E">
            <w:pPr>
              <w:spacing w:line="360" w:lineRule="auto"/>
              <w:rPr>
                <w:rFonts w:asciiTheme="minorEastAsia" w:hAnsiTheme="minorEastAsia" w:eastAsiaTheme="minorEastAsia" w:cstheme="minorEastAsia"/>
                <w:color w:val="auto"/>
                <w:sz w:val="24"/>
                <w:szCs w:val="24"/>
              </w:rPr>
            </w:pPr>
          </w:p>
          <w:p w14:paraId="3A6EBB7C">
            <w:pPr>
              <w:spacing w:line="360" w:lineRule="auto"/>
              <w:rPr>
                <w:rFonts w:asciiTheme="minorEastAsia" w:hAnsiTheme="minorEastAsia" w:eastAsiaTheme="minorEastAsia" w:cstheme="minorEastAsia"/>
                <w:color w:val="auto"/>
                <w:sz w:val="24"/>
                <w:szCs w:val="24"/>
              </w:rPr>
            </w:pPr>
          </w:p>
          <w:p w14:paraId="7C4F3135">
            <w:pPr>
              <w:spacing w:line="360" w:lineRule="auto"/>
              <w:rPr>
                <w:rFonts w:asciiTheme="minorEastAsia" w:hAnsiTheme="minorEastAsia" w:eastAsiaTheme="minorEastAsia" w:cstheme="minorEastAsia"/>
                <w:color w:val="auto"/>
                <w:sz w:val="24"/>
                <w:szCs w:val="24"/>
              </w:rPr>
            </w:pPr>
          </w:p>
          <w:p w14:paraId="781C2636">
            <w:pPr>
              <w:pStyle w:val="13"/>
              <w:spacing w:before="78" w:line="360" w:lineRule="auto"/>
              <w:ind w:left="114"/>
              <w:rPr>
                <w:rFonts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pacing w:val="-3"/>
                <w:sz w:val="24"/>
                <w:szCs w:val="24"/>
              </w:rPr>
              <w:t>永丰县</w:t>
            </w:r>
          </w:p>
        </w:tc>
        <w:tc>
          <w:tcPr>
            <w:tcW w:w="1073" w:type="dxa"/>
          </w:tcPr>
          <w:p w14:paraId="4BCB714B">
            <w:pPr>
              <w:pStyle w:val="13"/>
              <w:spacing w:before="235" w:line="360" w:lineRule="auto"/>
              <w:ind w:left="114"/>
              <w:rPr>
                <w:rFonts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pacing w:val="-6"/>
                <w:sz w:val="24"/>
                <w:szCs w:val="24"/>
                <w:lang w:eastAsia="zh-CN"/>
              </w:rPr>
              <w:t>江</w:t>
            </w:r>
            <w:r>
              <w:rPr>
                <w:rFonts w:hint="eastAsia" w:asciiTheme="minorEastAsia" w:hAnsiTheme="minorEastAsia" w:eastAsiaTheme="minorEastAsia" w:cstheme="minorEastAsia"/>
                <w:color w:val="auto"/>
                <w:spacing w:val="75"/>
                <w:sz w:val="24"/>
                <w:szCs w:val="24"/>
                <w:lang w:eastAsia="zh-CN"/>
              </w:rPr>
              <w:t xml:space="preserve"> </w:t>
            </w:r>
            <w:r>
              <w:rPr>
                <w:rFonts w:hint="eastAsia" w:asciiTheme="minorEastAsia" w:hAnsiTheme="minorEastAsia" w:eastAsiaTheme="minorEastAsia" w:cstheme="minorEastAsia"/>
                <w:color w:val="auto"/>
                <w:spacing w:val="-6"/>
                <w:sz w:val="24"/>
                <w:szCs w:val="24"/>
                <w:lang w:eastAsia="zh-CN"/>
              </w:rPr>
              <w:t>西</w:t>
            </w:r>
          </w:p>
          <w:p w14:paraId="6B504759">
            <w:pPr>
              <w:pStyle w:val="13"/>
              <w:spacing w:before="302" w:line="360" w:lineRule="auto"/>
              <w:ind w:left="114"/>
              <w:rPr>
                <w:rFonts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pacing w:val="-6"/>
                <w:sz w:val="24"/>
                <w:szCs w:val="24"/>
                <w:lang w:eastAsia="zh-CN"/>
              </w:rPr>
              <w:t>祥</w:t>
            </w:r>
            <w:r>
              <w:rPr>
                <w:rFonts w:hint="eastAsia" w:asciiTheme="minorEastAsia" w:hAnsiTheme="minorEastAsia" w:eastAsiaTheme="minorEastAsia" w:cstheme="minorEastAsia"/>
                <w:color w:val="auto"/>
                <w:spacing w:val="71"/>
                <w:sz w:val="24"/>
                <w:szCs w:val="24"/>
                <w:lang w:eastAsia="zh-CN"/>
              </w:rPr>
              <w:t xml:space="preserve"> </w:t>
            </w:r>
            <w:r>
              <w:rPr>
                <w:rFonts w:hint="eastAsia" w:asciiTheme="minorEastAsia" w:hAnsiTheme="minorEastAsia" w:eastAsiaTheme="minorEastAsia" w:cstheme="minorEastAsia"/>
                <w:color w:val="auto"/>
                <w:spacing w:val="-6"/>
                <w:sz w:val="24"/>
                <w:szCs w:val="24"/>
                <w:lang w:eastAsia="zh-CN"/>
              </w:rPr>
              <w:t>盛</w:t>
            </w:r>
          </w:p>
          <w:p w14:paraId="52C7D514">
            <w:pPr>
              <w:pStyle w:val="13"/>
              <w:spacing w:before="305" w:line="360" w:lineRule="auto"/>
              <w:ind w:left="113"/>
              <w:rPr>
                <w:rFonts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pacing w:val="-5"/>
                <w:sz w:val="24"/>
                <w:szCs w:val="24"/>
                <w:lang w:eastAsia="zh-CN"/>
              </w:rPr>
              <w:t>环</w:t>
            </w:r>
            <w:r>
              <w:rPr>
                <w:rFonts w:hint="eastAsia" w:asciiTheme="minorEastAsia" w:hAnsiTheme="minorEastAsia" w:eastAsiaTheme="minorEastAsia" w:cstheme="minorEastAsia"/>
                <w:color w:val="auto"/>
                <w:spacing w:val="70"/>
                <w:sz w:val="24"/>
                <w:szCs w:val="24"/>
                <w:lang w:eastAsia="zh-CN"/>
              </w:rPr>
              <w:t xml:space="preserve"> </w:t>
            </w:r>
            <w:r>
              <w:rPr>
                <w:rFonts w:hint="eastAsia" w:asciiTheme="minorEastAsia" w:hAnsiTheme="minorEastAsia" w:eastAsiaTheme="minorEastAsia" w:cstheme="minorEastAsia"/>
                <w:color w:val="auto"/>
                <w:spacing w:val="-5"/>
                <w:sz w:val="24"/>
                <w:szCs w:val="24"/>
                <w:lang w:eastAsia="zh-CN"/>
              </w:rPr>
              <w:t>保</w:t>
            </w:r>
          </w:p>
          <w:p w14:paraId="1CCA73BB">
            <w:pPr>
              <w:pStyle w:val="13"/>
              <w:spacing w:before="304" w:line="360" w:lineRule="auto"/>
              <w:ind w:left="113"/>
              <w:rPr>
                <w:rFonts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pacing w:val="-5"/>
                <w:sz w:val="24"/>
                <w:szCs w:val="24"/>
                <w:lang w:eastAsia="zh-CN"/>
              </w:rPr>
              <w:t>科</w:t>
            </w:r>
            <w:r>
              <w:rPr>
                <w:rFonts w:hint="eastAsia" w:asciiTheme="minorEastAsia" w:hAnsiTheme="minorEastAsia" w:eastAsiaTheme="minorEastAsia" w:cstheme="minorEastAsia"/>
                <w:color w:val="auto"/>
                <w:spacing w:val="70"/>
                <w:sz w:val="24"/>
                <w:szCs w:val="24"/>
                <w:lang w:eastAsia="zh-CN"/>
              </w:rPr>
              <w:t xml:space="preserve"> </w:t>
            </w:r>
            <w:r>
              <w:rPr>
                <w:rFonts w:hint="eastAsia" w:asciiTheme="minorEastAsia" w:hAnsiTheme="minorEastAsia" w:eastAsiaTheme="minorEastAsia" w:cstheme="minorEastAsia"/>
                <w:color w:val="auto"/>
                <w:spacing w:val="-5"/>
                <w:sz w:val="24"/>
                <w:szCs w:val="24"/>
                <w:lang w:eastAsia="zh-CN"/>
              </w:rPr>
              <w:t>技</w:t>
            </w:r>
          </w:p>
          <w:p w14:paraId="7740E701">
            <w:pPr>
              <w:pStyle w:val="13"/>
              <w:spacing w:before="306" w:line="360" w:lineRule="auto"/>
              <w:ind w:left="114"/>
              <w:rPr>
                <w:rFonts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pacing w:val="-6"/>
                <w:sz w:val="24"/>
                <w:szCs w:val="24"/>
                <w:lang w:eastAsia="zh-CN"/>
              </w:rPr>
              <w:t>有</w:t>
            </w:r>
            <w:r>
              <w:rPr>
                <w:rFonts w:hint="eastAsia" w:asciiTheme="minorEastAsia" w:hAnsiTheme="minorEastAsia" w:eastAsiaTheme="minorEastAsia" w:cstheme="minorEastAsia"/>
                <w:color w:val="auto"/>
                <w:spacing w:val="86"/>
                <w:sz w:val="24"/>
                <w:szCs w:val="24"/>
                <w:lang w:eastAsia="zh-CN"/>
              </w:rPr>
              <w:t xml:space="preserve"> </w:t>
            </w:r>
            <w:r>
              <w:rPr>
                <w:rFonts w:hint="eastAsia" w:asciiTheme="minorEastAsia" w:hAnsiTheme="minorEastAsia" w:eastAsiaTheme="minorEastAsia" w:cstheme="minorEastAsia"/>
                <w:color w:val="auto"/>
                <w:spacing w:val="-6"/>
                <w:sz w:val="24"/>
                <w:szCs w:val="24"/>
                <w:lang w:eastAsia="zh-CN"/>
              </w:rPr>
              <w:t>限</w:t>
            </w:r>
          </w:p>
          <w:p w14:paraId="3843137F">
            <w:pPr>
              <w:pStyle w:val="13"/>
              <w:spacing w:before="305" w:line="360" w:lineRule="auto"/>
              <w:ind w:left="121"/>
              <w:rPr>
                <w:rFonts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pacing w:val="-5"/>
                <w:sz w:val="24"/>
                <w:szCs w:val="24"/>
                <w:lang w:eastAsia="zh-CN"/>
              </w:rPr>
              <w:t>公司</w:t>
            </w:r>
          </w:p>
        </w:tc>
        <w:tc>
          <w:tcPr>
            <w:tcW w:w="1492" w:type="dxa"/>
          </w:tcPr>
          <w:p w14:paraId="5DC3871F">
            <w:pPr>
              <w:spacing w:line="360" w:lineRule="auto"/>
              <w:rPr>
                <w:rFonts w:asciiTheme="minorEastAsia" w:hAnsiTheme="minorEastAsia" w:eastAsiaTheme="minorEastAsia" w:cstheme="minorEastAsia"/>
                <w:color w:val="auto"/>
                <w:sz w:val="24"/>
                <w:szCs w:val="24"/>
                <w:lang w:eastAsia="zh-CN"/>
              </w:rPr>
            </w:pPr>
          </w:p>
          <w:p w14:paraId="69C96BE2">
            <w:pPr>
              <w:spacing w:line="360" w:lineRule="auto"/>
              <w:rPr>
                <w:rFonts w:asciiTheme="minorEastAsia" w:hAnsiTheme="minorEastAsia" w:eastAsiaTheme="minorEastAsia" w:cstheme="minorEastAsia"/>
                <w:color w:val="auto"/>
                <w:sz w:val="24"/>
                <w:szCs w:val="24"/>
                <w:lang w:eastAsia="zh-CN"/>
              </w:rPr>
            </w:pPr>
          </w:p>
          <w:p w14:paraId="74705AE7">
            <w:pPr>
              <w:spacing w:line="360" w:lineRule="auto"/>
              <w:rPr>
                <w:rFonts w:asciiTheme="minorEastAsia" w:hAnsiTheme="minorEastAsia" w:eastAsiaTheme="minorEastAsia" w:cstheme="minorEastAsia"/>
                <w:color w:val="auto"/>
                <w:sz w:val="24"/>
                <w:szCs w:val="24"/>
                <w:lang w:eastAsia="zh-CN"/>
              </w:rPr>
            </w:pPr>
          </w:p>
          <w:p w14:paraId="6FA049EF">
            <w:pPr>
              <w:spacing w:line="360" w:lineRule="auto"/>
              <w:rPr>
                <w:rFonts w:asciiTheme="minorEastAsia" w:hAnsiTheme="minorEastAsia" w:eastAsiaTheme="minorEastAsia" w:cstheme="minorEastAsia"/>
                <w:color w:val="auto"/>
                <w:sz w:val="24"/>
                <w:szCs w:val="24"/>
                <w:lang w:eastAsia="zh-CN"/>
              </w:rPr>
            </w:pPr>
          </w:p>
          <w:p w14:paraId="1694C97F">
            <w:pPr>
              <w:spacing w:line="360" w:lineRule="auto"/>
              <w:rPr>
                <w:rFonts w:asciiTheme="minorEastAsia" w:hAnsiTheme="minorEastAsia" w:eastAsiaTheme="minorEastAsia" w:cstheme="minorEastAsia"/>
                <w:color w:val="auto"/>
                <w:sz w:val="24"/>
                <w:szCs w:val="24"/>
                <w:lang w:eastAsia="zh-CN"/>
              </w:rPr>
            </w:pPr>
          </w:p>
          <w:p w14:paraId="573A61B6">
            <w:pPr>
              <w:spacing w:line="360" w:lineRule="auto"/>
              <w:rPr>
                <w:rFonts w:asciiTheme="minorEastAsia" w:hAnsiTheme="minorEastAsia" w:eastAsiaTheme="minorEastAsia" w:cstheme="minorEastAsia"/>
                <w:color w:val="auto"/>
                <w:sz w:val="24"/>
                <w:szCs w:val="24"/>
                <w:lang w:eastAsia="zh-CN"/>
              </w:rPr>
            </w:pPr>
          </w:p>
          <w:p w14:paraId="54DEAA6E">
            <w:pPr>
              <w:pStyle w:val="13"/>
              <w:spacing w:before="78" w:line="360" w:lineRule="auto"/>
              <w:ind w:left="117"/>
              <w:jc w:val="center"/>
              <w:rPr>
                <w:rFonts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pacing w:val="-3"/>
                <w:sz w:val="24"/>
                <w:szCs w:val="24"/>
              </w:rPr>
              <w:t>土壤</w:t>
            </w:r>
          </w:p>
        </w:tc>
        <w:tc>
          <w:tcPr>
            <w:tcW w:w="1015" w:type="dxa"/>
            <w:tcBorders>
              <w:right w:val="single" w:color="000000" w:sz="4" w:space="0"/>
            </w:tcBorders>
          </w:tcPr>
          <w:p w14:paraId="2FDB04BB">
            <w:pPr>
              <w:spacing w:line="360" w:lineRule="auto"/>
              <w:rPr>
                <w:rFonts w:asciiTheme="minorEastAsia" w:hAnsiTheme="minorEastAsia" w:eastAsiaTheme="minorEastAsia" w:cstheme="minorEastAsia"/>
                <w:color w:val="auto"/>
                <w:sz w:val="24"/>
                <w:szCs w:val="24"/>
              </w:rPr>
            </w:pPr>
          </w:p>
          <w:p w14:paraId="0078148F">
            <w:pPr>
              <w:spacing w:line="360" w:lineRule="auto"/>
              <w:rPr>
                <w:rFonts w:asciiTheme="minorEastAsia" w:hAnsiTheme="minorEastAsia" w:eastAsiaTheme="minorEastAsia" w:cstheme="minorEastAsia"/>
                <w:color w:val="auto"/>
                <w:sz w:val="24"/>
                <w:szCs w:val="24"/>
              </w:rPr>
            </w:pPr>
          </w:p>
          <w:p w14:paraId="5A48466E">
            <w:pPr>
              <w:pStyle w:val="13"/>
              <w:spacing w:before="78" w:line="360" w:lineRule="auto"/>
              <w:ind w:left="113"/>
              <w:rPr>
                <w:rFonts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pacing w:val="-1"/>
                <w:sz w:val="24"/>
                <w:szCs w:val="24"/>
              </w:rPr>
              <w:t>DW001</w:t>
            </w:r>
          </w:p>
          <w:p w14:paraId="361B89A7">
            <w:pPr>
              <w:pStyle w:val="13"/>
              <w:spacing w:before="317" w:line="360" w:lineRule="auto"/>
              <w:ind w:left="119"/>
              <w:rPr>
                <w:rFonts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pacing w:val="-6"/>
                <w:sz w:val="24"/>
                <w:szCs w:val="24"/>
              </w:rPr>
              <w:t>生</w:t>
            </w:r>
            <w:r>
              <w:rPr>
                <w:rFonts w:hint="eastAsia" w:asciiTheme="minorEastAsia" w:hAnsiTheme="minorEastAsia" w:eastAsiaTheme="minorEastAsia" w:cstheme="minorEastAsia"/>
                <w:color w:val="auto"/>
                <w:spacing w:val="13"/>
                <w:sz w:val="24"/>
                <w:szCs w:val="24"/>
              </w:rPr>
              <w:t xml:space="preserve"> </w:t>
            </w:r>
            <w:r>
              <w:rPr>
                <w:rFonts w:hint="eastAsia" w:asciiTheme="minorEastAsia" w:hAnsiTheme="minorEastAsia" w:eastAsiaTheme="minorEastAsia" w:cstheme="minorEastAsia"/>
                <w:color w:val="auto"/>
                <w:spacing w:val="-6"/>
                <w:sz w:val="24"/>
                <w:szCs w:val="24"/>
              </w:rPr>
              <w:t>活</w:t>
            </w:r>
          </w:p>
          <w:p w14:paraId="081F378F">
            <w:pPr>
              <w:pStyle w:val="13"/>
              <w:spacing w:before="304" w:line="360" w:lineRule="auto"/>
              <w:ind w:left="119"/>
              <w:rPr>
                <w:rFonts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pacing w:val="-6"/>
                <w:sz w:val="24"/>
                <w:szCs w:val="24"/>
              </w:rPr>
              <w:t>污</w:t>
            </w:r>
            <w:r>
              <w:rPr>
                <w:rFonts w:hint="eastAsia" w:asciiTheme="minorEastAsia" w:hAnsiTheme="minorEastAsia" w:eastAsiaTheme="minorEastAsia" w:cstheme="minorEastAsia"/>
                <w:color w:val="auto"/>
                <w:spacing w:val="12"/>
                <w:sz w:val="24"/>
                <w:szCs w:val="24"/>
              </w:rPr>
              <w:t xml:space="preserve"> </w:t>
            </w:r>
            <w:r>
              <w:rPr>
                <w:rFonts w:hint="eastAsia" w:asciiTheme="minorEastAsia" w:hAnsiTheme="minorEastAsia" w:eastAsiaTheme="minorEastAsia" w:cstheme="minorEastAsia"/>
                <w:color w:val="auto"/>
                <w:spacing w:val="-6"/>
                <w:sz w:val="24"/>
                <w:szCs w:val="24"/>
              </w:rPr>
              <w:t>水</w:t>
            </w:r>
          </w:p>
          <w:p w14:paraId="22A10B8A">
            <w:pPr>
              <w:pStyle w:val="13"/>
              <w:spacing w:before="304" w:line="360" w:lineRule="auto"/>
              <w:ind w:left="153" w:right="299" w:hanging="36"/>
              <w:rPr>
                <w:rFonts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pacing w:val="-10"/>
                <w:sz w:val="24"/>
                <w:szCs w:val="24"/>
              </w:rPr>
              <w:t>排</w:t>
            </w:r>
            <w:r>
              <w:rPr>
                <w:rFonts w:hint="eastAsia" w:asciiTheme="minorEastAsia" w:hAnsiTheme="minorEastAsia" w:eastAsiaTheme="minorEastAsia" w:cstheme="minorEastAsia"/>
                <w:color w:val="auto"/>
                <w:spacing w:val="9"/>
                <w:sz w:val="24"/>
                <w:szCs w:val="24"/>
              </w:rPr>
              <w:t xml:space="preserve"> </w:t>
            </w:r>
            <w:r>
              <w:rPr>
                <w:rFonts w:hint="eastAsia" w:asciiTheme="minorEastAsia" w:hAnsiTheme="minorEastAsia" w:eastAsiaTheme="minorEastAsia" w:cstheme="minorEastAsia"/>
                <w:color w:val="auto"/>
                <w:spacing w:val="-10"/>
                <w:sz w:val="24"/>
                <w:szCs w:val="24"/>
              </w:rPr>
              <w:t>放</w:t>
            </w:r>
            <w:r>
              <w:rPr>
                <w:rFonts w:hint="eastAsia" w:asciiTheme="minorEastAsia" w:hAnsiTheme="minorEastAsia" w:eastAsiaTheme="minorEastAsia" w:cstheme="minorEastAsia"/>
                <w:color w:val="auto"/>
                <w:sz w:val="24"/>
                <w:szCs w:val="24"/>
              </w:rPr>
              <w:t>口</w:t>
            </w:r>
          </w:p>
        </w:tc>
        <w:tc>
          <w:tcPr>
            <w:tcW w:w="2497" w:type="dxa"/>
            <w:tcBorders>
              <w:left w:val="single" w:color="000000" w:sz="4" w:space="0"/>
            </w:tcBorders>
          </w:tcPr>
          <w:p w14:paraId="21B786EC">
            <w:pPr>
              <w:pStyle w:val="13"/>
              <w:spacing w:before="234" w:line="360" w:lineRule="auto"/>
              <w:ind w:left="119"/>
              <w:rPr>
                <w:rFonts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pacing w:val="-11"/>
                <w:sz w:val="24"/>
                <w:szCs w:val="24"/>
                <w:lang w:eastAsia="zh-CN"/>
              </w:rPr>
              <w:t>五日生化需氧量、氨</w:t>
            </w:r>
          </w:p>
          <w:p w14:paraId="12437575">
            <w:pPr>
              <w:pStyle w:val="13"/>
              <w:spacing w:before="308" w:line="360" w:lineRule="auto"/>
              <w:ind w:left="113"/>
              <w:rPr>
                <w:rFonts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pacing w:val="-10"/>
                <w:sz w:val="24"/>
                <w:szCs w:val="24"/>
                <w:lang w:eastAsia="zh-CN"/>
              </w:rPr>
              <w:t>氮、化学需氧量、悬</w:t>
            </w:r>
          </w:p>
          <w:p w14:paraId="0BFB64DE">
            <w:pPr>
              <w:pStyle w:val="13"/>
              <w:spacing w:before="305" w:line="360" w:lineRule="auto"/>
              <w:ind w:left="117"/>
              <w:rPr>
                <w:rFonts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pacing w:val="-10"/>
                <w:sz w:val="24"/>
                <w:szCs w:val="24"/>
                <w:lang w:eastAsia="zh-CN"/>
              </w:rPr>
              <w:t>浮物、动植物油、总</w:t>
            </w:r>
          </w:p>
          <w:p w14:paraId="2839D602">
            <w:pPr>
              <w:pStyle w:val="13"/>
              <w:spacing w:before="306" w:line="360" w:lineRule="auto"/>
              <w:ind w:left="115"/>
              <w:rPr>
                <w:rFonts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pacing w:val="2"/>
                <w:sz w:val="24"/>
                <w:szCs w:val="24"/>
                <w:lang w:eastAsia="zh-CN"/>
              </w:rPr>
              <w:t>磷、总氮、</w:t>
            </w:r>
            <w:r>
              <w:rPr>
                <w:rFonts w:hint="eastAsia" w:asciiTheme="minorEastAsia" w:hAnsiTheme="minorEastAsia" w:eastAsiaTheme="minorEastAsia" w:cstheme="minorEastAsia"/>
                <w:color w:val="auto"/>
                <w:sz w:val="24"/>
                <w:szCs w:val="24"/>
                <w:lang w:eastAsia="zh-CN"/>
              </w:rPr>
              <w:t>pH</w:t>
            </w:r>
            <w:r>
              <w:rPr>
                <w:rFonts w:hint="eastAsia" w:asciiTheme="minorEastAsia" w:hAnsiTheme="minorEastAsia" w:eastAsiaTheme="minorEastAsia" w:cstheme="minorEastAsia"/>
                <w:color w:val="auto"/>
                <w:spacing w:val="2"/>
                <w:sz w:val="24"/>
                <w:szCs w:val="24"/>
                <w:lang w:eastAsia="zh-CN"/>
              </w:rPr>
              <w:t xml:space="preserve"> 值、</w:t>
            </w:r>
          </w:p>
          <w:p w14:paraId="726A9346">
            <w:pPr>
              <w:pStyle w:val="13"/>
              <w:spacing w:before="311" w:line="360" w:lineRule="auto"/>
              <w:ind w:left="116"/>
              <w:rPr>
                <w:rFonts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pacing w:val="-5"/>
                <w:sz w:val="24"/>
                <w:szCs w:val="24"/>
                <w:lang w:eastAsia="zh-CN"/>
              </w:rPr>
              <w:t>流量、总铜、总汞、</w:t>
            </w:r>
          </w:p>
          <w:p w14:paraId="00183EC9">
            <w:pPr>
              <w:pStyle w:val="13"/>
              <w:spacing w:before="306" w:line="360" w:lineRule="auto"/>
              <w:ind w:left="118"/>
              <w:rPr>
                <w:rFonts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pacing w:val="-5"/>
                <w:sz w:val="24"/>
                <w:szCs w:val="24"/>
                <w:lang w:eastAsia="zh-CN"/>
              </w:rPr>
              <w:t>总镉、总铬、总砷、</w:t>
            </w:r>
            <w:r>
              <w:rPr>
                <w:rFonts w:hint="eastAsia" w:asciiTheme="minorEastAsia" w:hAnsiTheme="minorEastAsia" w:eastAsiaTheme="minorEastAsia" w:cstheme="minorEastAsia"/>
                <w:color w:val="auto"/>
                <w:spacing w:val="-6"/>
                <w:sz w:val="24"/>
                <w:szCs w:val="24"/>
                <w:lang w:eastAsia="zh-CN"/>
              </w:rPr>
              <w:t>总铅、总镍、总锌、</w:t>
            </w:r>
            <w:r>
              <w:rPr>
                <w:rFonts w:hint="eastAsia" w:asciiTheme="minorEastAsia" w:hAnsiTheme="minorEastAsia" w:eastAsiaTheme="minorEastAsia" w:cstheme="minorEastAsia"/>
                <w:color w:val="auto"/>
                <w:spacing w:val="-3"/>
                <w:sz w:val="24"/>
                <w:szCs w:val="24"/>
                <w:lang w:eastAsia="zh-CN"/>
              </w:rPr>
              <w:t>铊、锑</w:t>
            </w:r>
          </w:p>
        </w:tc>
        <w:tc>
          <w:tcPr>
            <w:tcW w:w="1423" w:type="dxa"/>
          </w:tcPr>
          <w:p w14:paraId="08B23BF1">
            <w:pPr>
              <w:spacing w:line="360" w:lineRule="auto"/>
              <w:rPr>
                <w:rFonts w:asciiTheme="minorEastAsia" w:hAnsiTheme="minorEastAsia" w:eastAsiaTheme="minorEastAsia" w:cstheme="minorEastAsia"/>
                <w:color w:val="auto"/>
                <w:sz w:val="24"/>
                <w:szCs w:val="24"/>
                <w:lang w:eastAsia="zh-CN"/>
              </w:rPr>
            </w:pPr>
          </w:p>
          <w:p w14:paraId="217FD61D">
            <w:pPr>
              <w:pStyle w:val="13"/>
              <w:spacing w:before="78" w:line="360" w:lineRule="auto"/>
              <w:ind w:left="140"/>
              <w:rPr>
                <w:rFonts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pacing w:val="2"/>
                <w:sz w:val="24"/>
                <w:szCs w:val="24"/>
                <w:lang w:eastAsia="zh-CN"/>
              </w:rPr>
              <w:t>同江西祥</w:t>
            </w:r>
          </w:p>
          <w:p w14:paraId="53DCF0F7">
            <w:pPr>
              <w:pStyle w:val="13"/>
              <w:spacing w:before="307" w:line="360" w:lineRule="auto"/>
              <w:ind w:left="119"/>
              <w:rPr>
                <w:rFonts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pacing w:val="7"/>
                <w:sz w:val="24"/>
                <w:szCs w:val="24"/>
                <w:lang w:eastAsia="zh-CN"/>
              </w:rPr>
              <w:t>盛环保科</w:t>
            </w:r>
          </w:p>
          <w:p w14:paraId="07A38820">
            <w:pPr>
              <w:pStyle w:val="13"/>
              <w:spacing w:before="306" w:line="360" w:lineRule="auto"/>
              <w:ind w:left="118"/>
              <w:rPr>
                <w:rFonts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pacing w:val="8"/>
                <w:sz w:val="24"/>
                <w:szCs w:val="24"/>
                <w:lang w:eastAsia="zh-CN"/>
              </w:rPr>
              <w:t>技有限公</w:t>
            </w:r>
          </w:p>
          <w:p w14:paraId="532CC3EF">
            <w:pPr>
              <w:pStyle w:val="13"/>
              <w:spacing w:before="303" w:line="360" w:lineRule="auto"/>
              <w:ind w:left="118" w:right="307" w:firstLine="8"/>
              <w:rPr>
                <w:rFonts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pacing w:val="6"/>
                <w:sz w:val="24"/>
                <w:szCs w:val="24"/>
              </w:rPr>
              <w:t>司监督性</w:t>
            </w:r>
            <w:r>
              <w:rPr>
                <w:rFonts w:hint="eastAsia" w:asciiTheme="minorEastAsia" w:hAnsiTheme="minorEastAsia" w:eastAsiaTheme="minorEastAsia" w:cstheme="minorEastAsia"/>
                <w:color w:val="auto"/>
                <w:spacing w:val="-3"/>
                <w:sz w:val="24"/>
                <w:szCs w:val="24"/>
              </w:rPr>
              <w:t>监测</w:t>
            </w:r>
          </w:p>
        </w:tc>
      </w:tr>
      <w:tr w14:paraId="575EA30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11" w:hRule="atLeast"/>
        </w:trPr>
        <w:tc>
          <w:tcPr>
            <w:tcW w:w="660" w:type="dxa"/>
          </w:tcPr>
          <w:p w14:paraId="03B060CD">
            <w:pPr>
              <w:spacing w:line="360" w:lineRule="auto"/>
              <w:rPr>
                <w:rFonts w:asciiTheme="minorEastAsia" w:hAnsiTheme="minorEastAsia" w:eastAsiaTheme="minorEastAsia" w:cstheme="minorEastAsia"/>
                <w:color w:val="auto"/>
                <w:sz w:val="24"/>
                <w:szCs w:val="24"/>
              </w:rPr>
            </w:pPr>
          </w:p>
          <w:p w14:paraId="5089D444">
            <w:pPr>
              <w:spacing w:line="360" w:lineRule="auto"/>
              <w:rPr>
                <w:rFonts w:asciiTheme="minorEastAsia" w:hAnsiTheme="minorEastAsia" w:eastAsiaTheme="minorEastAsia" w:cstheme="minorEastAsia"/>
                <w:color w:val="auto"/>
                <w:sz w:val="24"/>
                <w:szCs w:val="24"/>
              </w:rPr>
            </w:pPr>
          </w:p>
          <w:p w14:paraId="056AAF7C">
            <w:pPr>
              <w:spacing w:line="360" w:lineRule="auto"/>
              <w:rPr>
                <w:rFonts w:asciiTheme="minorEastAsia" w:hAnsiTheme="minorEastAsia" w:eastAsiaTheme="minorEastAsia" w:cstheme="minorEastAsia"/>
                <w:color w:val="auto"/>
                <w:sz w:val="24"/>
                <w:szCs w:val="24"/>
              </w:rPr>
            </w:pPr>
          </w:p>
          <w:p w14:paraId="618D3B59">
            <w:pPr>
              <w:spacing w:line="360" w:lineRule="auto"/>
              <w:rPr>
                <w:rFonts w:asciiTheme="minorEastAsia" w:hAnsiTheme="minorEastAsia" w:eastAsiaTheme="minorEastAsia" w:cstheme="minorEastAsia"/>
                <w:color w:val="auto"/>
                <w:sz w:val="24"/>
                <w:szCs w:val="24"/>
              </w:rPr>
            </w:pPr>
          </w:p>
          <w:p w14:paraId="09E50645">
            <w:pPr>
              <w:spacing w:line="360" w:lineRule="auto"/>
              <w:rPr>
                <w:rFonts w:asciiTheme="minorEastAsia" w:hAnsiTheme="minorEastAsia" w:eastAsiaTheme="minorEastAsia" w:cstheme="minorEastAsia"/>
                <w:color w:val="auto"/>
                <w:sz w:val="24"/>
                <w:szCs w:val="24"/>
              </w:rPr>
            </w:pPr>
          </w:p>
          <w:p w14:paraId="4B44D5CA">
            <w:pPr>
              <w:spacing w:line="360" w:lineRule="auto"/>
              <w:rPr>
                <w:rFonts w:asciiTheme="minorEastAsia" w:hAnsiTheme="minorEastAsia" w:eastAsiaTheme="minorEastAsia" w:cstheme="minorEastAsia"/>
                <w:color w:val="auto"/>
                <w:sz w:val="24"/>
                <w:szCs w:val="24"/>
              </w:rPr>
            </w:pPr>
          </w:p>
          <w:p w14:paraId="1477FCC0">
            <w:pPr>
              <w:pStyle w:val="13"/>
              <w:spacing w:before="78" w:line="360" w:lineRule="auto"/>
              <w:ind w:left="120"/>
              <w:rPr>
                <w:rFonts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2</w:t>
            </w:r>
          </w:p>
        </w:tc>
        <w:tc>
          <w:tcPr>
            <w:tcW w:w="1134" w:type="dxa"/>
          </w:tcPr>
          <w:p w14:paraId="53906DD4">
            <w:pPr>
              <w:spacing w:line="360" w:lineRule="auto"/>
              <w:rPr>
                <w:rFonts w:asciiTheme="minorEastAsia" w:hAnsiTheme="minorEastAsia" w:eastAsiaTheme="minorEastAsia" w:cstheme="minorEastAsia"/>
                <w:color w:val="auto"/>
                <w:sz w:val="24"/>
                <w:szCs w:val="24"/>
              </w:rPr>
            </w:pPr>
          </w:p>
          <w:p w14:paraId="088A5447">
            <w:pPr>
              <w:spacing w:line="360" w:lineRule="auto"/>
              <w:rPr>
                <w:rFonts w:asciiTheme="minorEastAsia" w:hAnsiTheme="minorEastAsia" w:eastAsiaTheme="minorEastAsia" w:cstheme="minorEastAsia"/>
                <w:color w:val="auto"/>
                <w:sz w:val="24"/>
                <w:szCs w:val="24"/>
              </w:rPr>
            </w:pPr>
          </w:p>
          <w:p w14:paraId="47616E43">
            <w:pPr>
              <w:spacing w:line="360" w:lineRule="auto"/>
              <w:rPr>
                <w:rFonts w:asciiTheme="minorEastAsia" w:hAnsiTheme="minorEastAsia" w:eastAsiaTheme="minorEastAsia" w:cstheme="minorEastAsia"/>
                <w:color w:val="auto"/>
                <w:sz w:val="24"/>
                <w:szCs w:val="24"/>
              </w:rPr>
            </w:pPr>
          </w:p>
          <w:p w14:paraId="214A5B7B">
            <w:pPr>
              <w:spacing w:line="360" w:lineRule="auto"/>
              <w:rPr>
                <w:rFonts w:asciiTheme="minorEastAsia" w:hAnsiTheme="minorEastAsia" w:eastAsiaTheme="minorEastAsia" w:cstheme="minorEastAsia"/>
                <w:color w:val="auto"/>
                <w:sz w:val="24"/>
                <w:szCs w:val="24"/>
              </w:rPr>
            </w:pPr>
          </w:p>
          <w:p w14:paraId="1B4F3752">
            <w:pPr>
              <w:spacing w:line="360" w:lineRule="auto"/>
              <w:rPr>
                <w:rFonts w:asciiTheme="minorEastAsia" w:hAnsiTheme="minorEastAsia" w:eastAsiaTheme="minorEastAsia" w:cstheme="minorEastAsia"/>
                <w:color w:val="auto"/>
                <w:sz w:val="24"/>
                <w:szCs w:val="24"/>
              </w:rPr>
            </w:pPr>
          </w:p>
          <w:p w14:paraId="4E0B1DE7">
            <w:pPr>
              <w:spacing w:line="360" w:lineRule="auto"/>
              <w:rPr>
                <w:rFonts w:asciiTheme="minorEastAsia" w:hAnsiTheme="minorEastAsia" w:eastAsiaTheme="minorEastAsia" w:cstheme="minorEastAsia"/>
                <w:color w:val="auto"/>
                <w:sz w:val="24"/>
                <w:szCs w:val="24"/>
              </w:rPr>
            </w:pPr>
          </w:p>
          <w:p w14:paraId="1528D1A8">
            <w:pPr>
              <w:pStyle w:val="13"/>
              <w:spacing w:before="78" w:line="360" w:lineRule="auto"/>
              <w:ind w:left="114"/>
              <w:rPr>
                <w:rFonts w:asciiTheme="minorEastAsia" w:hAnsiTheme="minorEastAsia" w:eastAsiaTheme="minorEastAsia" w:cstheme="minorEastAsia"/>
                <w:color w:val="auto"/>
                <w:spacing w:val="-3"/>
                <w:sz w:val="24"/>
                <w:szCs w:val="24"/>
              </w:rPr>
            </w:pPr>
            <w:r>
              <w:rPr>
                <w:rFonts w:hint="eastAsia" w:asciiTheme="minorEastAsia" w:hAnsiTheme="minorEastAsia" w:eastAsiaTheme="minorEastAsia" w:cstheme="minorEastAsia"/>
                <w:color w:val="auto"/>
                <w:spacing w:val="-3"/>
                <w:sz w:val="24"/>
                <w:szCs w:val="24"/>
              </w:rPr>
              <w:t>永丰县</w:t>
            </w:r>
          </w:p>
        </w:tc>
        <w:tc>
          <w:tcPr>
            <w:tcW w:w="1073" w:type="dxa"/>
          </w:tcPr>
          <w:p w14:paraId="65D7A0C5">
            <w:pPr>
              <w:pStyle w:val="13"/>
              <w:spacing w:before="234" w:line="360" w:lineRule="auto"/>
              <w:ind w:left="114"/>
              <w:rPr>
                <w:rFonts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pacing w:val="-6"/>
                <w:sz w:val="24"/>
                <w:szCs w:val="24"/>
                <w:lang w:eastAsia="zh-CN"/>
              </w:rPr>
              <w:t>江</w:t>
            </w:r>
            <w:r>
              <w:rPr>
                <w:rFonts w:hint="eastAsia" w:asciiTheme="minorEastAsia" w:hAnsiTheme="minorEastAsia" w:eastAsiaTheme="minorEastAsia" w:cstheme="minorEastAsia"/>
                <w:color w:val="auto"/>
                <w:spacing w:val="75"/>
                <w:sz w:val="24"/>
                <w:szCs w:val="24"/>
                <w:lang w:eastAsia="zh-CN"/>
              </w:rPr>
              <w:t xml:space="preserve"> </w:t>
            </w:r>
            <w:r>
              <w:rPr>
                <w:rFonts w:hint="eastAsia" w:asciiTheme="minorEastAsia" w:hAnsiTheme="minorEastAsia" w:eastAsiaTheme="minorEastAsia" w:cstheme="minorEastAsia"/>
                <w:color w:val="auto"/>
                <w:spacing w:val="-6"/>
                <w:sz w:val="24"/>
                <w:szCs w:val="24"/>
                <w:lang w:eastAsia="zh-CN"/>
              </w:rPr>
              <w:t>西</w:t>
            </w:r>
          </w:p>
          <w:p w14:paraId="3A3863A6">
            <w:pPr>
              <w:pStyle w:val="13"/>
              <w:spacing w:before="302" w:line="360" w:lineRule="auto"/>
              <w:ind w:left="112"/>
              <w:rPr>
                <w:rFonts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pacing w:val="-5"/>
                <w:sz w:val="24"/>
                <w:szCs w:val="24"/>
                <w:lang w:eastAsia="zh-CN"/>
              </w:rPr>
              <w:t>源</w:t>
            </w:r>
            <w:r>
              <w:rPr>
                <w:rFonts w:hint="eastAsia" w:asciiTheme="minorEastAsia" w:hAnsiTheme="minorEastAsia" w:eastAsiaTheme="minorEastAsia" w:cstheme="minorEastAsia"/>
                <w:color w:val="auto"/>
                <w:spacing w:val="70"/>
                <w:sz w:val="24"/>
                <w:szCs w:val="24"/>
                <w:lang w:eastAsia="zh-CN"/>
              </w:rPr>
              <w:t xml:space="preserve"> </w:t>
            </w:r>
            <w:r>
              <w:rPr>
                <w:rFonts w:hint="eastAsia" w:asciiTheme="minorEastAsia" w:hAnsiTheme="minorEastAsia" w:eastAsiaTheme="minorEastAsia" w:cstheme="minorEastAsia"/>
                <w:color w:val="auto"/>
                <w:spacing w:val="-5"/>
                <w:sz w:val="24"/>
                <w:szCs w:val="24"/>
                <w:lang w:eastAsia="zh-CN"/>
              </w:rPr>
              <w:t>丰</w:t>
            </w:r>
          </w:p>
          <w:p w14:paraId="11C0D662">
            <w:pPr>
              <w:pStyle w:val="13"/>
              <w:spacing w:before="303" w:line="360" w:lineRule="auto"/>
              <w:ind w:left="114"/>
              <w:rPr>
                <w:rFonts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pacing w:val="-6"/>
                <w:sz w:val="24"/>
                <w:szCs w:val="24"/>
                <w:lang w:eastAsia="zh-CN"/>
              </w:rPr>
              <w:t>有</w:t>
            </w:r>
            <w:r>
              <w:rPr>
                <w:rFonts w:hint="eastAsia" w:asciiTheme="minorEastAsia" w:hAnsiTheme="minorEastAsia" w:eastAsiaTheme="minorEastAsia" w:cstheme="minorEastAsia"/>
                <w:color w:val="auto"/>
                <w:spacing w:val="72"/>
                <w:sz w:val="24"/>
                <w:szCs w:val="24"/>
                <w:lang w:eastAsia="zh-CN"/>
              </w:rPr>
              <w:t xml:space="preserve"> </w:t>
            </w:r>
            <w:r>
              <w:rPr>
                <w:rFonts w:hint="eastAsia" w:asciiTheme="minorEastAsia" w:hAnsiTheme="minorEastAsia" w:eastAsiaTheme="minorEastAsia" w:cstheme="minorEastAsia"/>
                <w:color w:val="auto"/>
                <w:spacing w:val="-6"/>
                <w:sz w:val="24"/>
                <w:szCs w:val="24"/>
                <w:lang w:eastAsia="zh-CN"/>
              </w:rPr>
              <w:t>色</w:t>
            </w:r>
          </w:p>
          <w:p w14:paraId="7F6759E0">
            <w:pPr>
              <w:pStyle w:val="13"/>
              <w:spacing w:before="306" w:line="360" w:lineRule="auto"/>
              <w:ind w:left="115"/>
              <w:rPr>
                <w:rFonts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pacing w:val="-6"/>
                <w:sz w:val="24"/>
                <w:szCs w:val="24"/>
                <w:lang w:eastAsia="zh-CN"/>
              </w:rPr>
              <w:t>金</w:t>
            </w:r>
            <w:r>
              <w:rPr>
                <w:rFonts w:hint="eastAsia" w:asciiTheme="minorEastAsia" w:hAnsiTheme="minorEastAsia" w:eastAsiaTheme="minorEastAsia" w:cstheme="minorEastAsia"/>
                <w:color w:val="auto"/>
                <w:spacing w:val="71"/>
                <w:sz w:val="24"/>
                <w:szCs w:val="24"/>
                <w:lang w:eastAsia="zh-CN"/>
              </w:rPr>
              <w:t xml:space="preserve"> </w:t>
            </w:r>
            <w:r>
              <w:rPr>
                <w:rFonts w:hint="eastAsia" w:asciiTheme="minorEastAsia" w:hAnsiTheme="minorEastAsia" w:eastAsiaTheme="minorEastAsia" w:cstheme="minorEastAsia"/>
                <w:color w:val="auto"/>
                <w:spacing w:val="-6"/>
                <w:sz w:val="24"/>
                <w:szCs w:val="24"/>
                <w:lang w:eastAsia="zh-CN"/>
              </w:rPr>
              <w:t>属</w:t>
            </w:r>
          </w:p>
          <w:p w14:paraId="2D17C820">
            <w:pPr>
              <w:pStyle w:val="13"/>
              <w:spacing w:before="303" w:line="360" w:lineRule="auto"/>
              <w:ind w:left="114"/>
              <w:rPr>
                <w:rFonts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pacing w:val="-6"/>
                <w:sz w:val="24"/>
                <w:szCs w:val="24"/>
                <w:lang w:eastAsia="zh-CN"/>
              </w:rPr>
              <w:t>有</w:t>
            </w:r>
            <w:r>
              <w:rPr>
                <w:rFonts w:hint="eastAsia" w:asciiTheme="minorEastAsia" w:hAnsiTheme="minorEastAsia" w:eastAsiaTheme="minorEastAsia" w:cstheme="minorEastAsia"/>
                <w:color w:val="auto"/>
                <w:spacing w:val="86"/>
                <w:sz w:val="24"/>
                <w:szCs w:val="24"/>
                <w:lang w:eastAsia="zh-CN"/>
              </w:rPr>
              <w:t xml:space="preserve"> </w:t>
            </w:r>
            <w:r>
              <w:rPr>
                <w:rFonts w:hint="eastAsia" w:asciiTheme="minorEastAsia" w:hAnsiTheme="minorEastAsia" w:eastAsiaTheme="minorEastAsia" w:cstheme="minorEastAsia"/>
                <w:color w:val="auto"/>
                <w:spacing w:val="-6"/>
                <w:sz w:val="24"/>
                <w:szCs w:val="24"/>
                <w:lang w:eastAsia="zh-CN"/>
              </w:rPr>
              <w:t>限</w:t>
            </w:r>
          </w:p>
          <w:p w14:paraId="306656DD">
            <w:pPr>
              <w:pStyle w:val="13"/>
              <w:spacing w:before="304" w:line="360" w:lineRule="auto"/>
              <w:ind w:left="121"/>
              <w:rPr>
                <w:rFonts w:asciiTheme="minorEastAsia" w:hAnsiTheme="minorEastAsia" w:eastAsiaTheme="minorEastAsia" w:cstheme="minorEastAsia"/>
                <w:color w:val="auto"/>
                <w:spacing w:val="-5"/>
                <w:sz w:val="24"/>
                <w:szCs w:val="24"/>
                <w:lang w:eastAsia="zh-CN"/>
              </w:rPr>
            </w:pPr>
            <w:r>
              <w:rPr>
                <w:rFonts w:hint="eastAsia" w:asciiTheme="minorEastAsia" w:hAnsiTheme="minorEastAsia" w:eastAsiaTheme="minorEastAsia" w:cstheme="minorEastAsia"/>
                <w:color w:val="auto"/>
                <w:spacing w:val="-5"/>
                <w:sz w:val="24"/>
                <w:szCs w:val="24"/>
                <w:lang w:eastAsia="zh-CN"/>
              </w:rPr>
              <w:t>公司</w:t>
            </w:r>
          </w:p>
        </w:tc>
        <w:tc>
          <w:tcPr>
            <w:tcW w:w="1492" w:type="dxa"/>
          </w:tcPr>
          <w:p w14:paraId="0B6024B1">
            <w:pPr>
              <w:spacing w:line="360" w:lineRule="auto"/>
              <w:jc w:val="center"/>
              <w:rPr>
                <w:rFonts w:asciiTheme="minorEastAsia" w:hAnsiTheme="minorEastAsia" w:eastAsiaTheme="minorEastAsia" w:cstheme="minorEastAsia"/>
                <w:color w:val="auto"/>
                <w:sz w:val="24"/>
                <w:szCs w:val="24"/>
                <w:lang w:eastAsia="zh-CN"/>
              </w:rPr>
            </w:pPr>
          </w:p>
          <w:p w14:paraId="10D68B88">
            <w:pPr>
              <w:spacing w:line="360" w:lineRule="auto"/>
              <w:jc w:val="center"/>
              <w:rPr>
                <w:rFonts w:asciiTheme="minorEastAsia" w:hAnsiTheme="minorEastAsia" w:eastAsiaTheme="minorEastAsia" w:cstheme="minorEastAsia"/>
                <w:color w:val="auto"/>
                <w:sz w:val="24"/>
                <w:szCs w:val="24"/>
                <w:lang w:eastAsia="zh-CN"/>
              </w:rPr>
            </w:pPr>
          </w:p>
          <w:p w14:paraId="3C2FB401">
            <w:pPr>
              <w:spacing w:line="360" w:lineRule="auto"/>
              <w:jc w:val="center"/>
              <w:rPr>
                <w:rFonts w:asciiTheme="minorEastAsia" w:hAnsiTheme="minorEastAsia" w:eastAsiaTheme="minorEastAsia" w:cstheme="minorEastAsia"/>
                <w:color w:val="auto"/>
                <w:sz w:val="24"/>
                <w:szCs w:val="24"/>
                <w:lang w:eastAsia="zh-CN"/>
              </w:rPr>
            </w:pPr>
          </w:p>
          <w:p w14:paraId="68A44B06">
            <w:pPr>
              <w:spacing w:line="360" w:lineRule="auto"/>
              <w:jc w:val="center"/>
              <w:rPr>
                <w:rFonts w:asciiTheme="minorEastAsia" w:hAnsiTheme="minorEastAsia" w:eastAsiaTheme="minorEastAsia" w:cstheme="minorEastAsia"/>
                <w:color w:val="auto"/>
                <w:sz w:val="24"/>
                <w:szCs w:val="24"/>
                <w:lang w:eastAsia="zh-CN"/>
              </w:rPr>
            </w:pPr>
          </w:p>
          <w:p w14:paraId="0446B40B">
            <w:pPr>
              <w:spacing w:line="360" w:lineRule="auto"/>
              <w:jc w:val="center"/>
              <w:rPr>
                <w:rFonts w:asciiTheme="minorEastAsia" w:hAnsiTheme="minorEastAsia" w:eastAsiaTheme="minorEastAsia" w:cstheme="minorEastAsia"/>
                <w:color w:val="auto"/>
                <w:sz w:val="24"/>
                <w:szCs w:val="24"/>
                <w:lang w:eastAsia="zh-CN"/>
              </w:rPr>
            </w:pPr>
          </w:p>
          <w:p w14:paraId="671DC878">
            <w:pPr>
              <w:spacing w:line="360" w:lineRule="auto"/>
              <w:jc w:val="center"/>
              <w:rPr>
                <w:rFonts w:asciiTheme="minorEastAsia" w:hAnsiTheme="minorEastAsia" w:eastAsiaTheme="minorEastAsia" w:cstheme="minorEastAsia"/>
                <w:color w:val="auto"/>
                <w:sz w:val="24"/>
                <w:szCs w:val="24"/>
                <w:lang w:eastAsia="zh-CN"/>
              </w:rPr>
            </w:pPr>
          </w:p>
          <w:p w14:paraId="55A0A266">
            <w:pPr>
              <w:pStyle w:val="13"/>
              <w:spacing w:before="78" w:line="360" w:lineRule="auto"/>
              <w:ind w:left="117"/>
              <w:jc w:val="center"/>
              <w:rPr>
                <w:rFonts w:asciiTheme="minorEastAsia" w:hAnsiTheme="minorEastAsia" w:eastAsiaTheme="minorEastAsia" w:cstheme="minorEastAsia"/>
                <w:color w:val="auto"/>
                <w:spacing w:val="-3"/>
                <w:sz w:val="24"/>
                <w:szCs w:val="24"/>
              </w:rPr>
            </w:pPr>
            <w:r>
              <w:rPr>
                <w:rFonts w:hint="eastAsia" w:asciiTheme="minorEastAsia" w:hAnsiTheme="minorEastAsia" w:eastAsiaTheme="minorEastAsia" w:cstheme="minorEastAsia"/>
                <w:color w:val="auto"/>
                <w:spacing w:val="-3"/>
                <w:sz w:val="24"/>
                <w:szCs w:val="24"/>
              </w:rPr>
              <w:t>土壤</w:t>
            </w:r>
          </w:p>
        </w:tc>
        <w:tc>
          <w:tcPr>
            <w:tcW w:w="1015" w:type="dxa"/>
            <w:tcBorders>
              <w:right w:val="single" w:color="000000" w:sz="4" w:space="0"/>
            </w:tcBorders>
          </w:tcPr>
          <w:p w14:paraId="2EDA185E">
            <w:pPr>
              <w:spacing w:line="360" w:lineRule="auto"/>
              <w:rPr>
                <w:rFonts w:asciiTheme="minorEastAsia" w:hAnsiTheme="minorEastAsia" w:eastAsiaTheme="minorEastAsia" w:cstheme="minorEastAsia"/>
                <w:color w:val="auto"/>
                <w:sz w:val="24"/>
                <w:szCs w:val="24"/>
              </w:rPr>
            </w:pPr>
          </w:p>
          <w:p w14:paraId="1FCE58CE">
            <w:pPr>
              <w:spacing w:line="360" w:lineRule="auto"/>
              <w:rPr>
                <w:rFonts w:asciiTheme="minorEastAsia" w:hAnsiTheme="minorEastAsia" w:eastAsiaTheme="minorEastAsia" w:cstheme="minorEastAsia"/>
                <w:color w:val="auto"/>
                <w:sz w:val="24"/>
                <w:szCs w:val="24"/>
              </w:rPr>
            </w:pPr>
          </w:p>
          <w:p w14:paraId="35B93B31">
            <w:pPr>
              <w:pStyle w:val="13"/>
              <w:spacing w:before="78" w:line="360" w:lineRule="auto"/>
              <w:ind w:left="113"/>
              <w:rPr>
                <w:rFonts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pacing w:val="-1"/>
                <w:sz w:val="24"/>
                <w:szCs w:val="24"/>
              </w:rPr>
              <w:t>DW001</w:t>
            </w:r>
          </w:p>
          <w:p w14:paraId="7AA7BCF0">
            <w:pPr>
              <w:pStyle w:val="13"/>
              <w:spacing w:before="317" w:line="360" w:lineRule="auto"/>
              <w:ind w:left="119"/>
              <w:rPr>
                <w:rFonts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pacing w:val="-6"/>
                <w:sz w:val="24"/>
                <w:szCs w:val="24"/>
              </w:rPr>
              <w:t>生</w:t>
            </w:r>
            <w:r>
              <w:rPr>
                <w:rFonts w:hint="eastAsia" w:asciiTheme="minorEastAsia" w:hAnsiTheme="minorEastAsia" w:eastAsiaTheme="minorEastAsia" w:cstheme="minorEastAsia"/>
                <w:color w:val="auto"/>
                <w:spacing w:val="13"/>
                <w:sz w:val="24"/>
                <w:szCs w:val="24"/>
              </w:rPr>
              <w:t xml:space="preserve"> </w:t>
            </w:r>
            <w:r>
              <w:rPr>
                <w:rFonts w:hint="eastAsia" w:asciiTheme="minorEastAsia" w:hAnsiTheme="minorEastAsia" w:eastAsiaTheme="minorEastAsia" w:cstheme="minorEastAsia"/>
                <w:color w:val="auto"/>
                <w:spacing w:val="-6"/>
                <w:sz w:val="24"/>
                <w:szCs w:val="24"/>
              </w:rPr>
              <w:t>活</w:t>
            </w:r>
          </w:p>
          <w:p w14:paraId="455E7E72">
            <w:pPr>
              <w:pStyle w:val="13"/>
              <w:spacing w:before="303" w:line="360" w:lineRule="auto"/>
              <w:ind w:left="119"/>
              <w:rPr>
                <w:rFonts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pacing w:val="-6"/>
                <w:sz w:val="24"/>
                <w:szCs w:val="24"/>
              </w:rPr>
              <w:t>污</w:t>
            </w:r>
            <w:r>
              <w:rPr>
                <w:rFonts w:hint="eastAsia" w:asciiTheme="minorEastAsia" w:hAnsiTheme="minorEastAsia" w:eastAsiaTheme="minorEastAsia" w:cstheme="minorEastAsia"/>
                <w:color w:val="auto"/>
                <w:spacing w:val="12"/>
                <w:sz w:val="24"/>
                <w:szCs w:val="24"/>
              </w:rPr>
              <w:t xml:space="preserve"> </w:t>
            </w:r>
            <w:r>
              <w:rPr>
                <w:rFonts w:hint="eastAsia" w:asciiTheme="minorEastAsia" w:hAnsiTheme="minorEastAsia" w:eastAsiaTheme="minorEastAsia" w:cstheme="minorEastAsia"/>
                <w:color w:val="auto"/>
                <w:spacing w:val="-6"/>
                <w:sz w:val="24"/>
                <w:szCs w:val="24"/>
              </w:rPr>
              <w:t>水</w:t>
            </w:r>
          </w:p>
          <w:p w14:paraId="61D1F087">
            <w:pPr>
              <w:pStyle w:val="13"/>
              <w:spacing w:before="308" w:line="360" w:lineRule="auto"/>
              <w:ind w:left="153" w:right="299" w:hanging="36"/>
              <w:rPr>
                <w:rFonts w:asciiTheme="minorEastAsia" w:hAnsiTheme="minorEastAsia" w:eastAsiaTheme="minorEastAsia" w:cstheme="minorEastAsia"/>
                <w:color w:val="auto"/>
                <w:spacing w:val="-10"/>
                <w:sz w:val="24"/>
                <w:szCs w:val="24"/>
              </w:rPr>
            </w:pPr>
            <w:r>
              <w:rPr>
                <w:rFonts w:hint="eastAsia" w:asciiTheme="minorEastAsia" w:hAnsiTheme="minorEastAsia" w:eastAsiaTheme="minorEastAsia" w:cstheme="minorEastAsia"/>
                <w:color w:val="auto"/>
                <w:spacing w:val="-10"/>
                <w:sz w:val="24"/>
                <w:szCs w:val="24"/>
              </w:rPr>
              <w:t>排</w:t>
            </w:r>
            <w:r>
              <w:rPr>
                <w:rFonts w:hint="eastAsia" w:asciiTheme="minorEastAsia" w:hAnsiTheme="minorEastAsia" w:eastAsiaTheme="minorEastAsia" w:cstheme="minorEastAsia"/>
                <w:color w:val="auto"/>
                <w:spacing w:val="9"/>
                <w:sz w:val="24"/>
                <w:szCs w:val="24"/>
              </w:rPr>
              <w:t xml:space="preserve"> </w:t>
            </w:r>
            <w:r>
              <w:rPr>
                <w:rFonts w:hint="eastAsia" w:asciiTheme="minorEastAsia" w:hAnsiTheme="minorEastAsia" w:eastAsiaTheme="minorEastAsia" w:cstheme="minorEastAsia"/>
                <w:color w:val="auto"/>
                <w:spacing w:val="-10"/>
                <w:sz w:val="24"/>
                <w:szCs w:val="24"/>
              </w:rPr>
              <w:t>放</w:t>
            </w:r>
            <w:r>
              <w:rPr>
                <w:rFonts w:hint="eastAsia" w:asciiTheme="minorEastAsia" w:hAnsiTheme="minorEastAsia" w:eastAsiaTheme="minorEastAsia" w:cstheme="minorEastAsia"/>
                <w:color w:val="auto"/>
                <w:sz w:val="24"/>
                <w:szCs w:val="24"/>
              </w:rPr>
              <w:t>口</w:t>
            </w:r>
          </w:p>
        </w:tc>
        <w:tc>
          <w:tcPr>
            <w:tcW w:w="2497" w:type="dxa"/>
            <w:tcBorders>
              <w:left w:val="single" w:color="000000" w:sz="4" w:space="0"/>
            </w:tcBorders>
          </w:tcPr>
          <w:p w14:paraId="7B162D53">
            <w:pPr>
              <w:pStyle w:val="13"/>
              <w:spacing w:before="234" w:line="360" w:lineRule="auto"/>
              <w:ind w:left="112"/>
              <w:rPr>
                <w:rFonts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pacing w:val="-7"/>
                <w:sz w:val="24"/>
                <w:szCs w:val="24"/>
                <w:lang w:eastAsia="zh-CN"/>
              </w:rPr>
              <w:t>pH</w:t>
            </w:r>
            <w:r>
              <w:rPr>
                <w:rFonts w:hint="eastAsia" w:asciiTheme="minorEastAsia" w:hAnsiTheme="minorEastAsia" w:eastAsiaTheme="minorEastAsia" w:cstheme="minorEastAsia"/>
                <w:color w:val="auto"/>
                <w:spacing w:val="-51"/>
                <w:sz w:val="24"/>
                <w:szCs w:val="24"/>
                <w:lang w:eastAsia="zh-CN"/>
              </w:rPr>
              <w:t xml:space="preserve"> </w:t>
            </w:r>
            <w:r>
              <w:rPr>
                <w:rFonts w:hint="eastAsia" w:asciiTheme="minorEastAsia" w:hAnsiTheme="minorEastAsia" w:eastAsiaTheme="minorEastAsia" w:cstheme="minorEastAsia"/>
                <w:color w:val="auto"/>
                <w:spacing w:val="-7"/>
                <w:sz w:val="24"/>
                <w:szCs w:val="24"/>
                <w:lang w:eastAsia="zh-CN"/>
              </w:rPr>
              <w:t>值、总氮、总磷、</w:t>
            </w:r>
          </w:p>
          <w:p w14:paraId="5FAB995A">
            <w:pPr>
              <w:pStyle w:val="13"/>
              <w:spacing w:before="313" w:line="360" w:lineRule="auto"/>
              <w:ind w:left="115"/>
              <w:rPr>
                <w:rFonts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pacing w:val="-10"/>
                <w:sz w:val="24"/>
                <w:szCs w:val="24"/>
                <w:lang w:eastAsia="zh-CN"/>
              </w:rPr>
              <w:t>氨氮、动植物油、化</w:t>
            </w:r>
          </w:p>
          <w:p w14:paraId="574459AF">
            <w:pPr>
              <w:pStyle w:val="13"/>
              <w:spacing w:before="305" w:line="360" w:lineRule="auto"/>
              <w:ind w:left="120"/>
              <w:rPr>
                <w:rFonts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pacing w:val="-5"/>
                <w:sz w:val="24"/>
                <w:szCs w:val="24"/>
                <w:lang w:eastAsia="zh-CN"/>
              </w:rPr>
              <w:t>学需氧量、悬浮物、</w:t>
            </w:r>
          </w:p>
          <w:p w14:paraId="41E80DC3">
            <w:pPr>
              <w:pStyle w:val="13"/>
              <w:spacing w:before="308" w:line="360" w:lineRule="auto"/>
              <w:ind w:left="119"/>
              <w:rPr>
                <w:rFonts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pacing w:val="-11"/>
                <w:sz w:val="24"/>
                <w:szCs w:val="24"/>
                <w:lang w:eastAsia="zh-CN"/>
              </w:rPr>
              <w:t>五日生化需氧量、流</w:t>
            </w:r>
          </w:p>
          <w:p w14:paraId="5D82731B">
            <w:pPr>
              <w:pStyle w:val="13"/>
              <w:spacing w:before="306" w:line="360" w:lineRule="auto"/>
              <w:ind w:left="115"/>
              <w:rPr>
                <w:rFonts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pacing w:val="-25"/>
                <w:sz w:val="24"/>
                <w:szCs w:val="24"/>
                <w:lang w:eastAsia="zh-CN"/>
              </w:rPr>
              <w:t>量、总锌、总铜、铊、</w:t>
            </w:r>
          </w:p>
          <w:p w14:paraId="3EC8656D">
            <w:pPr>
              <w:pStyle w:val="13"/>
              <w:spacing w:before="305" w:line="360" w:lineRule="auto"/>
              <w:ind w:left="114"/>
              <w:rPr>
                <w:rFonts w:asciiTheme="minorEastAsia" w:hAnsiTheme="minorEastAsia" w:eastAsiaTheme="minorEastAsia" w:cstheme="minorEastAsia"/>
                <w:color w:val="auto"/>
                <w:spacing w:val="-5"/>
                <w:sz w:val="24"/>
                <w:szCs w:val="24"/>
                <w:lang w:eastAsia="zh-CN"/>
              </w:rPr>
            </w:pPr>
            <w:r>
              <w:rPr>
                <w:rFonts w:hint="eastAsia" w:asciiTheme="minorEastAsia" w:hAnsiTheme="minorEastAsia" w:eastAsiaTheme="minorEastAsia" w:cstheme="minorEastAsia"/>
                <w:color w:val="auto"/>
                <w:sz w:val="24"/>
                <w:szCs w:val="24"/>
                <w:lang w:eastAsia="zh-CN"/>
              </w:rPr>
              <w:t>锑</w:t>
            </w:r>
          </w:p>
        </w:tc>
        <w:tc>
          <w:tcPr>
            <w:tcW w:w="1423" w:type="dxa"/>
          </w:tcPr>
          <w:p w14:paraId="4F00CFD0">
            <w:pPr>
              <w:spacing w:line="360" w:lineRule="auto"/>
              <w:rPr>
                <w:rFonts w:asciiTheme="minorEastAsia" w:hAnsiTheme="minorEastAsia" w:eastAsiaTheme="minorEastAsia" w:cstheme="minorEastAsia"/>
                <w:color w:val="auto"/>
                <w:sz w:val="24"/>
                <w:szCs w:val="24"/>
                <w:lang w:eastAsia="zh-CN"/>
              </w:rPr>
            </w:pPr>
          </w:p>
          <w:p w14:paraId="1D1DA897">
            <w:pPr>
              <w:pStyle w:val="13"/>
              <w:spacing w:before="78" w:line="360" w:lineRule="auto"/>
              <w:ind w:left="140"/>
              <w:rPr>
                <w:rFonts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pacing w:val="2"/>
                <w:sz w:val="24"/>
                <w:szCs w:val="24"/>
                <w:lang w:eastAsia="zh-CN"/>
              </w:rPr>
              <w:t>同江西源</w:t>
            </w:r>
          </w:p>
          <w:p w14:paraId="2099D4E7">
            <w:pPr>
              <w:pStyle w:val="13"/>
              <w:spacing w:before="304" w:line="360" w:lineRule="auto"/>
              <w:ind w:left="118"/>
              <w:rPr>
                <w:rFonts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pacing w:val="8"/>
                <w:sz w:val="24"/>
                <w:szCs w:val="24"/>
                <w:lang w:eastAsia="zh-CN"/>
              </w:rPr>
              <w:t>丰有色金</w:t>
            </w:r>
          </w:p>
          <w:p w14:paraId="10829FE2">
            <w:pPr>
              <w:pStyle w:val="13"/>
              <w:spacing w:before="304" w:line="360" w:lineRule="auto"/>
              <w:ind w:left="119"/>
              <w:rPr>
                <w:rFonts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pacing w:val="7"/>
                <w:sz w:val="24"/>
                <w:szCs w:val="24"/>
                <w:lang w:eastAsia="zh-CN"/>
              </w:rPr>
              <w:t>属有限公</w:t>
            </w:r>
          </w:p>
          <w:p w14:paraId="0C3D7167">
            <w:pPr>
              <w:pStyle w:val="13"/>
              <w:spacing w:before="307" w:line="360" w:lineRule="auto"/>
              <w:ind w:left="118" w:right="307" w:firstLine="8"/>
              <w:rPr>
                <w:rFonts w:asciiTheme="minorEastAsia" w:hAnsiTheme="minorEastAsia" w:eastAsiaTheme="minorEastAsia" w:cstheme="minorEastAsia"/>
                <w:color w:val="auto"/>
                <w:spacing w:val="6"/>
                <w:sz w:val="24"/>
                <w:szCs w:val="24"/>
              </w:rPr>
            </w:pPr>
            <w:r>
              <w:rPr>
                <w:rFonts w:hint="eastAsia" w:asciiTheme="minorEastAsia" w:hAnsiTheme="minorEastAsia" w:eastAsiaTheme="minorEastAsia" w:cstheme="minorEastAsia"/>
                <w:color w:val="auto"/>
                <w:spacing w:val="6"/>
                <w:sz w:val="24"/>
                <w:szCs w:val="24"/>
              </w:rPr>
              <w:t>司监督性</w:t>
            </w:r>
            <w:r>
              <w:rPr>
                <w:rFonts w:hint="eastAsia" w:asciiTheme="minorEastAsia" w:hAnsiTheme="minorEastAsia" w:eastAsiaTheme="minorEastAsia" w:cstheme="minorEastAsia"/>
                <w:color w:val="auto"/>
                <w:spacing w:val="-3"/>
                <w:sz w:val="24"/>
                <w:szCs w:val="24"/>
              </w:rPr>
              <w:t>监测</w:t>
            </w:r>
          </w:p>
        </w:tc>
      </w:tr>
      <w:tr w14:paraId="05E7F50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11" w:hRule="atLeast"/>
        </w:trPr>
        <w:tc>
          <w:tcPr>
            <w:tcW w:w="660" w:type="dxa"/>
          </w:tcPr>
          <w:p w14:paraId="31687CCC">
            <w:pPr>
              <w:spacing w:line="360" w:lineRule="auto"/>
              <w:rPr>
                <w:rFonts w:asciiTheme="minorEastAsia" w:hAnsiTheme="minorEastAsia" w:eastAsiaTheme="minorEastAsia" w:cstheme="minorEastAsia"/>
                <w:color w:val="auto"/>
                <w:sz w:val="24"/>
                <w:szCs w:val="24"/>
              </w:rPr>
            </w:pPr>
          </w:p>
          <w:p w14:paraId="0A08D72E">
            <w:pPr>
              <w:spacing w:line="360" w:lineRule="auto"/>
              <w:rPr>
                <w:rFonts w:asciiTheme="minorEastAsia" w:hAnsiTheme="minorEastAsia" w:eastAsiaTheme="minorEastAsia" w:cstheme="minorEastAsia"/>
                <w:color w:val="auto"/>
                <w:sz w:val="24"/>
                <w:szCs w:val="24"/>
              </w:rPr>
            </w:pPr>
          </w:p>
          <w:p w14:paraId="66BDAF77">
            <w:pPr>
              <w:spacing w:line="360" w:lineRule="auto"/>
              <w:rPr>
                <w:rFonts w:asciiTheme="minorEastAsia" w:hAnsiTheme="minorEastAsia" w:eastAsiaTheme="minorEastAsia" w:cstheme="minorEastAsia"/>
                <w:color w:val="auto"/>
                <w:sz w:val="24"/>
                <w:szCs w:val="24"/>
              </w:rPr>
            </w:pPr>
          </w:p>
          <w:p w14:paraId="6691FCD8">
            <w:pPr>
              <w:spacing w:line="360" w:lineRule="auto"/>
              <w:rPr>
                <w:rFonts w:asciiTheme="minorEastAsia" w:hAnsiTheme="minorEastAsia" w:eastAsiaTheme="minorEastAsia" w:cstheme="minorEastAsia"/>
                <w:color w:val="auto"/>
                <w:sz w:val="24"/>
                <w:szCs w:val="24"/>
              </w:rPr>
            </w:pPr>
          </w:p>
          <w:p w14:paraId="4D481373">
            <w:pPr>
              <w:spacing w:line="360" w:lineRule="auto"/>
              <w:rPr>
                <w:rFonts w:asciiTheme="minorEastAsia" w:hAnsiTheme="minorEastAsia" w:eastAsiaTheme="minorEastAsia" w:cstheme="minorEastAsia"/>
                <w:color w:val="auto"/>
                <w:sz w:val="24"/>
                <w:szCs w:val="24"/>
              </w:rPr>
            </w:pPr>
          </w:p>
          <w:p w14:paraId="6450FD0E">
            <w:pPr>
              <w:spacing w:line="360" w:lineRule="auto"/>
              <w:rPr>
                <w:rFonts w:asciiTheme="minorEastAsia" w:hAnsiTheme="minorEastAsia" w:eastAsiaTheme="minorEastAsia" w:cstheme="minorEastAsia"/>
                <w:color w:val="auto"/>
                <w:sz w:val="24"/>
                <w:szCs w:val="24"/>
              </w:rPr>
            </w:pPr>
          </w:p>
          <w:p w14:paraId="12076165">
            <w:pPr>
              <w:spacing w:line="360" w:lineRule="auto"/>
              <w:rPr>
                <w:rFonts w:asciiTheme="minorEastAsia" w:hAnsiTheme="minorEastAsia" w:eastAsiaTheme="minorEastAsia" w:cstheme="minorEastAsia"/>
                <w:color w:val="auto"/>
                <w:sz w:val="24"/>
                <w:szCs w:val="24"/>
              </w:rPr>
            </w:pPr>
          </w:p>
          <w:p w14:paraId="5D1E2167">
            <w:pPr>
              <w:spacing w:line="360" w:lineRule="auto"/>
              <w:rPr>
                <w:rFonts w:asciiTheme="minorEastAsia" w:hAnsiTheme="minorEastAsia" w:eastAsiaTheme="minorEastAsia" w:cstheme="minorEastAsia"/>
                <w:color w:val="auto"/>
                <w:sz w:val="24"/>
                <w:szCs w:val="24"/>
              </w:rPr>
            </w:pPr>
          </w:p>
          <w:p w14:paraId="050FF575">
            <w:pPr>
              <w:spacing w:line="360" w:lineRule="auto"/>
              <w:rPr>
                <w:rFonts w:asciiTheme="minorEastAsia" w:hAnsiTheme="minorEastAsia" w:eastAsiaTheme="minorEastAsia" w:cstheme="minorEastAsia"/>
                <w:color w:val="auto"/>
                <w:sz w:val="24"/>
                <w:szCs w:val="24"/>
              </w:rPr>
            </w:pPr>
          </w:p>
          <w:p w14:paraId="0B78E077">
            <w:pPr>
              <w:pStyle w:val="13"/>
              <w:spacing w:before="78" w:line="360" w:lineRule="auto"/>
              <w:ind w:left="122"/>
              <w:rPr>
                <w:rFonts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3</w:t>
            </w:r>
          </w:p>
        </w:tc>
        <w:tc>
          <w:tcPr>
            <w:tcW w:w="1134" w:type="dxa"/>
          </w:tcPr>
          <w:p w14:paraId="2FACF224">
            <w:pPr>
              <w:spacing w:line="360" w:lineRule="auto"/>
              <w:rPr>
                <w:rFonts w:asciiTheme="minorEastAsia" w:hAnsiTheme="minorEastAsia" w:eastAsiaTheme="minorEastAsia" w:cstheme="minorEastAsia"/>
                <w:color w:val="auto"/>
                <w:sz w:val="24"/>
                <w:szCs w:val="24"/>
              </w:rPr>
            </w:pPr>
          </w:p>
          <w:p w14:paraId="04D6B3C3">
            <w:pPr>
              <w:spacing w:line="360" w:lineRule="auto"/>
              <w:rPr>
                <w:rFonts w:asciiTheme="minorEastAsia" w:hAnsiTheme="minorEastAsia" w:eastAsiaTheme="minorEastAsia" w:cstheme="minorEastAsia"/>
                <w:color w:val="auto"/>
                <w:sz w:val="24"/>
                <w:szCs w:val="24"/>
              </w:rPr>
            </w:pPr>
          </w:p>
          <w:p w14:paraId="4F6224D7">
            <w:pPr>
              <w:spacing w:line="360" w:lineRule="auto"/>
              <w:rPr>
                <w:rFonts w:asciiTheme="minorEastAsia" w:hAnsiTheme="minorEastAsia" w:eastAsiaTheme="minorEastAsia" w:cstheme="minorEastAsia"/>
                <w:color w:val="auto"/>
                <w:sz w:val="24"/>
                <w:szCs w:val="24"/>
              </w:rPr>
            </w:pPr>
          </w:p>
          <w:p w14:paraId="1E37B3A4">
            <w:pPr>
              <w:spacing w:line="360" w:lineRule="auto"/>
              <w:rPr>
                <w:rFonts w:asciiTheme="minorEastAsia" w:hAnsiTheme="minorEastAsia" w:eastAsiaTheme="minorEastAsia" w:cstheme="minorEastAsia"/>
                <w:color w:val="auto"/>
                <w:sz w:val="24"/>
                <w:szCs w:val="24"/>
              </w:rPr>
            </w:pPr>
          </w:p>
          <w:p w14:paraId="6D079D8B">
            <w:pPr>
              <w:spacing w:line="360" w:lineRule="auto"/>
              <w:rPr>
                <w:rFonts w:asciiTheme="minorEastAsia" w:hAnsiTheme="minorEastAsia" w:eastAsiaTheme="minorEastAsia" w:cstheme="minorEastAsia"/>
                <w:color w:val="auto"/>
                <w:sz w:val="24"/>
                <w:szCs w:val="24"/>
              </w:rPr>
            </w:pPr>
          </w:p>
          <w:p w14:paraId="2AD13781">
            <w:pPr>
              <w:spacing w:line="360" w:lineRule="auto"/>
              <w:rPr>
                <w:rFonts w:asciiTheme="minorEastAsia" w:hAnsiTheme="minorEastAsia" w:eastAsiaTheme="minorEastAsia" w:cstheme="minorEastAsia"/>
                <w:color w:val="auto"/>
                <w:sz w:val="24"/>
                <w:szCs w:val="24"/>
              </w:rPr>
            </w:pPr>
          </w:p>
          <w:p w14:paraId="42115190">
            <w:pPr>
              <w:spacing w:line="360" w:lineRule="auto"/>
              <w:rPr>
                <w:rFonts w:asciiTheme="minorEastAsia" w:hAnsiTheme="minorEastAsia" w:eastAsiaTheme="minorEastAsia" w:cstheme="minorEastAsia"/>
                <w:color w:val="auto"/>
                <w:sz w:val="24"/>
                <w:szCs w:val="24"/>
              </w:rPr>
            </w:pPr>
          </w:p>
          <w:p w14:paraId="34EFC8A7">
            <w:pPr>
              <w:spacing w:line="360" w:lineRule="auto"/>
              <w:rPr>
                <w:rFonts w:asciiTheme="minorEastAsia" w:hAnsiTheme="minorEastAsia" w:eastAsiaTheme="minorEastAsia" w:cstheme="minorEastAsia"/>
                <w:color w:val="auto"/>
                <w:sz w:val="24"/>
                <w:szCs w:val="24"/>
              </w:rPr>
            </w:pPr>
          </w:p>
          <w:p w14:paraId="2CBAC7CB">
            <w:pPr>
              <w:spacing w:line="360" w:lineRule="auto"/>
              <w:rPr>
                <w:rFonts w:asciiTheme="minorEastAsia" w:hAnsiTheme="minorEastAsia" w:eastAsiaTheme="minorEastAsia" w:cstheme="minorEastAsia"/>
                <w:color w:val="auto"/>
                <w:sz w:val="24"/>
                <w:szCs w:val="24"/>
              </w:rPr>
            </w:pPr>
          </w:p>
          <w:p w14:paraId="458C1CBE">
            <w:pPr>
              <w:pStyle w:val="13"/>
              <w:spacing w:before="78" w:line="360" w:lineRule="auto"/>
              <w:ind w:left="114"/>
              <w:rPr>
                <w:rFonts w:asciiTheme="minorEastAsia" w:hAnsiTheme="minorEastAsia" w:eastAsiaTheme="minorEastAsia" w:cstheme="minorEastAsia"/>
                <w:color w:val="auto"/>
                <w:spacing w:val="-3"/>
                <w:sz w:val="24"/>
                <w:szCs w:val="24"/>
              </w:rPr>
            </w:pPr>
            <w:r>
              <w:rPr>
                <w:rFonts w:hint="eastAsia" w:asciiTheme="minorEastAsia" w:hAnsiTheme="minorEastAsia" w:eastAsiaTheme="minorEastAsia" w:cstheme="minorEastAsia"/>
                <w:color w:val="auto"/>
                <w:spacing w:val="-3"/>
                <w:sz w:val="24"/>
                <w:szCs w:val="24"/>
              </w:rPr>
              <w:t>永丰县</w:t>
            </w:r>
          </w:p>
        </w:tc>
        <w:tc>
          <w:tcPr>
            <w:tcW w:w="1073" w:type="dxa"/>
          </w:tcPr>
          <w:p w14:paraId="7DA507C9">
            <w:pPr>
              <w:spacing w:line="360" w:lineRule="auto"/>
              <w:rPr>
                <w:rFonts w:asciiTheme="minorEastAsia" w:hAnsiTheme="minorEastAsia" w:eastAsiaTheme="minorEastAsia" w:cstheme="minorEastAsia"/>
                <w:color w:val="auto"/>
                <w:sz w:val="24"/>
                <w:szCs w:val="24"/>
                <w:lang w:eastAsia="zh-CN"/>
              </w:rPr>
            </w:pPr>
          </w:p>
          <w:p w14:paraId="2D5F62D8">
            <w:pPr>
              <w:spacing w:line="360" w:lineRule="auto"/>
              <w:rPr>
                <w:rFonts w:asciiTheme="minorEastAsia" w:hAnsiTheme="minorEastAsia" w:eastAsiaTheme="minorEastAsia" w:cstheme="minorEastAsia"/>
                <w:color w:val="auto"/>
                <w:sz w:val="24"/>
                <w:szCs w:val="24"/>
                <w:lang w:eastAsia="zh-CN"/>
              </w:rPr>
            </w:pPr>
          </w:p>
          <w:p w14:paraId="1847C8E1">
            <w:pPr>
              <w:spacing w:line="360" w:lineRule="auto"/>
              <w:rPr>
                <w:rFonts w:asciiTheme="minorEastAsia" w:hAnsiTheme="minorEastAsia" w:eastAsiaTheme="minorEastAsia" w:cstheme="minorEastAsia"/>
                <w:color w:val="auto"/>
                <w:sz w:val="24"/>
                <w:szCs w:val="24"/>
                <w:lang w:eastAsia="zh-CN"/>
              </w:rPr>
            </w:pPr>
          </w:p>
          <w:p w14:paraId="345B2DAA">
            <w:pPr>
              <w:pStyle w:val="13"/>
              <w:spacing w:before="78" w:line="360" w:lineRule="auto"/>
              <w:ind w:left="114"/>
              <w:rPr>
                <w:rFonts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pacing w:val="-6"/>
                <w:sz w:val="24"/>
                <w:szCs w:val="24"/>
                <w:lang w:eastAsia="zh-CN"/>
              </w:rPr>
              <w:t>江</w:t>
            </w:r>
            <w:r>
              <w:rPr>
                <w:rFonts w:hint="eastAsia" w:asciiTheme="minorEastAsia" w:hAnsiTheme="minorEastAsia" w:eastAsiaTheme="minorEastAsia" w:cstheme="minorEastAsia"/>
                <w:color w:val="auto"/>
                <w:spacing w:val="75"/>
                <w:sz w:val="24"/>
                <w:szCs w:val="24"/>
                <w:lang w:eastAsia="zh-CN"/>
              </w:rPr>
              <w:t xml:space="preserve"> </w:t>
            </w:r>
            <w:r>
              <w:rPr>
                <w:rFonts w:hint="eastAsia" w:asciiTheme="minorEastAsia" w:hAnsiTheme="minorEastAsia" w:eastAsiaTheme="minorEastAsia" w:cstheme="minorEastAsia"/>
                <w:color w:val="auto"/>
                <w:spacing w:val="-6"/>
                <w:sz w:val="24"/>
                <w:szCs w:val="24"/>
                <w:lang w:eastAsia="zh-CN"/>
              </w:rPr>
              <w:t>西</w:t>
            </w:r>
          </w:p>
          <w:p w14:paraId="4FC63151">
            <w:pPr>
              <w:pStyle w:val="13"/>
              <w:spacing w:before="302" w:line="360" w:lineRule="auto"/>
              <w:ind w:left="118"/>
              <w:rPr>
                <w:rFonts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pacing w:val="-8"/>
                <w:sz w:val="24"/>
                <w:szCs w:val="24"/>
                <w:lang w:eastAsia="zh-CN"/>
              </w:rPr>
              <w:t>忠</w:t>
            </w:r>
            <w:r>
              <w:rPr>
                <w:rFonts w:hint="eastAsia" w:asciiTheme="minorEastAsia" w:hAnsiTheme="minorEastAsia" w:eastAsiaTheme="minorEastAsia" w:cstheme="minorEastAsia"/>
                <w:color w:val="auto"/>
                <w:spacing w:val="92"/>
                <w:sz w:val="24"/>
                <w:szCs w:val="24"/>
                <w:lang w:eastAsia="zh-CN"/>
              </w:rPr>
              <w:t xml:space="preserve"> </w:t>
            </w:r>
            <w:r>
              <w:rPr>
                <w:rFonts w:hint="eastAsia" w:asciiTheme="minorEastAsia" w:hAnsiTheme="minorEastAsia" w:eastAsiaTheme="minorEastAsia" w:cstheme="minorEastAsia"/>
                <w:color w:val="auto"/>
                <w:spacing w:val="-8"/>
                <w:sz w:val="24"/>
                <w:szCs w:val="24"/>
                <w:lang w:eastAsia="zh-CN"/>
              </w:rPr>
              <w:t>明</w:t>
            </w:r>
          </w:p>
          <w:p w14:paraId="60B70A0D">
            <w:pPr>
              <w:pStyle w:val="13"/>
              <w:spacing w:before="305" w:line="360" w:lineRule="auto"/>
              <w:ind w:left="142"/>
              <w:rPr>
                <w:rFonts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pacing w:val="-19"/>
                <w:sz w:val="24"/>
                <w:szCs w:val="24"/>
                <w:lang w:eastAsia="zh-CN"/>
              </w:rPr>
              <w:t>电</w:t>
            </w:r>
            <w:r>
              <w:rPr>
                <w:rFonts w:hint="eastAsia" w:asciiTheme="minorEastAsia" w:hAnsiTheme="minorEastAsia" w:eastAsiaTheme="minorEastAsia" w:cstheme="minorEastAsia"/>
                <w:color w:val="auto"/>
                <w:spacing w:val="70"/>
                <w:sz w:val="24"/>
                <w:szCs w:val="24"/>
                <w:lang w:eastAsia="zh-CN"/>
              </w:rPr>
              <w:t xml:space="preserve"> </w:t>
            </w:r>
            <w:r>
              <w:rPr>
                <w:rFonts w:hint="eastAsia" w:asciiTheme="minorEastAsia" w:hAnsiTheme="minorEastAsia" w:eastAsiaTheme="minorEastAsia" w:cstheme="minorEastAsia"/>
                <w:color w:val="auto"/>
                <w:spacing w:val="-19"/>
                <w:sz w:val="24"/>
                <w:szCs w:val="24"/>
                <w:lang w:eastAsia="zh-CN"/>
              </w:rPr>
              <w:t>子</w:t>
            </w:r>
          </w:p>
          <w:p w14:paraId="0690495D">
            <w:pPr>
              <w:pStyle w:val="13"/>
              <w:spacing w:before="303" w:line="360" w:lineRule="auto"/>
              <w:ind w:left="113"/>
              <w:rPr>
                <w:rFonts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pacing w:val="-5"/>
                <w:sz w:val="24"/>
                <w:szCs w:val="24"/>
                <w:lang w:eastAsia="zh-CN"/>
              </w:rPr>
              <w:t>配</w:t>
            </w:r>
            <w:r>
              <w:rPr>
                <w:rFonts w:hint="eastAsia" w:asciiTheme="minorEastAsia" w:hAnsiTheme="minorEastAsia" w:eastAsiaTheme="minorEastAsia" w:cstheme="minorEastAsia"/>
                <w:color w:val="auto"/>
                <w:spacing w:val="68"/>
                <w:sz w:val="24"/>
                <w:szCs w:val="24"/>
                <w:lang w:eastAsia="zh-CN"/>
              </w:rPr>
              <w:t xml:space="preserve"> </w:t>
            </w:r>
            <w:r>
              <w:rPr>
                <w:rFonts w:hint="eastAsia" w:asciiTheme="minorEastAsia" w:hAnsiTheme="minorEastAsia" w:eastAsiaTheme="minorEastAsia" w:cstheme="minorEastAsia"/>
                <w:color w:val="auto"/>
                <w:spacing w:val="-5"/>
                <w:sz w:val="24"/>
                <w:szCs w:val="24"/>
                <w:lang w:eastAsia="zh-CN"/>
              </w:rPr>
              <w:t>件</w:t>
            </w:r>
          </w:p>
          <w:p w14:paraId="7F12E068">
            <w:pPr>
              <w:pStyle w:val="13"/>
              <w:spacing w:before="305" w:line="360" w:lineRule="auto"/>
              <w:ind w:left="114"/>
              <w:rPr>
                <w:rFonts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pacing w:val="-6"/>
                <w:sz w:val="24"/>
                <w:szCs w:val="24"/>
                <w:lang w:eastAsia="zh-CN"/>
              </w:rPr>
              <w:t>有</w:t>
            </w:r>
            <w:r>
              <w:rPr>
                <w:rFonts w:hint="eastAsia" w:asciiTheme="minorEastAsia" w:hAnsiTheme="minorEastAsia" w:eastAsiaTheme="minorEastAsia" w:cstheme="minorEastAsia"/>
                <w:color w:val="auto"/>
                <w:spacing w:val="86"/>
                <w:sz w:val="24"/>
                <w:szCs w:val="24"/>
                <w:lang w:eastAsia="zh-CN"/>
              </w:rPr>
              <w:t xml:space="preserve"> </w:t>
            </w:r>
            <w:r>
              <w:rPr>
                <w:rFonts w:hint="eastAsia" w:asciiTheme="minorEastAsia" w:hAnsiTheme="minorEastAsia" w:eastAsiaTheme="minorEastAsia" w:cstheme="minorEastAsia"/>
                <w:color w:val="auto"/>
                <w:spacing w:val="-6"/>
                <w:sz w:val="24"/>
                <w:szCs w:val="24"/>
                <w:lang w:eastAsia="zh-CN"/>
              </w:rPr>
              <w:t>限</w:t>
            </w:r>
          </w:p>
          <w:p w14:paraId="53A5CAF8">
            <w:pPr>
              <w:pStyle w:val="13"/>
              <w:spacing w:before="306" w:line="360" w:lineRule="auto"/>
              <w:ind w:left="121"/>
              <w:rPr>
                <w:rFonts w:asciiTheme="minorEastAsia" w:hAnsiTheme="minorEastAsia" w:eastAsiaTheme="minorEastAsia" w:cstheme="minorEastAsia"/>
                <w:color w:val="auto"/>
                <w:spacing w:val="-5"/>
                <w:sz w:val="24"/>
                <w:szCs w:val="24"/>
                <w:lang w:eastAsia="zh-CN"/>
              </w:rPr>
            </w:pPr>
            <w:r>
              <w:rPr>
                <w:rFonts w:hint="eastAsia" w:asciiTheme="minorEastAsia" w:hAnsiTheme="minorEastAsia" w:eastAsiaTheme="minorEastAsia" w:cstheme="minorEastAsia"/>
                <w:color w:val="auto"/>
                <w:spacing w:val="-5"/>
                <w:sz w:val="24"/>
                <w:szCs w:val="24"/>
                <w:lang w:eastAsia="zh-CN"/>
              </w:rPr>
              <w:t>公司</w:t>
            </w:r>
          </w:p>
        </w:tc>
        <w:tc>
          <w:tcPr>
            <w:tcW w:w="1492" w:type="dxa"/>
          </w:tcPr>
          <w:p w14:paraId="63EA106F">
            <w:pPr>
              <w:spacing w:line="360" w:lineRule="auto"/>
              <w:jc w:val="center"/>
              <w:rPr>
                <w:rFonts w:asciiTheme="minorEastAsia" w:hAnsiTheme="minorEastAsia" w:eastAsiaTheme="minorEastAsia" w:cstheme="minorEastAsia"/>
                <w:color w:val="auto"/>
                <w:sz w:val="24"/>
                <w:szCs w:val="24"/>
                <w:lang w:eastAsia="zh-CN"/>
              </w:rPr>
            </w:pPr>
          </w:p>
          <w:p w14:paraId="3A5372E5">
            <w:pPr>
              <w:spacing w:line="360" w:lineRule="auto"/>
              <w:jc w:val="center"/>
              <w:rPr>
                <w:rFonts w:asciiTheme="minorEastAsia" w:hAnsiTheme="minorEastAsia" w:eastAsiaTheme="minorEastAsia" w:cstheme="minorEastAsia"/>
                <w:color w:val="auto"/>
                <w:sz w:val="24"/>
                <w:szCs w:val="24"/>
                <w:lang w:eastAsia="zh-CN"/>
              </w:rPr>
            </w:pPr>
          </w:p>
          <w:p w14:paraId="5C5257F0">
            <w:pPr>
              <w:spacing w:line="360" w:lineRule="auto"/>
              <w:jc w:val="center"/>
              <w:rPr>
                <w:rFonts w:asciiTheme="minorEastAsia" w:hAnsiTheme="minorEastAsia" w:eastAsiaTheme="minorEastAsia" w:cstheme="minorEastAsia"/>
                <w:color w:val="auto"/>
                <w:sz w:val="24"/>
                <w:szCs w:val="24"/>
                <w:lang w:eastAsia="zh-CN"/>
              </w:rPr>
            </w:pPr>
          </w:p>
          <w:p w14:paraId="29E7F35B">
            <w:pPr>
              <w:spacing w:line="360" w:lineRule="auto"/>
              <w:jc w:val="center"/>
              <w:rPr>
                <w:rFonts w:asciiTheme="minorEastAsia" w:hAnsiTheme="minorEastAsia" w:eastAsiaTheme="minorEastAsia" w:cstheme="minorEastAsia"/>
                <w:color w:val="auto"/>
                <w:sz w:val="24"/>
                <w:szCs w:val="24"/>
                <w:lang w:eastAsia="zh-CN"/>
              </w:rPr>
            </w:pPr>
          </w:p>
          <w:p w14:paraId="7D2D760C">
            <w:pPr>
              <w:spacing w:line="360" w:lineRule="auto"/>
              <w:jc w:val="center"/>
              <w:rPr>
                <w:rFonts w:asciiTheme="minorEastAsia" w:hAnsiTheme="minorEastAsia" w:eastAsiaTheme="minorEastAsia" w:cstheme="minorEastAsia"/>
                <w:color w:val="auto"/>
                <w:sz w:val="24"/>
                <w:szCs w:val="24"/>
                <w:lang w:eastAsia="zh-CN"/>
              </w:rPr>
            </w:pPr>
          </w:p>
          <w:p w14:paraId="3A1B5B0D">
            <w:pPr>
              <w:spacing w:line="360" w:lineRule="auto"/>
              <w:jc w:val="center"/>
              <w:rPr>
                <w:rFonts w:asciiTheme="minorEastAsia" w:hAnsiTheme="minorEastAsia" w:eastAsiaTheme="minorEastAsia" w:cstheme="minorEastAsia"/>
                <w:color w:val="auto"/>
                <w:sz w:val="24"/>
                <w:szCs w:val="24"/>
                <w:lang w:eastAsia="zh-CN"/>
              </w:rPr>
            </w:pPr>
          </w:p>
          <w:p w14:paraId="32680CC2">
            <w:pPr>
              <w:spacing w:line="360" w:lineRule="auto"/>
              <w:jc w:val="center"/>
              <w:rPr>
                <w:rFonts w:asciiTheme="minorEastAsia" w:hAnsiTheme="minorEastAsia" w:eastAsiaTheme="minorEastAsia" w:cstheme="minorEastAsia"/>
                <w:color w:val="auto"/>
                <w:sz w:val="24"/>
                <w:szCs w:val="24"/>
                <w:lang w:eastAsia="zh-CN"/>
              </w:rPr>
            </w:pPr>
          </w:p>
          <w:p w14:paraId="7FE8B0B3">
            <w:pPr>
              <w:spacing w:line="360" w:lineRule="auto"/>
              <w:jc w:val="center"/>
              <w:rPr>
                <w:rFonts w:asciiTheme="minorEastAsia" w:hAnsiTheme="minorEastAsia" w:eastAsiaTheme="minorEastAsia" w:cstheme="minorEastAsia"/>
                <w:color w:val="auto"/>
                <w:sz w:val="24"/>
                <w:szCs w:val="24"/>
                <w:lang w:eastAsia="zh-CN"/>
              </w:rPr>
            </w:pPr>
          </w:p>
          <w:p w14:paraId="7F1B7358">
            <w:pPr>
              <w:spacing w:line="360" w:lineRule="auto"/>
              <w:jc w:val="center"/>
              <w:rPr>
                <w:rFonts w:asciiTheme="minorEastAsia" w:hAnsiTheme="minorEastAsia" w:eastAsiaTheme="minorEastAsia" w:cstheme="minorEastAsia"/>
                <w:color w:val="auto"/>
                <w:sz w:val="24"/>
                <w:szCs w:val="24"/>
                <w:lang w:eastAsia="zh-CN"/>
              </w:rPr>
            </w:pPr>
          </w:p>
          <w:p w14:paraId="4E825F25">
            <w:pPr>
              <w:pStyle w:val="13"/>
              <w:spacing w:before="78" w:line="360" w:lineRule="auto"/>
              <w:ind w:left="118"/>
              <w:jc w:val="center"/>
              <w:rPr>
                <w:rFonts w:asciiTheme="minorEastAsia" w:hAnsiTheme="minorEastAsia" w:eastAsiaTheme="minorEastAsia" w:cstheme="minorEastAsia"/>
                <w:color w:val="auto"/>
                <w:spacing w:val="-3"/>
                <w:sz w:val="24"/>
                <w:szCs w:val="24"/>
              </w:rPr>
            </w:pPr>
            <w:r>
              <w:rPr>
                <w:rFonts w:hint="eastAsia" w:asciiTheme="minorEastAsia" w:hAnsiTheme="minorEastAsia" w:eastAsiaTheme="minorEastAsia" w:cstheme="minorEastAsia"/>
                <w:color w:val="auto"/>
                <w:sz w:val="24"/>
                <w:szCs w:val="24"/>
              </w:rPr>
              <w:t>无</w:t>
            </w:r>
          </w:p>
        </w:tc>
        <w:tc>
          <w:tcPr>
            <w:tcW w:w="1015" w:type="dxa"/>
            <w:tcBorders>
              <w:right w:val="single" w:color="000000" w:sz="4" w:space="0"/>
            </w:tcBorders>
          </w:tcPr>
          <w:p w14:paraId="4CAFA06A">
            <w:pPr>
              <w:spacing w:line="360" w:lineRule="auto"/>
              <w:rPr>
                <w:rFonts w:asciiTheme="minorEastAsia" w:hAnsiTheme="minorEastAsia" w:eastAsiaTheme="minorEastAsia" w:cstheme="minorEastAsia"/>
                <w:color w:val="auto"/>
                <w:sz w:val="24"/>
                <w:szCs w:val="24"/>
              </w:rPr>
            </w:pPr>
          </w:p>
          <w:p w14:paraId="51F049DF">
            <w:pPr>
              <w:spacing w:line="360" w:lineRule="auto"/>
              <w:rPr>
                <w:rFonts w:asciiTheme="minorEastAsia" w:hAnsiTheme="minorEastAsia" w:eastAsiaTheme="minorEastAsia" w:cstheme="minorEastAsia"/>
                <w:color w:val="auto"/>
                <w:sz w:val="24"/>
                <w:szCs w:val="24"/>
              </w:rPr>
            </w:pPr>
          </w:p>
          <w:p w14:paraId="574BB428">
            <w:pPr>
              <w:spacing w:line="360" w:lineRule="auto"/>
              <w:rPr>
                <w:rFonts w:asciiTheme="minorEastAsia" w:hAnsiTheme="minorEastAsia" w:eastAsiaTheme="minorEastAsia" w:cstheme="minorEastAsia"/>
                <w:color w:val="auto"/>
                <w:sz w:val="24"/>
                <w:szCs w:val="24"/>
              </w:rPr>
            </w:pPr>
          </w:p>
          <w:p w14:paraId="34059BDE">
            <w:pPr>
              <w:spacing w:line="360" w:lineRule="auto"/>
              <w:rPr>
                <w:rFonts w:asciiTheme="minorEastAsia" w:hAnsiTheme="minorEastAsia" w:eastAsiaTheme="minorEastAsia" w:cstheme="minorEastAsia"/>
                <w:color w:val="auto"/>
                <w:sz w:val="24"/>
                <w:szCs w:val="24"/>
              </w:rPr>
            </w:pPr>
          </w:p>
          <w:p w14:paraId="33307ABE">
            <w:pPr>
              <w:spacing w:line="360" w:lineRule="auto"/>
              <w:rPr>
                <w:rFonts w:asciiTheme="minorEastAsia" w:hAnsiTheme="minorEastAsia" w:eastAsiaTheme="minorEastAsia" w:cstheme="minorEastAsia"/>
                <w:color w:val="auto"/>
                <w:sz w:val="24"/>
                <w:szCs w:val="24"/>
              </w:rPr>
            </w:pPr>
          </w:p>
          <w:p w14:paraId="7654C63C">
            <w:pPr>
              <w:spacing w:line="360" w:lineRule="auto"/>
              <w:rPr>
                <w:rFonts w:asciiTheme="minorEastAsia" w:hAnsiTheme="minorEastAsia" w:eastAsiaTheme="minorEastAsia" w:cstheme="minorEastAsia"/>
                <w:color w:val="auto"/>
                <w:sz w:val="24"/>
                <w:szCs w:val="24"/>
              </w:rPr>
            </w:pPr>
          </w:p>
          <w:p w14:paraId="17EEAE24">
            <w:pPr>
              <w:pStyle w:val="13"/>
              <w:spacing w:before="78" w:line="360" w:lineRule="auto"/>
              <w:ind w:left="119" w:right="299" w:hanging="3"/>
              <w:jc w:val="both"/>
              <w:rPr>
                <w:rFonts w:asciiTheme="minorEastAsia" w:hAnsiTheme="minorEastAsia" w:eastAsiaTheme="minorEastAsia" w:cstheme="minorEastAsia"/>
                <w:color w:val="auto"/>
                <w:spacing w:val="-10"/>
                <w:sz w:val="24"/>
                <w:szCs w:val="24"/>
              </w:rPr>
            </w:pPr>
            <w:r>
              <w:rPr>
                <w:rFonts w:hint="eastAsia" w:asciiTheme="minorEastAsia" w:hAnsiTheme="minorEastAsia" w:eastAsiaTheme="minorEastAsia" w:cstheme="minorEastAsia"/>
                <w:color w:val="auto"/>
                <w:spacing w:val="-11"/>
                <w:sz w:val="24"/>
                <w:szCs w:val="24"/>
              </w:rPr>
              <w:t>废</w:t>
            </w:r>
            <w:r>
              <w:rPr>
                <w:rFonts w:hint="eastAsia" w:asciiTheme="minorEastAsia" w:hAnsiTheme="minorEastAsia" w:eastAsiaTheme="minorEastAsia" w:cstheme="minorEastAsia"/>
                <w:color w:val="auto"/>
                <w:spacing w:val="12"/>
                <w:sz w:val="24"/>
                <w:szCs w:val="24"/>
              </w:rPr>
              <w:t xml:space="preserve"> </w:t>
            </w:r>
            <w:r>
              <w:rPr>
                <w:rFonts w:hint="eastAsia" w:asciiTheme="minorEastAsia" w:hAnsiTheme="minorEastAsia" w:eastAsiaTheme="minorEastAsia" w:cstheme="minorEastAsia"/>
                <w:color w:val="auto"/>
                <w:spacing w:val="-11"/>
                <w:sz w:val="24"/>
                <w:szCs w:val="24"/>
              </w:rPr>
              <w:t>水总</w:t>
            </w:r>
            <w:r>
              <w:rPr>
                <w:rFonts w:hint="eastAsia" w:asciiTheme="minorEastAsia" w:hAnsiTheme="minorEastAsia" w:eastAsiaTheme="minorEastAsia" w:cstheme="minorEastAsia"/>
                <w:color w:val="auto"/>
                <w:spacing w:val="9"/>
                <w:sz w:val="24"/>
                <w:szCs w:val="24"/>
              </w:rPr>
              <w:t xml:space="preserve"> </w:t>
            </w:r>
            <w:r>
              <w:rPr>
                <w:rFonts w:hint="eastAsia" w:asciiTheme="minorEastAsia" w:hAnsiTheme="minorEastAsia" w:eastAsiaTheme="minorEastAsia" w:cstheme="minorEastAsia"/>
                <w:color w:val="auto"/>
                <w:spacing w:val="-11"/>
                <w:sz w:val="24"/>
                <w:szCs w:val="24"/>
              </w:rPr>
              <w:t>排</w:t>
            </w:r>
            <w:r>
              <w:rPr>
                <w:rFonts w:hint="eastAsia" w:asciiTheme="minorEastAsia" w:hAnsiTheme="minorEastAsia" w:eastAsiaTheme="minorEastAsia" w:cstheme="minorEastAsia"/>
                <w:color w:val="auto"/>
                <w:sz w:val="24"/>
                <w:szCs w:val="24"/>
              </w:rPr>
              <w:t>口</w:t>
            </w:r>
          </w:p>
        </w:tc>
        <w:tc>
          <w:tcPr>
            <w:tcW w:w="2497" w:type="dxa"/>
            <w:tcBorders>
              <w:left w:val="single" w:color="000000" w:sz="4" w:space="0"/>
            </w:tcBorders>
          </w:tcPr>
          <w:p w14:paraId="56A6C2DF">
            <w:pPr>
              <w:pStyle w:val="13"/>
              <w:spacing w:before="234" w:line="360" w:lineRule="auto"/>
              <w:ind w:left="116"/>
              <w:rPr>
                <w:rFonts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pacing w:val="-7"/>
                <w:sz w:val="24"/>
                <w:szCs w:val="24"/>
                <w:lang w:eastAsia="zh-CN"/>
              </w:rPr>
              <w:t>化学需氧量，氨氮，</w:t>
            </w:r>
          </w:p>
          <w:p w14:paraId="0EABD3D0">
            <w:pPr>
              <w:pStyle w:val="13"/>
              <w:spacing w:before="308" w:line="360" w:lineRule="auto"/>
              <w:ind w:left="118"/>
              <w:rPr>
                <w:rFonts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pacing w:val="-6"/>
                <w:sz w:val="24"/>
                <w:szCs w:val="24"/>
                <w:lang w:eastAsia="zh-CN"/>
              </w:rPr>
              <w:t>总锌，总磷，pH</w:t>
            </w:r>
            <w:r>
              <w:rPr>
                <w:rFonts w:hint="eastAsia" w:asciiTheme="minorEastAsia" w:hAnsiTheme="minorEastAsia" w:eastAsiaTheme="minorEastAsia" w:cstheme="minorEastAsia"/>
                <w:color w:val="auto"/>
                <w:spacing w:val="-46"/>
                <w:sz w:val="24"/>
                <w:szCs w:val="24"/>
                <w:lang w:eastAsia="zh-CN"/>
              </w:rPr>
              <w:t xml:space="preserve"> </w:t>
            </w:r>
            <w:r>
              <w:rPr>
                <w:rFonts w:hint="eastAsia" w:asciiTheme="minorEastAsia" w:hAnsiTheme="minorEastAsia" w:eastAsiaTheme="minorEastAsia" w:cstheme="minorEastAsia"/>
                <w:color w:val="auto"/>
                <w:spacing w:val="-6"/>
                <w:sz w:val="24"/>
                <w:szCs w:val="24"/>
                <w:lang w:eastAsia="zh-CN"/>
              </w:rPr>
              <w:t>值、</w:t>
            </w:r>
          </w:p>
          <w:p w14:paraId="3CF67D1F">
            <w:pPr>
              <w:pStyle w:val="13"/>
              <w:spacing w:before="313" w:line="360" w:lineRule="auto"/>
              <w:ind w:left="118"/>
              <w:rPr>
                <w:rFonts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pacing w:val="-5"/>
                <w:sz w:val="24"/>
                <w:szCs w:val="24"/>
                <w:lang w:eastAsia="zh-CN"/>
              </w:rPr>
              <w:t>悬浮物、总有机碳、</w:t>
            </w:r>
          </w:p>
          <w:p w14:paraId="38E91D45">
            <w:pPr>
              <w:pStyle w:val="13"/>
              <w:spacing w:before="305" w:line="360" w:lineRule="auto"/>
              <w:ind w:left="134"/>
              <w:rPr>
                <w:rFonts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pacing w:val="-6"/>
                <w:sz w:val="24"/>
                <w:szCs w:val="24"/>
                <w:lang w:eastAsia="zh-CN"/>
              </w:rPr>
              <w:t>阴离子表面活性剂、</w:t>
            </w:r>
          </w:p>
          <w:p w14:paraId="0ACC22EA">
            <w:pPr>
              <w:pStyle w:val="13"/>
              <w:spacing w:before="306" w:line="360" w:lineRule="auto"/>
              <w:ind w:left="118"/>
              <w:rPr>
                <w:rFonts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pacing w:val="-5"/>
                <w:sz w:val="24"/>
                <w:szCs w:val="24"/>
                <w:lang w:eastAsia="zh-CN"/>
              </w:rPr>
              <w:t>总铜、总铁、总氮、</w:t>
            </w:r>
          </w:p>
          <w:p w14:paraId="556886AD">
            <w:pPr>
              <w:pStyle w:val="13"/>
              <w:spacing w:before="306" w:line="360" w:lineRule="auto"/>
              <w:ind w:left="116"/>
              <w:rPr>
                <w:rFonts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pacing w:val="-10"/>
                <w:sz w:val="24"/>
                <w:szCs w:val="24"/>
                <w:lang w:eastAsia="zh-CN"/>
              </w:rPr>
              <w:t>氟化物、硫化物、石</w:t>
            </w:r>
          </w:p>
          <w:p w14:paraId="073CADB1">
            <w:pPr>
              <w:pStyle w:val="13"/>
              <w:spacing w:before="307" w:line="360" w:lineRule="auto"/>
              <w:ind w:left="119"/>
              <w:rPr>
                <w:rFonts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pacing w:val="-10"/>
                <w:sz w:val="24"/>
                <w:szCs w:val="24"/>
                <w:lang w:eastAsia="zh-CN"/>
              </w:rPr>
              <w:t>油类、总氰化物、总</w:t>
            </w:r>
          </w:p>
          <w:p w14:paraId="0DD3523A">
            <w:pPr>
              <w:pStyle w:val="13"/>
              <w:spacing w:before="305" w:line="360" w:lineRule="auto"/>
              <w:ind w:left="116"/>
              <w:rPr>
                <w:rFonts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pacing w:val="-2"/>
                <w:sz w:val="24"/>
                <w:szCs w:val="24"/>
                <w:lang w:eastAsia="zh-CN"/>
              </w:rPr>
              <w:t>铝、总铬、总锌</w:t>
            </w:r>
          </w:p>
        </w:tc>
        <w:tc>
          <w:tcPr>
            <w:tcW w:w="1423" w:type="dxa"/>
          </w:tcPr>
          <w:p w14:paraId="68AFD340">
            <w:pPr>
              <w:spacing w:line="360" w:lineRule="auto"/>
              <w:rPr>
                <w:rFonts w:asciiTheme="minorEastAsia" w:hAnsiTheme="minorEastAsia" w:eastAsiaTheme="minorEastAsia" w:cstheme="minorEastAsia"/>
                <w:color w:val="auto"/>
                <w:spacing w:val="6"/>
                <w:sz w:val="24"/>
                <w:szCs w:val="24"/>
                <w:lang w:eastAsia="zh-CN"/>
              </w:rPr>
            </w:pPr>
          </w:p>
        </w:tc>
      </w:tr>
      <w:tr w14:paraId="001F4FF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 w:hRule="atLeast"/>
        </w:trPr>
        <w:tc>
          <w:tcPr>
            <w:tcW w:w="660" w:type="dxa"/>
          </w:tcPr>
          <w:p w14:paraId="598669BE">
            <w:pPr>
              <w:spacing w:line="360" w:lineRule="auto"/>
              <w:rPr>
                <w:rFonts w:asciiTheme="minorEastAsia" w:hAnsiTheme="minorEastAsia" w:eastAsiaTheme="minorEastAsia" w:cstheme="minorEastAsia"/>
                <w:color w:val="auto"/>
                <w:sz w:val="24"/>
                <w:szCs w:val="24"/>
                <w:lang w:eastAsia="zh-CN"/>
              </w:rPr>
            </w:pPr>
          </w:p>
          <w:p w14:paraId="6FB82B48">
            <w:pPr>
              <w:spacing w:line="360" w:lineRule="auto"/>
              <w:rPr>
                <w:rFonts w:asciiTheme="minorEastAsia" w:hAnsiTheme="minorEastAsia" w:eastAsiaTheme="minorEastAsia" w:cstheme="minorEastAsia"/>
                <w:color w:val="auto"/>
                <w:sz w:val="24"/>
                <w:szCs w:val="24"/>
                <w:lang w:eastAsia="zh-CN"/>
              </w:rPr>
            </w:pPr>
          </w:p>
          <w:p w14:paraId="17304F97">
            <w:pPr>
              <w:spacing w:line="360" w:lineRule="auto"/>
              <w:rPr>
                <w:rFonts w:asciiTheme="minorEastAsia" w:hAnsiTheme="minorEastAsia" w:eastAsiaTheme="minorEastAsia" w:cstheme="minorEastAsia"/>
                <w:color w:val="auto"/>
                <w:sz w:val="24"/>
                <w:szCs w:val="24"/>
                <w:lang w:eastAsia="zh-CN"/>
              </w:rPr>
            </w:pPr>
          </w:p>
          <w:p w14:paraId="1BD8FEBE">
            <w:pPr>
              <w:spacing w:line="360" w:lineRule="auto"/>
              <w:rPr>
                <w:rFonts w:asciiTheme="minorEastAsia" w:hAnsiTheme="minorEastAsia" w:eastAsiaTheme="minorEastAsia" w:cstheme="minorEastAsia"/>
                <w:color w:val="auto"/>
                <w:sz w:val="24"/>
                <w:szCs w:val="24"/>
                <w:lang w:eastAsia="zh-CN"/>
              </w:rPr>
            </w:pPr>
          </w:p>
          <w:p w14:paraId="5FE60F8F">
            <w:pPr>
              <w:spacing w:line="360" w:lineRule="auto"/>
              <w:rPr>
                <w:rFonts w:asciiTheme="minorEastAsia" w:hAnsiTheme="minorEastAsia" w:eastAsiaTheme="minorEastAsia" w:cstheme="minorEastAsia"/>
                <w:color w:val="auto"/>
                <w:sz w:val="24"/>
                <w:szCs w:val="24"/>
                <w:lang w:eastAsia="zh-CN"/>
              </w:rPr>
            </w:pPr>
          </w:p>
          <w:p w14:paraId="55516AD7">
            <w:pPr>
              <w:spacing w:line="360" w:lineRule="auto"/>
              <w:rPr>
                <w:rFonts w:asciiTheme="minorEastAsia" w:hAnsiTheme="minorEastAsia" w:eastAsiaTheme="minorEastAsia" w:cstheme="minorEastAsia"/>
                <w:color w:val="auto"/>
                <w:sz w:val="24"/>
                <w:szCs w:val="24"/>
                <w:lang w:eastAsia="zh-CN"/>
              </w:rPr>
            </w:pPr>
          </w:p>
          <w:p w14:paraId="30E37427">
            <w:pPr>
              <w:spacing w:line="360" w:lineRule="auto"/>
              <w:rPr>
                <w:rFonts w:asciiTheme="minorEastAsia" w:hAnsiTheme="minorEastAsia" w:eastAsiaTheme="minorEastAsia" w:cstheme="minorEastAsia"/>
                <w:color w:val="auto"/>
                <w:sz w:val="24"/>
                <w:szCs w:val="24"/>
                <w:lang w:eastAsia="zh-CN"/>
              </w:rPr>
            </w:pPr>
          </w:p>
          <w:p w14:paraId="11C1560C">
            <w:pPr>
              <w:spacing w:line="360" w:lineRule="auto"/>
              <w:rPr>
                <w:rFonts w:asciiTheme="minorEastAsia" w:hAnsiTheme="minorEastAsia" w:eastAsiaTheme="minorEastAsia" w:cstheme="minorEastAsia"/>
                <w:color w:val="auto"/>
                <w:sz w:val="24"/>
                <w:szCs w:val="24"/>
                <w:lang w:eastAsia="zh-CN"/>
              </w:rPr>
            </w:pPr>
          </w:p>
          <w:p w14:paraId="5A4D4ECA">
            <w:pPr>
              <w:pStyle w:val="13"/>
              <w:spacing w:before="78" w:line="360" w:lineRule="auto"/>
              <w:ind w:left="116"/>
              <w:rPr>
                <w:rFonts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4</w:t>
            </w:r>
          </w:p>
        </w:tc>
        <w:tc>
          <w:tcPr>
            <w:tcW w:w="1134" w:type="dxa"/>
          </w:tcPr>
          <w:p w14:paraId="26414C7C">
            <w:pPr>
              <w:spacing w:line="360" w:lineRule="auto"/>
              <w:rPr>
                <w:rFonts w:asciiTheme="minorEastAsia" w:hAnsiTheme="minorEastAsia" w:eastAsiaTheme="minorEastAsia" w:cstheme="minorEastAsia"/>
                <w:color w:val="auto"/>
                <w:sz w:val="24"/>
                <w:szCs w:val="24"/>
              </w:rPr>
            </w:pPr>
          </w:p>
          <w:p w14:paraId="78175C44">
            <w:pPr>
              <w:spacing w:line="360" w:lineRule="auto"/>
              <w:rPr>
                <w:rFonts w:asciiTheme="minorEastAsia" w:hAnsiTheme="minorEastAsia" w:eastAsiaTheme="minorEastAsia" w:cstheme="minorEastAsia"/>
                <w:color w:val="auto"/>
                <w:sz w:val="24"/>
                <w:szCs w:val="24"/>
              </w:rPr>
            </w:pPr>
          </w:p>
          <w:p w14:paraId="05BFE03C">
            <w:pPr>
              <w:spacing w:line="360" w:lineRule="auto"/>
              <w:rPr>
                <w:rFonts w:asciiTheme="minorEastAsia" w:hAnsiTheme="minorEastAsia" w:eastAsiaTheme="minorEastAsia" w:cstheme="minorEastAsia"/>
                <w:color w:val="auto"/>
                <w:sz w:val="24"/>
                <w:szCs w:val="24"/>
              </w:rPr>
            </w:pPr>
          </w:p>
          <w:p w14:paraId="2ABC5637">
            <w:pPr>
              <w:spacing w:line="360" w:lineRule="auto"/>
              <w:rPr>
                <w:rFonts w:asciiTheme="minorEastAsia" w:hAnsiTheme="minorEastAsia" w:eastAsiaTheme="minorEastAsia" w:cstheme="minorEastAsia"/>
                <w:color w:val="auto"/>
                <w:sz w:val="24"/>
                <w:szCs w:val="24"/>
              </w:rPr>
            </w:pPr>
          </w:p>
          <w:p w14:paraId="3324D219">
            <w:pPr>
              <w:spacing w:line="360" w:lineRule="auto"/>
              <w:rPr>
                <w:rFonts w:asciiTheme="minorEastAsia" w:hAnsiTheme="minorEastAsia" w:eastAsiaTheme="minorEastAsia" w:cstheme="minorEastAsia"/>
                <w:color w:val="auto"/>
                <w:sz w:val="24"/>
                <w:szCs w:val="24"/>
              </w:rPr>
            </w:pPr>
          </w:p>
          <w:p w14:paraId="0CA88820">
            <w:pPr>
              <w:spacing w:line="360" w:lineRule="auto"/>
              <w:rPr>
                <w:rFonts w:asciiTheme="minorEastAsia" w:hAnsiTheme="minorEastAsia" w:eastAsiaTheme="minorEastAsia" w:cstheme="minorEastAsia"/>
                <w:color w:val="auto"/>
                <w:sz w:val="24"/>
                <w:szCs w:val="24"/>
              </w:rPr>
            </w:pPr>
          </w:p>
          <w:p w14:paraId="40681DEE">
            <w:pPr>
              <w:spacing w:line="360" w:lineRule="auto"/>
              <w:rPr>
                <w:rFonts w:asciiTheme="minorEastAsia" w:hAnsiTheme="minorEastAsia" w:eastAsiaTheme="minorEastAsia" w:cstheme="minorEastAsia"/>
                <w:color w:val="auto"/>
                <w:sz w:val="24"/>
                <w:szCs w:val="24"/>
              </w:rPr>
            </w:pPr>
          </w:p>
          <w:p w14:paraId="2952CE9A">
            <w:pPr>
              <w:spacing w:line="360" w:lineRule="auto"/>
              <w:rPr>
                <w:rFonts w:asciiTheme="minorEastAsia" w:hAnsiTheme="minorEastAsia" w:eastAsiaTheme="minorEastAsia" w:cstheme="minorEastAsia"/>
                <w:color w:val="auto"/>
                <w:sz w:val="24"/>
                <w:szCs w:val="24"/>
              </w:rPr>
            </w:pPr>
          </w:p>
          <w:p w14:paraId="3AA6FC6C">
            <w:pPr>
              <w:pStyle w:val="13"/>
              <w:spacing w:before="78" w:line="360" w:lineRule="auto"/>
              <w:ind w:left="114"/>
              <w:rPr>
                <w:rFonts w:asciiTheme="minorEastAsia" w:hAnsiTheme="minorEastAsia" w:eastAsiaTheme="minorEastAsia" w:cstheme="minorEastAsia"/>
                <w:color w:val="auto"/>
                <w:spacing w:val="-3"/>
                <w:sz w:val="24"/>
                <w:szCs w:val="24"/>
              </w:rPr>
            </w:pPr>
            <w:r>
              <w:rPr>
                <w:rFonts w:hint="eastAsia" w:asciiTheme="minorEastAsia" w:hAnsiTheme="minorEastAsia" w:eastAsiaTheme="minorEastAsia" w:cstheme="minorEastAsia"/>
                <w:color w:val="auto"/>
                <w:spacing w:val="-3"/>
                <w:sz w:val="24"/>
                <w:szCs w:val="24"/>
              </w:rPr>
              <w:t>永丰县</w:t>
            </w:r>
          </w:p>
        </w:tc>
        <w:tc>
          <w:tcPr>
            <w:tcW w:w="1073" w:type="dxa"/>
          </w:tcPr>
          <w:p w14:paraId="6B67AE90">
            <w:pPr>
              <w:pStyle w:val="13"/>
              <w:spacing w:before="237" w:line="360" w:lineRule="auto"/>
              <w:ind w:left="114"/>
              <w:rPr>
                <w:rFonts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pacing w:val="-6"/>
                <w:sz w:val="24"/>
                <w:szCs w:val="24"/>
                <w:lang w:eastAsia="zh-CN"/>
              </w:rPr>
              <w:t>江</w:t>
            </w:r>
            <w:r>
              <w:rPr>
                <w:rFonts w:hint="eastAsia" w:asciiTheme="minorEastAsia" w:hAnsiTheme="minorEastAsia" w:eastAsiaTheme="minorEastAsia" w:cstheme="minorEastAsia"/>
                <w:color w:val="auto"/>
                <w:spacing w:val="75"/>
                <w:sz w:val="24"/>
                <w:szCs w:val="24"/>
                <w:lang w:eastAsia="zh-CN"/>
              </w:rPr>
              <w:t xml:space="preserve"> </w:t>
            </w:r>
            <w:r>
              <w:rPr>
                <w:rFonts w:hint="eastAsia" w:asciiTheme="minorEastAsia" w:hAnsiTheme="minorEastAsia" w:eastAsiaTheme="minorEastAsia" w:cstheme="minorEastAsia"/>
                <w:color w:val="auto"/>
                <w:spacing w:val="-6"/>
                <w:sz w:val="24"/>
                <w:szCs w:val="24"/>
                <w:lang w:eastAsia="zh-CN"/>
              </w:rPr>
              <w:t>西</w:t>
            </w:r>
          </w:p>
          <w:p w14:paraId="714EE352">
            <w:pPr>
              <w:pStyle w:val="13"/>
              <w:spacing w:before="302" w:line="360" w:lineRule="auto"/>
              <w:ind w:left="115"/>
              <w:rPr>
                <w:rFonts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pacing w:val="-6"/>
                <w:sz w:val="24"/>
                <w:szCs w:val="24"/>
                <w:lang w:eastAsia="zh-CN"/>
              </w:rPr>
              <w:t>龙</w:t>
            </w:r>
            <w:r>
              <w:rPr>
                <w:rFonts w:hint="eastAsia" w:asciiTheme="minorEastAsia" w:hAnsiTheme="minorEastAsia" w:eastAsiaTheme="minorEastAsia" w:cstheme="minorEastAsia"/>
                <w:color w:val="auto"/>
                <w:spacing w:val="74"/>
                <w:sz w:val="24"/>
                <w:szCs w:val="24"/>
                <w:lang w:eastAsia="zh-CN"/>
              </w:rPr>
              <w:t xml:space="preserve"> </w:t>
            </w:r>
            <w:r>
              <w:rPr>
                <w:rFonts w:hint="eastAsia" w:asciiTheme="minorEastAsia" w:hAnsiTheme="minorEastAsia" w:eastAsiaTheme="minorEastAsia" w:cstheme="minorEastAsia"/>
                <w:color w:val="auto"/>
                <w:spacing w:val="-6"/>
                <w:sz w:val="24"/>
                <w:szCs w:val="24"/>
                <w:lang w:eastAsia="zh-CN"/>
              </w:rPr>
              <w:t>天</w:t>
            </w:r>
          </w:p>
          <w:p w14:paraId="5F77FC60">
            <w:pPr>
              <w:pStyle w:val="13"/>
              <w:spacing w:before="305" w:line="360" w:lineRule="auto"/>
              <w:ind w:left="122"/>
              <w:rPr>
                <w:rFonts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pacing w:val="-9"/>
                <w:sz w:val="24"/>
                <w:szCs w:val="24"/>
                <w:lang w:eastAsia="zh-CN"/>
              </w:rPr>
              <w:t>勇</w:t>
            </w:r>
            <w:r>
              <w:rPr>
                <w:rFonts w:hint="eastAsia" w:asciiTheme="minorEastAsia" w:hAnsiTheme="minorEastAsia" w:eastAsiaTheme="minorEastAsia" w:cstheme="minorEastAsia"/>
                <w:color w:val="auto"/>
                <w:spacing w:val="70"/>
                <w:sz w:val="24"/>
                <w:szCs w:val="24"/>
                <w:lang w:eastAsia="zh-CN"/>
              </w:rPr>
              <w:t xml:space="preserve"> </w:t>
            </w:r>
            <w:r>
              <w:rPr>
                <w:rFonts w:hint="eastAsia" w:asciiTheme="minorEastAsia" w:hAnsiTheme="minorEastAsia" w:eastAsiaTheme="minorEastAsia" w:cstheme="minorEastAsia"/>
                <w:color w:val="auto"/>
                <w:spacing w:val="-9"/>
                <w:sz w:val="24"/>
                <w:szCs w:val="24"/>
                <w:lang w:eastAsia="zh-CN"/>
              </w:rPr>
              <w:t>有</w:t>
            </w:r>
          </w:p>
          <w:p w14:paraId="405E8360">
            <w:pPr>
              <w:pStyle w:val="13"/>
              <w:spacing w:before="307" w:line="360" w:lineRule="auto"/>
              <w:ind w:left="116"/>
              <w:rPr>
                <w:rFonts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pacing w:val="-7"/>
                <w:sz w:val="24"/>
                <w:szCs w:val="24"/>
                <w:lang w:eastAsia="zh-CN"/>
              </w:rPr>
              <w:t>色</w:t>
            </w:r>
            <w:r>
              <w:rPr>
                <w:rFonts w:hint="eastAsia" w:asciiTheme="minorEastAsia" w:hAnsiTheme="minorEastAsia" w:eastAsiaTheme="minorEastAsia" w:cstheme="minorEastAsia"/>
                <w:color w:val="auto"/>
                <w:spacing w:val="72"/>
                <w:sz w:val="24"/>
                <w:szCs w:val="24"/>
                <w:lang w:eastAsia="zh-CN"/>
              </w:rPr>
              <w:t xml:space="preserve"> </w:t>
            </w:r>
            <w:r>
              <w:rPr>
                <w:rFonts w:hint="eastAsia" w:asciiTheme="minorEastAsia" w:hAnsiTheme="minorEastAsia" w:eastAsiaTheme="minorEastAsia" w:cstheme="minorEastAsia"/>
                <w:color w:val="auto"/>
                <w:spacing w:val="-7"/>
                <w:sz w:val="24"/>
                <w:szCs w:val="24"/>
                <w:lang w:eastAsia="zh-CN"/>
              </w:rPr>
              <w:t>金</w:t>
            </w:r>
          </w:p>
          <w:p w14:paraId="1194307B">
            <w:pPr>
              <w:pStyle w:val="13"/>
              <w:spacing w:before="296" w:line="360" w:lineRule="auto"/>
              <w:ind w:left="115"/>
              <w:rPr>
                <w:rFonts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pacing w:val="-6"/>
                <w:sz w:val="24"/>
                <w:szCs w:val="24"/>
                <w:lang w:eastAsia="zh-CN"/>
              </w:rPr>
              <w:t>属</w:t>
            </w:r>
            <w:r>
              <w:rPr>
                <w:rFonts w:hint="eastAsia" w:asciiTheme="minorEastAsia" w:hAnsiTheme="minorEastAsia" w:eastAsiaTheme="minorEastAsia" w:cstheme="minorEastAsia"/>
                <w:color w:val="auto"/>
                <w:spacing w:val="70"/>
                <w:sz w:val="24"/>
                <w:szCs w:val="24"/>
                <w:lang w:eastAsia="zh-CN"/>
              </w:rPr>
              <w:t xml:space="preserve"> </w:t>
            </w:r>
            <w:r>
              <w:rPr>
                <w:rFonts w:hint="eastAsia" w:asciiTheme="minorEastAsia" w:hAnsiTheme="minorEastAsia" w:eastAsiaTheme="minorEastAsia" w:cstheme="minorEastAsia"/>
                <w:color w:val="auto"/>
                <w:spacing w:val="-6"/>
                <w:sz w:val="24"/>
                <w:szCs w:val="24"/>
                <w:lang w:eastAsia="zh-CN"/>
              </w:rPr>
              <w:t>有</w:t>
            </w:r>
          </w:p>
          <w:p w14:paraId="3AC247B8">
            <w:pPr>
              <w:pStyle w:val="13"/>
              <w:spacing w:before="304" w:line="360" w:lineRule="auto"/>
              <w:ind w:left="130"/>
              <w:rPr>
                <w:rFonts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pacing w:val="-14"/>
                <w:sz w:val="24"/>
                <w:szCs w:val="24"/>
                <w:lang w:eastAsia="zh-CN"/>
              </w:rPr>
              <w:t>限</w:t>
            </w:r>
            <w:r>
              <w:rPr>
                <w:rFonts w:hint="eastAsia" w:asciiTheme="minorEastAsia" w:hAnsiTheme="minorEastAsia" w:eastAsiaTheme="minorEastAsia" w:cstheme="minorEastAsia"/>
                <w:color w:val="auto"/>
                <w:spacing w:val="77"/>
                <w:sz w:val="24"/>
                <w:szCs w:val="24"/>
                <w:lang w:eastAsia="zh-CN"/>
              </w:rPr>
              <w:t xml:space="preserve"> </w:t>
            </w:r>
            <w:r>
              <w:rPr>
                <w:rFonts w:hint="eastAsia" w:asciiTheme="minorEastAsia" w:hAnsiTheme="minorEastAsia" w:eastAsiaTheme="minorEastAsia" w:cstheme="minorEastAsia"/>
                <w:color w:val="auto"/>
                <w:spacing w:val="-14"/>
                <w:sz w:val="24"/>
                <w:szCs w:val="24"/>
                <w:lang w:eastAsia="zh-CN"/>
              </w:rPr>
              <w:t>公</w:t>
            </w:r>
          </w:p>
          <w:p w14:paraId="5C62631C">
            <w:pPr>
              <w:pStyle w:val="13"/>
              <w:spacing w:before="303" w:line="360" w:lineRule="auto"/>
              <w:ind w:left="123"/>
              <w:rPr>
                <w:rFonts w:asciiTheme="minorEastAsia" w:hAnsiTheme="minorEastAsia" w:eastAsiaTheme="minorEastAsia" w:cstheme="minorEastAsia"/>
                <w:color w:val="auto"/>
                <w:spacing w:val="-5"/>
                <w:sz w:val="24"/>
                <w:szCs w:val="24"/>
              </w:rPr>
            </w:pPr>
            <w:r>
              <w:rPr>
                <w:rFonts w:hint="eastAsia" w:asciiTheme="minorEastAsia" w:hAnsiTheme="minorEastAsia" w:eastAsiaTheme="minorEastAsia" w:cstheme="minorEastAsia"/>
                <w:color w:val="auto"/>
                <w:sz w:val="24"/>
                <w:szCs w:val="24"/>
              </w:rPr>
              <w:t>司</w:t>
            </w:r>
          </w:p>
        </w:tc>
        <w:tc>
          <w:tcPr>
            <w:tcW w:w="1492" w:type="dxa"/>
          </w:tcPr>
          <w:p w14:paraId="7959B75F">
            <w:pPr>
              <w:spacing w:line="360" w:lineRule="auto"/>
              <w:rPr>
                <w:rFonts w:asciiTheme="minorEastAsia" w:hAnsiTheme="minorEastAsia" w:eastAsiaTheme="minorEastAsia" w:cstheme="minorEastAsia"/>
                <w:color w:val="auto"/>
                <w:sz w:val="24"/>
                <w:szCs w:val="24"/>
              </w:rPr>
            </w:pPr>
          </w:p>
          <w:p w14:paraId="518BC684">
            <w:pPr>
              <w:spacing w:line="360" w:lineRule="auto"/>
              <w:rPr>
                <w:rFonts w:asciiTheme="minorEastAsia" w:hAnsiTheme="minorEastAsia" w:eastAsiaTheme="minorEastAsia" w:cstheme="minorEastAsia"/>
                <w:color w:val="auto"/>
                <w:sz w:val="24"/>
                <w:szCs w:val="24"/>
              </w:rPr>
            </w:pPr>
          </w:p>
          <w:p w14:paraId="5F3C128A">
            <w:pPr>
              <w:spacing w:line="360" w:lineRule="auto"/>
              <w:rPr>
                <w:rFonts w:asciiTheme="minorEastAsia" w:hAnsiTheme="minorEastAsia" w:eastAsiaTheme="minorEastAsia" w:cstheme="minorEastAsia"/>
                <w:color w:val="auto"/>
                <w:sz w:val="24"/>
                <w:szCs w:val="24"/>
              </w:rPr>
            </w:pPr>
          </w:p>
          <w:p w14:paraId="312BC94E">
            <w:pPr>
              <w:spacing w:line="360" w:lineRule="auto"/>
              <w:rPr>
                <w:rFonts w:asciiTheme="minorEastAsia" w:hAnsiTheme="minorEastAsia" w:eastAsiaTheme="minorEastAsia" w:cstheme="minorEastAsia"/>
                <w:color w:val="auto"/>
                <w:sz w:val="24"/>
                <w:szCs w:val="24"/>
              </w:rPr>
            </w:pPr>
          </w:p>
          <w:p w14:paraId="75283AFA">
            <w:pPr>
              <w:spacing w:line="360" w:lineRule="auto"/>
              <w:rPr>
                <w:rFonts w:asciiTheme="minorEastAsia" w:hAnsiTheme="minorEastAsia" w:eastAsiaTheme="minorEastAsia" w:cstheme="minorEastAsia"/>
                <w:color w:val="auto"/>
                <w:sz w:val="24"/>
                <w:szCs w:val="24"/>
              </w:rPr>
            </w:pPr>
          </w:p>
          <w:p w14:paraId="1717DF63">
            <w:pPr>
              <w:spacing w:line="360" w:lineRule="auto"/>
              <w:rPr>
                <w:rFonts w:asciiTheme="minorEastAsia" w:hAnsiTheme="minorEastAsia" w:eastAsiaTheme="minorEastAsia" w:cstheme="minorEastAsia"/>
                <w:color w:val="auto"/>
                <w:sz w:val="24"/>
                <w:szCs w:val="24"/>
              </w:rPr>
            </w:pPr>
          </w:p>
          <w:p w14:paraId="05B16985">
            <w:pPr>
              <w:spacing w:line="360" w:lineRule="auto"/>
              <w:rPr>
                <w:rFonts w:asciiTheme="minorEastAsia" w:hAnsiTheme="minorEastAsia" w:eastAsiaTheme="minorEastAsia" w:cstheme="minorEastAsia"/>
                <w:color w:val="auto"/>
                <w:sz w:val="24"/>
                <w:szCs w:val="24"/>
              </w:rPr>
            </w:pPr>
          </w:p>
          <w:p w14:paraId="60136F2F">
            <w:pPr>
              <w:spacing w:line="360" w:lineRule="auto"/>
              <w:rPr>
                <w:rFonts w:asciiTheme="minorEastAsia" w:hAnsiTheme="minorEastAsia" w:eastAsiaTheme="minorEastAsia" w:cstheme="minorEastAsia"/>
                <w:color w:val="auto"/>
                <w:sz w:val="24"/>
                <w:szCs w:val="24"/>
              </w:rPr>
            </w:pPr>
          </w:p>
          <w:p w14:paraId="637E4A3C">
            <w:pPr>
              <w:pStyle w:val="13"/>
              <w:spacing w:before="78" w:line="360" w:lineRule="auto"/>
              <w:ind w:left="117"/>
              <w:rPr>
                <w:rFonts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pacing w:val="-3"/>
                <w:sz w:val="24"/>
                <w:szCs w:val="24"/>
              </w:rPr>
              <w:t>土壤</w:t>
            </w:r>
          </w:p>
        </w:tc>
        <w:tc>
          <w:tcPr>
            <w:tcW w:w="1015" w:type="dxa"/>
            <w:tcBorders>
              <w:right w:val="single" w:color="000000" w:sz="4" w:space="0"/>
            </w:tcBorders>
          </w:tcPr>
          <w:p w14:paraId="75533498">
            <w:pPr>
              <w:spacing w:line="360" w:lineRule="auto"/>
              <w:rPr>
                <w:rFonts w:asciiTheme="minorEastAsia" w:hAnsiTheme="minorEastAsia" w:eastAsiaTheme="minorEastAsia" w:cstheme="minorEastAsia"/>
                <w:color w:val="auto"/>
                <w:sz w:val="24"/>
                <w:szCs w:val="24"/>
              </w:rPr>
            </w:pPr>
          </w:p>
          <w:p w14:paraId="64F8E375">
            <w:pPr>
              <w:spacing w:line="360" w:lineRule="auto"/>
              <w:rPr>
                <w:rFonts w:asciiTheme="minorEastAsia" w:hAnsiTheme="minorEastAsia" w:eastAsiaTheme="minorEastAsia" w:cstheme="minorEastAsia"/>
                <w:color w:val="auto"/>
                <w:sz w:val="24"/>
                <w:szCs w:val="24"/>
              </w:rPr>
            </w:pPr>
          </w:p>
          <w:p w14:paraId="6DB0F159">
            <w:pPr>
              <w:spacing w:line="360" w:lineRule="auto"/>
              <w:rPr>
                <w:rFonts w:asciiTheme="minorEastAsia" w:hAnsiTheme="minorEastAsia" w:eastAsiaTheme="minorEastAsia" w:cstheme="minorEastAsia"/>
                <w:color w:val="auto"/>
                <w:sz w:val="24"/>
                <w:szCs w:val="24"/>
              </w:rPr>
            </w:pPr>
          </w:p>
          <w:p w14:paraId="21A267BD">
            <w:pPr>
              <w:pStyle w:val="13"/>
              <w:spacing w:before="78" w:line="360" w:lineRule="auto"/>
              <w:ind w:left="119" w:right="299" w:hanging="6"/>
              <w:jc w:val="both"/>
              <w:rPr>
                <w:rFonts w:asciiTheme="minorEastAsia" w:hAnsiTheme="minorEastAsia" w:eastAsiaTheme="minorEastAsia" w:cstheme="minorEastAsia"/>
                <w:color w:val="auto"/>
                <w:spacing w:val="-11"/>
                <w:sz w:val="24"/>
                <w:szCs w:val="24"/>
              </w:rPr>
            </w:pPr>
            <w:r>
              <w:rPr>
                <w:rFonts w:hint="eastAsia" w:asciiTheme="minorEastAsia" w:hAnsiTheme="minorEastAsia" w:eastAsiaTheme="minorEastAsia" w:cstheme="minorEastAsia"/>
                <w:color w:val="auto"/>
                <w:spacing w:val="-1"/>
                <w:sz w:val="24"/>
                <w:szCs w:val="24"/>
              </w:rPr>
              <w:t>DW001</w:t>
            </w:r>
            <w:r>
              <w:rPr>
                <w:rFonts w:hint="eastAsia" w:asciiTheme="minorEastAsia" w:hAnsiTheme="minorEastAsia" w:eastAsiaTheme="minorEastAsia" w:cstheme="minorEastAsia"/>
                <w:color w:val="auto"/>
                <w:spacing w:val="-20"/>
                <w:sz w:val="24"/>
                <w:szCs w:val="24"/>
              </w:rPr>
              <w:t>厂</w:t>
            </w:r>
            <w:r>
              <w:rPr>
                <w:rFonts w:hint="eastAsia" w:asciiTheme="minorEastAsia" w:hAnsiTheme="minorEastAsia" w:eastAsiaTheme="minorEastAsia" w:cstheme="minorEastAsia"/>
                <w:color w:val="auto"/>
                <w:spacing w:val="27"/>
                <w:sz w:val="24"/>
                <w:szCs w:val="24"/>
              </w:rPr>
              <w:t xml:space="preserve"> </w:t>
            </w:r>
            <w:r>
              <w:rPr>
                <w:rFonts w:hint="eastAsia" w:asciiTheme="minorEastAsia" w:hAnsiTheme="minorEastAsia" w:eastAsiaTheme="minorEastAsia" w:cstheme="minorEastAsia"/>
                <w:color w:val="auto"/>
                <w:spacing w:val="-20"/>
                <w:sz w:val="24"/>
                <w:szCs w:val="24"/>
              </w:rPr>
              <w:t>区</w:t>
            </w:r>
            <w:r>
              <w:rPr>
                <w:rFonts w:hint="eastAsia" w:asciiTheme="minorEastAsia" w:hAnsiTheme="minorEastAsia" w:eastAsiaTheme="minorEastAsia" w:cstheme="minorEastAsia"/>
                <w:color w:val="auto"/>
                <w:spacing w:val="-12"/>
                <w:sz w:val="24"/>
                <w:szCs w:val="24"/>
              </w:rPr>
              <w:t>污</w:t>
            </w:r>
            <w:r>
              <w:rPr>
                <w:rFonts w:hint="eastAsia" w:asciiTheme="minorEastAsia" w:hAnsiTheme="minorEastAsia" w:eastAsiaTheme="minorEastAsia" w:cstheme="minorEastAsia"/>
                <w:color w:val="auto"/>
                <w:spacing w:val="12"/>
                <w:sz w:val="24"/>
                <w:szCs w:val="24"/>
              </w:rPr>
              <w:t xml:space="preserve"> </w:t>
            </w:r>
            <w:r>
              <w:rPr>
                <w:rFonts w:hint="eastAsia" w:asciiTheme="minorEastAsia" w:hAnsiTheme="minorEastAsia" w:eastAsiaTheme="minorEastAsia" w:cstheme="minorEastAsia"/>
                <w:color w:val="auto"/>
                <w:spacing w:val="-12"/>
                <w:sz w:val="24"/>
                <w:szCs w:val="24"/>
              </w:rPr>
              <w:t>水</w:t>
            </w:r>
            <w:r>
              <w:rPr>
                <w:rFonts w:hint="eastAsia" w:asciiTheme="minorEastAsia" w:hAnsiTheme="minorEastAsia" w:eastAsiaTheme="minorEastAsia" w:cstheme="minorEastAsia"/>
                <w:color w:val="auto"/>
                <w:spacing w:val="-11"/>
                <w:sz w:val="24"/>
                <w:szCs w:val="24"/>
              </w:rPr>
              <w:t>总</w:t>
            </w:r>
            <w:r>
              <w:rPr>
                <w:rFonts w:hint="eastAsia" w:asciiTheme="minorEastAsia" w:hAnsiTheme="minorEastAsia" w:eastAsiaTheme="minorEastAsia" w:cstheme="minorEastAsia"/>
                <w:color w:val="auto"/>
                <w:spacing w:val="9"/>
                <w:sz w:val="24"/>
                <w:szCs w:val="24"/>
              </w:rPr>
              <w:t xml:space="preserve"> </w:t>
            </w:r>
            <w:r>
              <w:rPr>
                <w:rFonts w:hint="eastAsia" w:asciiTheme="minorEastAsia" w:hAnsiTheme="minorEastAsia" w:eastAsiaTheme="minorEastAsia" w:cstheme="minorEastAsia"/>
                <w:color w:val="auto"/>
                <w:spacing w:val="-11"/>
                <w:sz w:val="24"/>
                <w:szCs w:val="24"/>
              </w:rPr>
              <w:t>排</w:t>
            </w:r>
            <w:r>
              <w:rPr>
                <w:rFonts w:hint="eastAsia" w:asciiTheme="minorEastAsia" w:hAnsiTheme="minorEastAsia" w:eastAsiaTheme="minorEastAsia" w:cstheme="minorEastAsia"/>
                <w:color w:val="auto"/>
                <w:sz w:val="24"/>
                <w:szCs w:val="24"/>
              </w:rPr>
              <w:t>口</w:t>
            </w:r>
          </w:p>
        </w:tc>
        <w:tc>
          <w:tcPr>
            <w:tcW w:w="2497" w:type="dxa"/>
            <w:tcBorders>
              <w:left w:val="single" w:color="000000" w:sz="4" w:space="0"/>
            </w:tcBorders>
          </w:tcPr>
          <w:p w14:paraId="3E1C45A3">
            <w:pPr>
              <w:pStyle w:val="13"/>
              <w:spacing w:before="236" w:line="360" w:lineRule="auto"/>
              <w:ind w:left="116"/>
              <w:rPr>
                <w:rFonts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pacing w:val="-5"/>
                <w:sz w:val="24"/>
                <w:szCs w:val="24"/>
                <w:lang w:eastAsia="zh-CN"/>
              </w:rPr>
              <w:t>化学需氧量、总氮、</w:t>
            </w:r>
          </w:p>
          <w:p w14:paraId="433FAC39">
            <w:pPr>
              <w:pStyle w:val="13"/>
              <w:spacing w:before="308" w:line="360" w:lineRule="auto"/>
              <w:ind w:left="118"/>
              <w:rPr>
                <w:rFonts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pacing w:val="-18"/>
                <w:sz w:val="24"/>
                <w:szCs w:val="24"/>
                <w:lang w:eastAsia="zh-CN"/>
              </w:rPr>
              <w:t>悬浮物、石油类、</w:t>
            </w:r>
            <w:r>
              <w:rPr>
                <w:rFonts w:hint="eastAsia" w:asciiTheme="minorEastAsia" w:hAnsiTheme="minorEastAsia" w:eastAsiaTheme="minorEastAsia" w:cstheme="minorEastAsia"/>
                <w:color w:val="auto"/>
                <w:spacing w:val="-27"/>
                <w:sz w:val="24"/>
                <w:szCs w:val="24"/>
                <w:lang w:eastAsia="zh-CN"/>
              </w:rPr>
              <w:t xml:space="preserve"> </w:t>
            </w:r>
            <w:r>
              <w:rPr>
                <w:rFonts w:hint="eastAsia" w:asciiTheme="minorEastAsia" w:hAnsiTheme="minorEastAsia" w:eastAsiaTheme="minorEastAsia" w:cstheme="minorEastAsia"/>
                <w:color w:val="auto"/>
                <w:spacing w:val="-18"/>
                <w:sz w:val="24"/>
                <w:szCs w:val="24"/>
                <w:lang w:eastAsia="zh-CN"/>
              </w:rPr>
              <w:t>pH</w:t>
            </w:r>
          </w:p>
          <w:p w14:paraId="72EA5F64">
            <w:pPr>
              <w:pStyle w:val="13"/>
              <w:spacing w:before="311" w:line="360" w:lineRule="auto"/>
              <w:ind w:left="115"/>
              <w:rPr>
                <w:rFonts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pacing w:val="-10"/>
                <w:sz w:val="24"/>
                <w:szCs w:val="24"/>
                <w:lang w:eastAsia="zh-CN"/>
              </w:rPr>
              <w:t>值、总磷、氨氮、流</w:t>
            </w:r>
          </w:p>
          <w:p w14:paraId="34647E4E">
            <w:pPr>
              <w:pStyle w:val="13"/>
              <w:spacing w:before="308" w:line="360" w:lineRule="auto"/>
              <w:ind w:left="115"/>
              <w:rPr>
                <w:rFonts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pacing w:val="19"/>
                <w:sz w:val="24"/>
                <w:szCs w:val="24"/>
                <w:lang w:eastAsia="zh-CN"/>
              </w:rPr>
              <w:t>量、五日生化需氧</w:t>
            </w:r>
          </w:p>
          <w:p w14:paraId="31ED047A">
            <w:pPr>
              <w:pStyle w:val="13"/>
              <w:spacing w:before="306" w:line="360" w:lineRule="auto"/>
              <w:ind w:left="115"/>
              <w:rPr>
                <w:rFonts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pacing w:val="-10"/>
                <w:sz w:val="24"/>
                <w:szCs w:val="24"/>
                <w:lang w:eastAsia="zh-CN"/>
              </w:rPr>
              <w:t>量、总铊、总铅、总</w:t>
            </w:r>
          </w:p>
          <w:p w14:paraId="6E51E22C">
            <w:pPr>
              <w:pStyle w:val="13"/>
              <w:spacing w:before="300" w:line="360" w:lineRule="auto"/>
              <w:ind w:left="114"/>
              <w:rPr>
                <w:rFonts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pacing w:val="-10"/>
                <w:sz w:val="24"/>
                <w:szCs w:val="24"/>
                <w:lang w:eastAsia="zh-CN"/>
              </w:rPr>
              <w:t>铬、总砷、总镍、总</w:t>
            </w:r>
          </w:p>
          <w:p w14:paraId="147C7A66">
            <w:pPr>
              <w:pStyle w:val="13"/>
              <w:spacing w:before="304" w:line="360" w:lineRule="auto"/>
              <w:ind w:left="115"/>
              <w:rPr>
                <w:rFonts w:asciiTheme="minorEastAsia" w:hAnsiTheme="minorEastAsia" w:eastAsiaTheme="minorEastAsia" w:cstheme="minorEastAsia"/>
                <w:color w:val="auto"/>
                <w:spacing w:val="-2"/>
                <w:sz w:val="24"/>
                <w:szCs w:val="24"/>
                <w:lang w:eastAsia="zh-CN"/>
              </w:rPr>
            </w:pPr>
            <w:r>
              <w:rPr>
                <w:rFonts w:hint="eastAsia" w:asciiTheme="minorEastAsia" w:hAnsiTheme="minorEastAsia" w:eastAsiaTheme="minorEastAsia" w:cstheme="minorEastAsia"/>
                <w:color w:val="auto"/>
                <w:spacing w:val="-10"/>
                <w:sz w:val="24"/>
                <w:szCs w:val="24"/>
                <w:lang w:eastAsia="zh-CN"/>
              </w:rPr>
              <w:t>铜、总锌、总银、总</w:t>
            </w:r>
            <w:r>
              <w:rPr>
                <w:rFonts w:hint="eastAsia" w:asciiTheme="minorEastAsia" w:hAnsiTheme="minorEastAsia" w:eastAsiaTheme="minorEastAsia" w:cstheme="minorEastAsia"/>
                <w:color w:val="auto"/>
                <w:spacing w:val="-2"/>
                <w:sz w:val="24"/>
                <w:szCs w:val="24"/>
                <w:lang w:eastAsia="zh-CN"/>
              </w:rPr>
              <w:t>锡、总锑</w:t>
            </w:r>
          </w:p>
        </w:tc>
        <w:tc>
          <w:tcPr>
            <w:tcW w:w="1423" w:type="dxa"/>
          </w:tcPr>
          <w:p w14:paraId="3B23BF21">
            <w:pPr>
              <w:spacing w:line="360" w:lineRule="auto"/>
              <w:rPr>
                <w:rFonts w:asciiTheme="minorEastAsia" w:hAnsiTheme="minorEastAsia" w:eastAsiaTheme="minorEastAsia" w:cstheme="minorEastAsia"/>
                <w:color w:val="auto"/>
                <w:sz w:val="24"/>
                <w:szCs w:val="24"/>
                <w:lang w:eastAsia="zh-CN"/>
              </w:rPr>
            </w:pPr>
          </w:p>
          <w:p w14:paraId="69631271">
            <w:pPr>
              <w:spacing w:line="360" w:lineRule="auto"/>
              <w:rPr>
                <w:rFonts w:asciiTheme="minorEastAsia" w:hAnsiTheme="minorEastAsia" w:eastAsiaTheme="minorEastAsia" w:cstheme="minorEastAsia"/>
                <w:color w:val="auto"/>
                <w:sz w:val="24"/>
                <w:szCs w:val="24"/>
                <w:lang w:eastAsia="zh-CN"/>
              </w:rPr>
            </w:pPr>
          </w:p>
          <w:p w14:paraId="3F4C2DB5">
            <w:pPr>
              <w:spacing w:line="360" w:lineRule="auto"/>
              <w:rPr>
                <w:rFonts w:asciiTheme="minorEastAsia" w:hAnsiTheme="minorEastAsia" w:eastAsiaTheme="minorEastAsia" w:cstheme="minorEastAsia"/>
                <w:color w:val="auto"/>
                <w:sz w:val="24"/>
                <w:szCs w:val="24"/>
                <w:lang w:eastAsia="zh-CN"/>
              </w:rPr>
            </w:pPr>
          </w:p>
          <w:p w14:paraId="6ECCB7F2">
            <w:pPr>
              <w:pStyle w:val="13"/>
              <w:spacing w:before="78" w:line="360" w:lineRule="auto"/>
              <w:ind w:left="117" w:right="307" w:firstLine="23"/>
              <w:jc w:val="both"/>
              <w:rPr>
                <w:rFonts w:asciiTheme="minorEastAsia" w:hAnsiTheme="minorEastAsia" w:eastAsiaTheme="minorEastAsia" w:cstheme="minorEastAsia"/>
                <w:color w:val="auto"/>
                <w:spacing w:val="6"/>
                <w:sz w:val="24"/>
                <w:szCs w:val="24"/>
                <w:lang w:eastAsia="zh-CN"/>
              </w:rPr>
            </w:pPr>
            <w:r>
              <w:rPr>
                <w:rFonts w:hint="eastAsia" w:asciiTheme="minorEastAsia" w:hAnsiTheme="minorEastAsia" w:eastAsiaTheme="minorEastAsia" w:cstheme="minorEastAsia"/>
                <w:color w:val="auto"/>
                <w:spacing w:val="2"/>
                <w:sz w:val="24"/>
                <w:szCs w:val="24"/>
                <w:lang w:eastAsia="zh-CN"/>
              </w:rPr>
              <w:t>同江西龙</w:t>
            </w:r>
            <w:r>
              <w:rPr>
                <w:rFonts w:hint="eastAsia" w:asciiTheme="minorEastAsia" w:hAnsiTheme="minorEastAsia" w:eastAsiaTheme="minorEastAsia" w:cstheme="minorEastAsia"/>
                <w:color w:val="auto"/>
                <w:spacing w:val="8"/>
                <w:sz w:val="24"/>
                <w:szCs w:val="24"/>
                <w:lang w:eastAsia="zh-CN"/>
              </w:rPr>
              <w:t>天勇有色金属有限公司监督</w:t>
            </w:r>
            <w:r>
              <w:rPr>
                <w:rFonts w:hint="eastAsia" w:asciiTheme="minorEastAsia" w:hAnsiTheme="minorEastAsia" w:eastAsiaTheme="minorEastAsia" w:cstheme="minorEastAsia"/>
                <w:color w:val="auto"/>
                <w:spacing w:val="-3"/>
                <w:sz w:val="24"/>
                <w:szCs w:val="24"/>
                <w:lang w:eastAsia="zh-CN"/>
              </w:rPr>
              <w:t>性监测</w:t>
            </w:r>
          </w:p>
        </w:tc>
      </w:tr>
      <w:tr w14:paraId="1ED7928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11" w:hRule="atLeast"/>
        </w:trPr>
        <w:tc>
          <w:tcPr>
            <w:tcW w:w="660" w:type="dxa"/>
          </w:tcPr>
          <w:p w14:paraId="2C1CE5AE">
            <w:pPr>
              <w:pStyle w:val="13"/>
              <w:spacing w:before="78" w:line="360" w:lineRule="auto"/>
              <w:ind w:left="116"/>
              <w:rPr>
                <w:rFonts w:asciiTheme="minorEastAsia" w:hAnsiTheme="minorEastAsia" w:eastAsiaTheme="minorEastAsia" w:cstheme="minorEastAsia"/>
                <w:color w:val="auto"/>
                <w:sz w:val="24"/>
                <w:szCs w:val="24"/>
                <w:lang w:eastAsia="zh-CN"/>
              </w:rPr>
            </w:pPr>
          </w:p>
        </w:tc>
        <w:tc>
          <w:tcPr>
            <w:tcW w:w="1134" w:type="dxa"/>
          </w:tcPr>
          <w:p w14:paraId="29C8A9BA">
            <w:pPr>
              <w:pStyle w:val="13"/>
              <w:spacing w:before="78" w:line="360" w:lineRule="auto"/>
              <w:ind w:left="114"/>
              <w:rPr>
                <w:rFonts w:asciiTheme="minorEastAsia" w:hAnsiTheme="minorEastAsia" w:eastAsiaTheme="minorEastAsia" w:cstheme="minorEastAsia"/>
                <w:color w:val="auto"/>
                <w:spacing w:val="-3"/>
                <w:sz w:val="24"/>
                <w:szCs w:val="24"/>
                <w:lang w:eastAsia="zh-CN"/>
              </w:rPr>
            </w:pPr>
          </w:p>
        </w:tc>
        <w:tc>
          <w:tcPr>
            <w:tcW w:w="1073" w:type="dxa"/>
          </w:tcPr>
          <w:p w14:paraId="552FFDC0">
            <w:pPr>
              <w:pStyle w:val="13"/>
              <w:spacing w:before="303" w:line="360" w:lineRule="auto"/>
              <w:ind w:left="123"/>
              <w:rPr>
                <w:rFonts w:asciiTheme="minorEastAsia" w:hAnsiTheme="minorEastAsia" w:eastAsiaTheme="minorEastAsia" w:cstheme="minorEastAsia"/>
                <w:color w:val="auto"/>
                <w:sz w:val="24"/>
                <w:szCs w:val="24"/>
                <w:lang w:eastAsia="zh-CN"/>
              </w:rPr>
            </w:pPr>
          </w:p>
        </w:tc>
        <w:tc>
          <w:tcPr>
            <w:tcW w:w="1492" w:type="dxa"/>
          </w:tcPr>
          <w:p w14:paraId="04C4817D">
            <w:pPr>
              <w:pStyle w:val="13"/>
              <w:spacing w:before="78" w:line="360" w:lineRule="auto"/>
              <w:ind w:left="117"/>
              <w:rPr>
                <w:rFonts w:asciiTheme="minorEastAsia" w:hAnsiTheme="minorEastAsia" w:eastAsiaTheme="minorEastAsia" w:cstheme="minorEastAsia"/>
                <w:color w:val="auto"/>
                <w:spacing w:val="-3"/>
                <w:sz w:val="24"/>
                <w:szCs w:val="24"/>
                <w:lang w:eastAsia="zh-CN"/>
              </w:rPr>
            </w:pPr>
          </w:p>
        </w:tc>
        <w:tc>
          <w:tcPr>
            <w:tcW w:w="1015" w:type="dxa"/>
            <w:tcBorders>
              <w:right w:val="single" w:color="000000" w:sz="4" w:space="0"/>
            </w:tcBorders>
          </w:tcPr>
          <w:p w14:paraId="21F0ACCA">
            <w:pPr>
              <w:spacing w:line="360" w:lineRule="auto"/>
              <w:rPr>
                <w:rFonts w:asciiTheme="minorEastAsia" w:hAnsiTheme="minorEastAsia" w:eastAsiaTheme="minorEastAsia" w:cstheme="minorEastAsia"/>
                <w:color w:val="auto"/>
                <w:sz w:val="24"/>
                <w:szCs w:val="24"/>
                <w:lang w:eastAsia="zh-CN"/>
              </w:rPr>
            </w:pPr>
          </w:p>
          <w:p w14:paraId="1A559C9A">
            <w:pPr>
              <w:spacing w:line="360" w:lineRule="auto"/>
              <w:rPr>
                <w:rFonts w:asciiTheme="minorEastAsia" w:hAnsiTheme="minorEastAsia" w:eastAsiaTheme="minorEastAsia" w:cstheme="minorEastAsia"/>
                <w:color w:val="auto"/>
                <w:sz w:val="24"/>
                <w:szCs w:val="24"/>
                <w:lang w:eastAsia="zh-CN"/>
              </w:rPr>
            </w:pPr>
          </w:p>
          <w:p w14:paraId="53477AC7">
            <w:pPr>
              <w:spacing w:line="360" w:lineRule="auto"/>
              <w:rPr>
                <w:rFonts w:asciiTheme="minorEastAsia" w:hAnsiTheme="minorEastAsia" w:eastAsiaTheme="minorEastAsia" w:cstheme="minorEastAsia"/>
                <w:color w:val="auto"/>
                <w:sz w:val="24"/>
                <w:szCs w:val="24"/>
                <w:lang w:eastAsia="zh-CN"/>
              </w:rPr>
            </w:pPr>
          </w:p>
          <w:p w14:paraId="51BB5BBC">
            <w:pPr>
              <w:pStyle w:val="13"/>
              <w:spacing w:before="78" w:line="360" w:lineRule="auto"/>
              <w:ind w:left="117" w:right="299" w:firstLine="9"/>
              <w:jc w:val="both"/>
              <w:rPr>
                <w:rFonts w:asciiTheme="minorEastAsia" w:hAnsiTheme="minorEastAsia" w:eastAsiaTheme="minorEastAsia" w:cstheme="minorEastAsia"/>
                <w:color w:val="auto"/>
                <w:spacing w:val="-1"/>
                <w:sz w:val="24"/>
                <w:szCs w:val="24"/>
              </w:rPr>
            </w:pPr>
            <w:r>
              <w:rPr>
                <w:rFonts w:hint="eastAsia" w:asciiTheme="minorEastAsia" w:hAnsiTheme="minorEastAsia" w:eastAsiaTheme="minorEastAsia" w:cstheme="minorEastAsia"/>
                <w:color w:val="auto"/>
                <w:spacing w:val="-16"/>
                <w:sz w:val="24"/>
                <w:szCs w:val="24"/>
              </w:rPr>
              <w:t>雨</w:t>
            </w:r>
            <w:r>
              <w:rPr>
                <w:rFonts w:hint="eastAsia" w:asciiTheme="minorEastAsia" w:hAnsiTheme="minorEastAsia" w:eastAsiaTheme="minorEastAsia" w:cstheme="minorEastAsia"/>
                <w:color w:val="auto"/>
                <w:spacing w:val="12"/>
                <w:sz w:val="24"/>
                <w:szCs w:val="24"/>
              </w:rPr>
              <w:t xml:space="preserve"> </w:t>
            </w:r>
            <w:r>
              <w:rPr>
                <w:rFonts w:hint="eastAsia" w:asciiTheme="minorEastAsia" w:hAnsiTheme="minorEastAsia" w:eastAsiaTheme="minorEastAsia" w:cstheme="minorEastAsia"/>
                <w:color w:val="auto"/>
                <w:spacing w:val="-16"/>
                <w:sz w:val="24"/>
                <w:szCs w:val="24"/>
              </w:rPr>
              <w:t>水</w:t>
            </w:r>
            <w:r>
              <w:rPr>
                <w:rFonts w:hint="eastAsia" w:asciiTheme="minorEastAsia" w:hAnsiTheme="minorEastAsia" w:eastAsiaTheme="minorEastAsia" w:cstheme="minorEastAsia"/>
                <w:color w:val="auto"/>
                <w:spacing w:val="-10"/>
                <w:sz w:val="24"/>
                <w:szCs w:val="24"/>
              </w:rPr>
              <w:t>排</w:t>
            </w:r>
            <w:r>
              <w:rPr>
                <w:rFonts w:hint="eastAsia" w:asciiTheme="minorEastAsia" w:hAnsiTheme="minorEastAsia" w:eastAsiaTheme="minorEastAsia" w:cstheme="minorEastAsia"/>
                <w:color w:val="auto"/>
                <w:spacing w:val="9"/>
                <w:sz w:val="24"/>
                <w:szCs w:val="24"/>
              </w:rPr>
              <w:t xml:space="preserve"> </w:t>
            </w:r>
            <w:r>
              <w:rPr>
                <w:rFonts w:hint="eastAsia" w:asciiTheme="minorEastAsia" w:hAnsiTheme="minorEastAsia" w:eastAsiaTheme="minorEastAsia" w:cstheme="minorEastAsia"/>
                <w:color w:val="auto"/>
                <w:spacing w:val="-10"/>
                <w:sz w:val="24"/>
                <w:szCs w:val="24"/>
              </w:rPr>
              <w:t>放</w:t>
            </w:r>
            <w:r>
              <w:rPr>
                <w:rFonts w:hint="eastAsia" w:asciiTheme="minorEastAsia" w:hAnsiTheme="minorEastAsia" w:eastAsiaTheme="minorEastAsia" w:cstheme="minorEastAsia"/>
                <w:color w:val="auto"/>
                <w:sz w:val="24"/>
                <w:szCs w:val="24"/>
              </w:rPr>
              <w:t>口</w:t>
            </w:r>
          </w:p>
        </w:tc>
        <w:tc>
          <w:tcPr>
            <w:tcW w:w="2497" w:type="dxa"/>
            <w:tcBorders>
              <w:left w:val="single" w:color="000000" w:sz="4" w:space="0"/>
            </w:tcBorders>
          </w:tcPr>
          <w:p w14:paraId="28FF9773">
            <w:pPr>
              <w:spacing w:line="360" w:lineRule="auto"/>
              <w:rPr>
                <w:rFonts w:asciiTheme="minorEastAsia" w:hAnsiTheme="minorEastAsia" w:eastAsiaTheme="minorEastAsia" w:cstheme="minorEastAsia"/>
                <w:color w:val="auto"/>
                <w:sz w:val="24"/>
                <w:szCs w:val="24"/>
                <w:lang w:eastAsia="zh-CN"/>
              </w:rPr>
            </w:pPr>
          </w:p>
          <w:p w14:paraId="19FD46DC">
            <w:pPr>
              <w:spacing w:line="360" w:lineRule="auto"/>
              <w:rPr>
                <w:rFonts w:asciiTheme="minorEastAsia" w:hAnsiTheme="minorEastAsia" w:eastAsiaTheme="minorEastAsia" w:cstheme="minorEastAsia"/>
                <w:color w:val="auto"/>
                <w:sz w:val="24"/>
                <w:szCs w:val="24"/>
                <w:lang w:eastAsia="zh-CN"/>
              </w:rPr>
            </w:pPr>
          </w:p>
          <w:p w14:paraId="73B6D9EE">
            <w:pPr>
              <w:spacing w:line="360" w:lineRule="auto"/>
              <w:rPr>
                <w:rFonts w:asciiTheme="minorEastAsia" w:hAnsiTheme="minorEastAsia" w:eastAsiaTheme="minorEastAsia" w:cstheme="minorEastAsia"/>
                <w:color w:val="auto"/>
                <w:sz w:val="24"/>
                <w:szCs w:val="24"/>
                <w:lang w:eastAsia="zh-CN"/>
              </w:rPr>
            </w:pPr>
          </w:p>
          <w:p w14:paraId="371D7FDB">
            <w:pPr>
              <w:pStyle w:val="13"/>
              <w:spacing w:before="78" w:line="360" w:lineRule="auto"/>
              <w:ind w:left="114" w:right="297" w:firstLine="3"/>
              <w:jc w:val="both"/>
              <w:rPr>
                <w:rFonts w:asciiTheme="minorEastAsia" w:hAnsiTheme="minorEastAsia" w:eastAsiaTheme="minorEastAsia" w:cstheme="minorEastAsia"/>
                <w:color w:val="auto"/>
                <w:spacing w:val="-10"/>
                <w:sz w:val="24"/>
                <w:szCs w:val="24"/>
                <w:lang w:eastAsia="zh-CN"/>
              </w:rPr>
            </w:pPr>
            <w:r>
              <w:rPr>
                <w:rFonts w:hint="eastAsia" w:asciiTheme="minorEastAsia" w:hAnsiTheme="minorEastAsia" w:eastAsiaTheme="minorEastAsia" w:cstheme="minorEastAsia"/>
                <w:color w:val="auto"/>
                <w:spacing w:val="3"/>
                <w:sz w:val="24"/>
                <w:szCs w:val="24"/>
                <w:lang w:eastAsia="zh-CN"/>
              </w:rPr>
              <w:t>总铬,总砷,总镍,总铜</w:t>
            </w:r>
            <w:r>
              <w:rPr>
                <w:rFonts w:hint="eastAsia" w:asciiTheme="minorEastAsia" w:hAnsiTheme="minorEastAsia" w:eastAsiaTheme="minorEastAsia" w:cstheme="minorEastAsia"/>
                <w:color w:val="auto"/>
                <w:spacing w:val="-65"/>
                <w:sz w:val="24"/>
                <w:szCs w:val="24"/>
                <w:lang w:eastAsia="zh-CN"/>
              </w:rPr>
              <w:t xml:space="preserve"> </w:t>
            </w:r>
            <w:r>
              <w:rPr>
                <w:rFonts w:hint="eastAsia" w:asciiTheme="minorEastAsia" w:hAnsiTheme="minorEastAsia" w:eastAsiaTheme="minorEastAsia" w:cstheme="minorEastAsia"/>
                <w:color w:val="auto"/>
                <w:spacing w:val="3"/>
                <w:sz w:val="24"/>
                <w:szCs w:val="24"/>
                <w:lang w:eastAsia="zh-CN"/>
              </w:rPr>
              <w:t>,</w:t>
            </w:r>
            <w:r>
              <w:rPr>
                <w:rFonts w:hint="eastAsia" w:asciiTheme="minorEastAsia" w:hAnsiTheme="minorEastAsia" w:eastAsiaTheme="minorEastAsia" w:cstheme="minorEastAsia"/>
                <w:color w:val="auto"/>
                <w:spacing w:val="-72"/>
                <w:sz w:val="24"/>
                <w:szCs w:val="24"/>
                <w:lang w:eastAsia="zh-CN"/>
              </w:rPr>
              <w:t xml:space="preserve"> </w:t>
            </w:r>
            <w:r>
              <w:rPr>
                <w:rFonts w:hint="eastAsia" w:asciiTheme="minorEastAsia" w:hAnsiTheme="minorEastAsia" w:eastAsiaTheme="minorEastAsia" w:cstheme="minorEastAsia"/>
                <w:color w:val="auto"/>
                <w:spacing w:val="3"/>
                <w:sz w:val="24"/>
                <w:szCs w:val="24"/>
                <w:lang w:eastAsia="zh-CN"/>
              </w:rPr>
              <w:t>总锌,</w:t>
            </w:r>
            <w:r>
              <w:rPr>
                <w:rFonts w:hint="eastAsia" w:asciiTheme="minorEastAsia" w:hAnsiTheme="minorEastAsia" w:eastAsiaTheme="minorEastAsia" w:cstheme="minorEastAsia"/>
                <w:color w:val="auto"/>
                <w:spacing w:val="-72"/>
                <w:sz w:val="24"/>
                <w:szCs w:val="24"/>
                <w:lang w:eastAsia="zh-CN"/>
              </w:rPr>
              <w:t xml:space="preserve"> </w:t>
            </w:r>
            <w:r>
              <w:rPr>
                <w:rFonts w:hint="eastAsia" w:asciiTheme="minorEastAsia" w:hAnsiTheme="minorEastAsia" w:eastAsiaTheme="minorEastAsia" w:cstheme="minorEastAsia"/>
                <w:color w:val="auto"/>
                <w:spacing w:val="3"/>
                <w:sz w:val="24"/>
                <w:szCs w:val="24"/>
                <w:lang w:eastAsia="zh-CN"/>
              </w:rPr>
              <w:t>总银</w:t>
            </w:r>
            <w:r>
              <w:rPr>
                <w:rFonts w:hint="eastAsia" w:asciiTheme="minorEastAsia" w:hAnsiTheme="minorEastAsia" w:eastAsiaTheme="minorEastAsia" w:cstheme="minorEastAsia"/>
                <w:color w:val="auto"/>
                <w:spacing w:val="-71"/>
                <w:sz w:val="24"/>
                <w:szCs w:val="24"/>
                <w:lang w:eastAsia="zh-CN"/>
              </w:rPr>
              <w:t xml:space="preserve"> </w:t>
            </w:r>
            <w:r>
              <w:rPr>
                <w:rFonts w:hint="eastAsia" w:asciiTheme="minorEastAsia" w:hAnsiTheme="minorEastAsia" w:eastAsiaTheme="minorEastAsia" w:cstheme="minorEastAsia"/>
                <w:color w:val="auto"/>
                <w:spacing w:val="3"/>
                <w:sz w:val="24"/>
                <w:szCs w:val="24"/>
                <w:lang w:eastAsia="zh-CN"/>
              </w:rPr>
              <w:t>,</w:t>
            </w:r>
            <w:r>
              <w:rPr>
                <w:rFonts w:hint="eastAsia" w:asciiTheme="minorEastAsia" w:hAnsiTheme="minorEastAsia" w:eastAsiaTheme="minorEastAsia" w:cstheme="minorEastAsia"/>
                <w:color w:val="auto"/>
                <w:spacing w:val="-71"/>
                <w:sz w:val="24"/>
                <w:szCs w:val="24"/>
                <w:lang w:eastAsia="zh-CN"/>
              </w:rPr>
              <w:t xml:space="preserve"> </w:t>
            </w:r>
            <w:r>
              <w:rPr>
                <w:rFonts w:hint="eastAsia" w:asciiTheme="minorEastAsia" w:hAnsiTheme="minorEastAsia" w:eastAsiaTheme="minorEastAsia" w:cstheme="minorEastAsia"/>
                <w:color w:val="auto"/>
                <w:spacing w:val="3"/>
                <w:sz w:val="24"/>
                <w:szCs w:val="24"/>
                <w:lang w:eastAsia="zh-CN"/>
              </w:rPr>
              <w:t>总</w:t>
            </w:r>
            <w:r>
              <w:rPr>
                <w:rFonts w:hint="eastAsia" w:asciiTheme="minorEastAsia" w:hAnsiTheme="minorEastAsia" w:eastAsiaTheme="minorEastAsia" w:cstheme="minorEastAsia"/>
                <w:color w:val="auto"/>
                <w:spacing w:val="-3"/>
                <w:sz w:val="24"/>
                <w:szCs w:val="24"/>
                <w:lang w:eastAsia="zh-CN"/>
              </w:rPr>
              <w:t>锑,总锡</w:t>
            </w:r>
          </w:p>
        </w:tc>
        <w:tc>
          <w:tcPr>
            <w:tcW w:w="1423" w:type="dxa"/>
          </w:tcPr>
          <w:p w14:paraId="33E28469">
            <w:pPr>
              <w:pStyle w:val="13"/>
              <w:spacing w:before="234" w:line="360" w:lineRule="auto"/>
              <w:ind w:left="140"/>
              <w:rPr>
                <w:rFonts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pacing w:val="2"/>
                <w:sz w:val="24"/>
                <w:szCs w:val="24"/>
                <w:lang w:eastAsia="zh-CN"/>
              </w:rPr>
              <w:t>同江西龙</w:t>
            </w:r>
          </w:p>
          <w:p w14:paraId="71AE6BFB">
            <w:pPr>
              <w:pStyle w:val="13"/>
              <w:spacing w:before="307" w:line="360" w:lineRule="auto"/>
              <w:ind w:left="121"/>
              <w:rPr>
                <w:rFonts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pacing w:val="7"/>
                <w:sz w:val="24"/>
                <w:szCs w:val="24"/>
                <w:lang w:eastAsia="zh-CN"/>
              </w:rPr>
              <w:t>天勇有色</w:t>
            </w:r>
          </w:p>
          <w:p w14:paraId="3602CB23">
            <w:pPr>
              <w:pStyle w:val="13"/>
              <w:spacing w:before="304" w:line="360" w:lineRule="auto"/>
              <w:ind w:left="119"/>
              <w:rPr>
                <w:rFonts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pacing w:val="7"/>
                <w:sz w:val="24"/>
                <w:szCs w:val="24"/>
                <w:lang w:eastAsia="zh-CN"/>
              </w:rPr>
              <w:t>金属有限</w:t>
            </w:r>
          </w:p>
          <w:p w14:paraId="0CDB9D33">
            <w:pPr>
              <w:pStyle w:val="13"/>
              <w:spacing w:before="304" w:line="360" w:lineRule="auto"/>
              <w:ind w:left="117" w:right="307" w:firstLine="7"/>
              <w:rPr>
                <w:rFonts w:asciiTheme="minorEastAsia" w:hAnsiTheme="minorEastAsia" w:eastAsiaTheme="minorEastAsia" w:cstheme="minorEastAsia"/>
                <w:color w:val="auto"/>
                <w:spacing w:val="2"/>
                <w:sz w:val="24"/>
                <w:szCs w:val="24"/>
              </w:rPr>
            </w:pPr>
            <w:r>
              <w:rPr>
                <w:rFonts w:hint="eastAsia" w:asciiTheme="minorEastAsia" w:hAnsiTheme="minorEastAsia" w:eastAsiaTheme="minorEastAsia" w:cstheme="minorEastAsia"/>
                <w:color w:val="auto"/>
                <w:spacing w:val="6"/>
                <w:sz w:val="24"/>
                <w:szCs w:val="24"/>
              </w:rPr>
              <w:t>公司监督</w:t>
            </w:r>
            <w:r>
              <w:rPr>
                <w:rFonts w:hint="eastAsia" w:asciiTheme="minorEastAsia" w:hAnsiTheme="minorEastAsia" w:eastAsiaTheme="minorEastAsia" w:cstheme="minorEastAsia"/>
                <w:color w:val="auto"/>
                <w:spacing w:val="-3"/>
                <w:sz w:val="24"/>
                <w:szCs w:val="24"/>
              </w:rPr>
              <w:t>性监测</w:t>
            </w:r>
          </w:p>
        </w:tc>
      </w:tr>
    </w:tbl>
    <w:p w14:paraId="4E3B850B">
      <w:pPr>
        <w:widowControl w:val="0"/>
        <w:spacing w:line="360" w:lineRule="auto"/>
        <w:rPr>
          <w:rFonts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z w:val="24"/>
          <w:szCs w:val="24"/>
          <w:lang w:eastAsia="zh-CN"/>
        </w:rPr>
        <w:t>监测时限：于当月20日前将监测报告及原始记录同时以纸质版及扫描件形式交于采购人，监测报告中需依据相关国家标准对达标情况进行评价。</w:t>
      </w:r>
    </w:p>
    <w:p w14:paraId="2A70B795">
      <w:pPr>
        <w:widowControl w:val="0"/>
        <w:spacing w:line="360" w:lineRule="auto"/>
        <w:rPr>
          <w:rFonts w:asciiTheme="minorEastAsia" w:hAnsiTheme="minorEastAsia" w:eastAsiaTheme="minorEastAsia" w:cstheme="minorEastAsia"/>
          <w:b/>
          <w:bCs/>
          <w:color w:val="auto"/>
          <w:sz w:val="24"/>
          <w:szCs w:val="24"/>
          <w:lang w:eastAsia="zh-CN"/>
        </w:rPr>
      </w:pPr>
      <w:r>
        <w:rPr>
          <w:rFonts w:hint="eastAsia" w:asciiTheme="minorEastAsia" w:hAnsiTheme="minorEastAsia" w:eastAsiaTheme="minorEastAsia" w:cstheme="minorEastAsia"/>
          <w:b/>
          <w:bCs/>
          <w:color w:val="auto"/>
          <w:sz w:val="24"/>
          <w:szCs w:val="24"/>
          <w:lang w:eastAsia="zh-CN"/>
        </w:rPr>
        <w:t>（二十四）生态样地监测</w:t>
      </w:r>
    </w:p>
    <w:p w14:paraId="32305B5A">
      <w:pPr>
        <w:widowControl w:val="0"/>
        <w:spacing w:line="360" w:lineRule="auto"/>
        <w:rPr>
          <w:rFonts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z w:val="24"/>
          <w:szCs w:val="24"/>
          <w:lang w:eastAsia="zh-CN"/>
        </w:rPr>
        <w:t>采购内容：对我县3个森林样地进行森林生态质量样地哺乳类监测,在指定位置开展鸟类监测。</w:t>
      </w:r>
    </w:p>
    <w:p w14:paraId="52A1B102">
      <w:pPr>
        <w:widowControl w:val="0"/>
        <w:spacing w:line="360" w:lineRule="auto"/>
        <w:rPr>
          <w:rFonts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z w:val="24"/>
          <w:szCs w:val="24"/>
          <w:lang w:eastAsia="zh-CN"/>
        </w:rPr>
        <w:t>监测要求：根据《森林生态质量样地监测技术规程》开展。</w:t>
      </w:r>
    </w:p>
    <w:p w14:paraId="509E738B">
      <w:pPr>
        <w:widowControl w:val="0"/>
        <w:spacing w:line="360" w:lineRule="auto"/>
        <w:rPr>
          <w:rFonts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z w:val="24"/>
          <w:szCs w:val="24"/>
          <w:lang w:eastAsia="zh-CN"/>
        </w:rPr>
        <w:t>监测时限：根据甲方要求时间开展。</w:t>
      </w:r>
    </w:p>
    <w:p w14:paraId="2AF99505">
      <w:pPr>
        <w:widowControl w:val="0"/>
        <w:spacing w:line="360" w:lineRule="auto"/>
        <w:rPr>
          <w:rFonts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z w:val="24"/>
          <w:szCs w:val="24"/>
          <w:lang w:eastAsia="zh-CN"/>
        </w:rPr>
        <w:t>成果提交：按照《森林生态质量样地监测技术规程》要求提交相应报表和材料。</w:t>
      </w:r>
    </w:p>
    <w:p w14:paraId="00F15514">
      <w:pPr>
        <w:widowControl w:val="0"/>
        <w:spacing w:line="360" w:lineRule="auto"/>
        <w:rPr>
          <w:rFonts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z w:val="24"/>
          <w:szCs w:val="24"/>
          <w:lang w:eastAsia="zh-CN"/>
        </w:rPr>
        <w:t>备注：哺乳类监测中中标人可自行配备红外相机或使用甲方红外相机，但应确保完好交还给采购人，鸟类监测需甲方自行配备相关设施设备。</w:t>
      </w:r>
    </w:p>
    <w:p w14:paraId="13DD6157">
      <w:pPr>
        <w:widowControl w:val="0"/>
        <w:spacing w:line="360" w:lineRule="auto"/>
        <w:rPr>
          <w:rFonts w:asciiTheme="minorEastAsia" w:hAnsiTheme="minorEastAsia" w:eastAsiaTheme="minorEastAsia" w:cstheme="minorEastAsia"/>
          <w:b/>
          <w:bCs/>
          <w:color w:val="auto"/>
          <w:sz w:val="24"/>
          <w:szCs w:val="24"/>
          <w:lang w:eastAsia="zh-CN"/>
        </w:rPr>
      </w:pPr>
      <w:r>
        <w:rPr>
          <w:rFonts w:hint="eastAsia" w:asciiTheme="minorEastAsia" w:hAnsiTheme="minorEastAsia" w:eastAsiaTheme="minorEastAsia" w:cstheme="minorEastAsia"/>
          <w:b/>
          <w:bCs/>
          <w:color w:val="auto"/>
          <w:sz w:val="24"/>
          <w:szCs w:val="24"/>
          <w:lang w:eastAsia="zh-CN"/>
        </w:rPr>
        <w:t>(二十五)LIMS系统运行维护</w:t>
      </w:r>
    </w:p>
    <w:p w14:paraId="5CC25723">
      <w:pPr>
        <w:widowControl w:val="0"/>
        <w:spacing w:line="360" w:lineRule="auto"/>
        <w:rPr>
          <w:rFonts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z w:val="24"/>
          <w:szCs w:val="24"/>
          <w:lang w:eastAsia="zh-CN"/>
        </w:rPr>
        <w:t>采购内容：对采购单位实验室安装LIMS系统，并做好相关运行维护等相关工作。</w:t>
      </w:r>
    </w:p>
    <w:p w14:paraId="36835B4E">
      <w:pPr>
        <w:widowControl w:val="0"/>
        <w:spacing w:line="360" w:lineRule="auto"/>
        <w:rPr>
          <w:rFonts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z w:val="24"/>
          <w:szCs w:val="24"/>
          <w:lang w:eastAsia="zh-CN"/>
        </w:rPr>
        <w:t>工作要求：LIMS系统需符合江西省生态环境厅相关工作要求。</w:t>
      </w:r>
    </w:p>
    <w:p w14:paraId="2C72471E">
      <w:pPr>
        <w:widowControl w:val="0"/>
        <w:spacing w:line="360" w:lineRule="auto"/>
        <w:rPr>
          <w:rFonts w:asciiTheme="minorEastAsia" w:hAnsiTheme="minorEastAsia" w:eastAsiaTheme="minorEastAsia" w:cstheme="minorEastAsia"/>
          <w:b/>
          <w:bCs/>
          <w:color w:val="auto"/>
          <w:sz w:val="24"/>
          <w:szCs w:val="24"/>
          <w:lang w:eastAsia="zh-CN"/>
        </w:rPr>
      </w:pPr>
      <w:r>
        <w:rPr>
          <w:rFonts w:hint="eastAsia" w:asciiTheme="minorEastAsia" w:hAnsiTheme="minorEastAsia" w:eastAsiaTheme="minorEastAsia" w:cstheme="minorEastAsia"/>
          <w:b/>
          <w:bCs/>
          <w:color w:val="auto"/>
          <w:sz w:val="24"/>
          <w:szCs w:val="24"/>
          <w:lang w:eastAsia="zh-CN"/>
        </w:rPr>
        <w:t>（二十六）实验室废液等危险废物处置及耗材供应</w:t>
      </w:r>
    </w:p>
    <w:p w14:paraId="740E2D89">
      <w:pPr>
        <w:widowControl w:val="0"/>
        <w:spacing w:line="360" w:lineRule="auto"/>
        <w:rPr>
          <w:rFonts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z w:val="24"/>
          <w:szCs w:val="24"/>
          <w:lang w:eastAsia="zh-CN"/>
        </w:rPr>
        <w:t>采购内容：2026年底委托有资质单位对吉安市永丰生态环境监测站实验室产生的废液等危险废物进行转运及处置。同时因监测业务回流需要，我局可能将部分项目由外委转自行开展，故中标单位需负责对采购人合同期内的药品、耗材、标准物质及仪器校准/检定等供应，如该部分项目我局自行开展，且中标方提供相应物资供应，相关委托费用抵消。</w:t>
      </w:r>
    </w:p>
    <w:p w14:paraId="6F848917">
      <w:pPr>
        <w:widowControl w:val="0"/>
        <w:spacing w:line="360" w:lineRule="auto"/>
        <w:rPr>
          <w:rFonts w:asciiTheme="minorEastAsia" w:hAnsiTheme="minorEastAsia" w:eastAsiaTheme="minorEastAsia" w:cstheme="minorEastAsia"/>
          <w:b/>
          <w:bCs/>
          <w:color w:val="auto"/>
          <w:sz w:val="24"/>
          <w:szCs w:val="24"/>
          <w:lang w:eastAsia="zh-CN"/>
        </w:rPr>
      </w:pPr>
      <w:r>
        <w:rPr>
          <w:rFonts w:hint="eastAsia" w:asciiTheme="minorEastAsia" w:hAnsiTheme="minorEastAsia" w:eastAsiaTheme="minorEastAsia" w:cstheme="minorEastAsia"/>
          <w:b/>
          <w:bCs/>
          <w:color w:val="auto"/>
          <w:sz w:val="24"/>
          <w:szCs w:val="24"/>
          <w:lang w:eastAsia="zh-CN"/>
        </w:rPr>
        <w:t>（二十七）其他监测内容</w:t>
      </w:r>
    </w:p>
    <w:p w14:paraId="0895D0ED">
      <w:pPr>
        <w:widowControl w:val="0"/>
        <w:spacing w:line="360" w:lineRule="auto"/>
        <w:rPr>
          <w:rFonts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z w:val="24"/>
          <w:szCs w:val="24"/>
          <w:lang w:eastAsia="zh-CN"/>
        </w:rPr>
        <w:t>因2026年江西省生态环境监测方案及2026年吉安市生态环境监测方案尚在编制中，如有新增监测内容同步纳入本次采购中，由中标单位兜底负责。</w:t>
      </w:r>
    </w:p>
    <w:p w14:paraId="3B411F77">
      <w:pPr>
        <w:widowControl w:val="0"/>
        <w:spacing w:line="360" w:lineRule="auto"/>
        <w:rPr>
          <w:rFonts w:asciiTheme="minorEastAsia" w:hAnsiTheme="minorEastAsia" w:eastAsiaTheme="minorEastAsia" w:cstheme="minorEastAsia"/>
          <w:b/>
          <w:bCs/>
          <w:color w:val="auto"/>
          <w:sz w:val="24"/>
          <w:szCs w:val="24"/>
          <w:lang w:eastAsia="zh-CN"/>
        </w:rPr>
      </w:pPr>
      <w:r>
        <w:rPr>
          <w:rFonts w:hint="eastAsia" w:asciiTheme="minorEastAsia" w:hAnsiTheme="minorEastAsia" w:eastAsiaTheme="minorEastAsia" w:cstheme="minorEastAsia"/>
          <w:b/>
          <w:bCs/>
          <w:color w:val="auto"/>
          <w:sz w:val="24"/>
          <w:szCs w:val="24"/>
          <w:lang w:eastAsia="zh-CN"/>
        </w:rPr>
        <w:t>(二十八)其他需要说明的情况</w:t>
      </w:r>
    </w:p>
    <w:p w14:paraId="1E1735D4">
      <w:pPr>
        <w:widowControl w:val="0"/>
        <w:spacing w:line="360" w:lineRule="auto"/>
        <w:rPr>
          <w:rFonts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z w:val="24"/>
          <w:szCs w:val="24"/>
          <w:lang w:eastAsia="zh-CN"/>
        </w:rPr>
        <w:t>1.投标人检测能力参数必须达到本项目所要求检测任务参数的60%（含）以上并提供资质证书及认证参数附表，出具的监测报告均应加盖CMA章。</w:t>
      </w:r>
    </w:p>
    <w:p w14:paraId="53068DB8">
      <w:pPr>
        <w:widowControl w:val="0"/>
        <w:spacing w:line="360" w:lineRule="auto"/>
        <w:rPr>
          <w:rFonts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z w:val="24"/>
          <w:szCs w:val="24"/>
          <w:lang w:eastAsia="zh-CN"/>
        </w:rPr>
        <w:t>2.如检测结果异常，需在检测结果出来第一时间（采样结束后7个自然日内）进行核实，如确认无误，则立即通知采购人。</w:t>
      </w:r>
    </w:p>
    <w:p w14:paraId="1C60FD12">
      <w:pPr>
        <w:widowControl w:val="0"/>
        <w:spacing w:line="360" w:lineRule="auto"/>
        <w:rPr>
          <w:rFonts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z w:val="24"/>
          <w:szCs w:val="24"/>
          <w:lang w:eastAsia="zh-CN"/>
        </w:rPr>
        <w:t>3.质量保证和质量控制按照《地表水监测技术规范》、《污水监测技术规范》、《地下水环境监测技术规范》、《固定污染源监测质量保证与质量控制技术规范（试行）》及《环境水质监测质量保证手册（第二版）》等国家标准、规范有关要求执行。</w:t>
      </w:r>
    </w:p>
    <w:p w14:paraId="58366203">
      <w:pPr>
        <w:widowControl w:val="0"/>
        <w:spacing w:line="360" w:lineRule="auto"/>
        <w:rPr>
          <w:rFonts w:hint="eastAsia"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z w:val="24"/>
          <w:szCs w:val="24"/>
          <w:lang w:eastAsia="zh-CN"/>
        </w:rPr>
        <w:t>4. 根据《环境监测数据弄虚作假行为判定及处理办法》及相关法律法规规定，本项目不接受涉及环境监测弄虚作假行为或聘用涉及弄虚作假行为人员的机构参与投标。</w:t>
      </w:r>
    </w:p>
    <w:p w14:paraId="50143A15">
      <w:pPr>
        <w:widowControl w:val="0"/>
        <w:spacing w:line="360" w:lineRule="auto"/>
        <w:rPr>
          <w:rFonts w:hint="eastAsia"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z w:val="24"/>
          <w:szCs w:val="24"/>
          <w:lang w:eastAsia="zh-CN"/>
        </w:rPr>
        <w:t>5.(三)至(十七)中如因企业停产或拆除监测点导致无法监测的，以其他相等数量监测点位、相同监测因子监测工作等量替代。</w:t>
      </w:r>
    </w:p>
    <w:p w14:paraId="52A13563">
      <w:pPr>
        <w:spacing w:line="360" w:lineRule="auto"/>
        <w:rPr>
          <w:rFonts w:asciiTheme="minorEastAsia" w:hAnsiTheme="minorEastAsia" w:eastAsiaTheme="minorEastAsia" w:cstheme="minorEastAsia"/>
          <w:b/>
          <w:bCs/>
          <w:color w:val="auto"/>
          <w:sz w:val="24"/>
          <w:szCs w:val="24"/>
          <w:lang w:eastAsia="zh-CN"/>
        </w:rPr>
      </w:pPr>
      <w:r>
        <w:rPr>
          <w:rFonts w:hint="eastAsia" w:asciiTheme="minorEastAsia" w:hAnsiTheme="minorEastAsia" w:eastAsiaTheme="minorEastAsia" w:cstheme="minorEastAsia"/>
          <w:b/>
          <w:bCs/>
          <w:color w:val="auto"/>
          <w:sz w:val="24"/>
          <w:szCs w:val="24"/>
          <w:lang w:eastAsia="zh-CN"/>
        </w:rPr>
        <w:t>（二十九）固定污染源自动监测设备动态管控现场端门禁和视频监控技术要求</w:t>
      </w:r>
    </w:p>
    <w:p w14:paraId="16FFD9F1">
      <w:pPr>
        <w:spacing w:line="360" w:lineRule="auto"/>
        <w:rPr>
          <w:rFonts w:asciiTheme="minorEastAsia" w:hAnsiTheme="minorEastAsia" w:eastAsiaTheme="minorEastAsia" w:cstheme="minorEastAsia"/>
          <w:b/>
          <w:bCs/>
          <w:color w:val="auto"/>
          <w:sz w:val="24"/>
          <w:szCs w:val="24"/>
          <w:lang w:eastAsia="zh-CN"/>
        </w:rPr>
      </w:pPr>
      <w:r>
        <w:rPr>
          <w:rFonts w:hint="eastAsia" w:asciiTheme="minorEastAsia" w:hAnsiTheme="minorEastAsia" w:eastAsiaTheme="minorEastAsia" w:cstheme="minorEastAsia"/>
          <w:b/>
          <w:bCs/>
          <w:color w:val="auto"/>
          <w:sz w:val="24"/>
          <w:szCs w:val="24"/>
          <w:lang w:eastAsia="zh-CN"/>
        </w:rPr>
        <w:t>1.设备采购清单</w:t>
      </w:r>
    </w:p>
    <w:tbl>
      <w:tblPr>
        <w:tblStyle w:val="11"/>
        <w:tblW w:w="9755" w:type="dxa"/>
        <w:tblInd w:w="96" w:type="dxa"/>
        <w:tblLayout w:type="autofit"/>
        <w:tblCellMar>
          <w:top w:w="0" w:type="dxa"/>
          <w:left w:w="108" w:type="dxa"/>
          <w:bottom w:w="0" w:type="dxa"/>
          <w:right w:w="108" w:type="dxa"/>
        </w:tblCellMar>
      </w:tblPr>
      <w:tblGrid>
        <w:gridCol w:w="661"/>
        <w:gridCol w:w="1237"/>
        <w:gridCol w:w="1833"/>
        <w:gridCol w:w="950"/>
        <w:gridCol w:w="1833"/>
        <w:gridCol w:w="3241"/>
      </w:tblGrid>
      <w:tr w14:paraId="7E2A3D6A">
        <w:tblPrEx>
          <w:tblCellMar>
            <w:top w:w="0" w:type="dxa"/>
            <w:left w:w="108" w:type="dxa"/>
            <w:bottom w:w="0" w:type="dxa"/>
            <w:right w:w="108" w:type="dxa"/>
          </w:tblCellMar>
        </w:tblPrEx>
        <w:trPr>
          <w:trHeight w:val="90" w:hRule="atLeast"/>
        </w:trPr>
        <w:tc>
          <w:tcPr>
            <w:tcW w:w="66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1075A2">
            <w:pPr>
              <w:spacing w:line="360" w:lineRule="auto"/>
              <w:rPr>
                <w:rFonts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z w:val="24"/>
                <w:szCs w:val="24"/>
                <w:lang w:eastAsia="zh-CN"/>
              </w:rPr>
              <w:t>序号</w:t>
            </w:r>
          </w:p>
        </w:tc>
        <w:tc>
          <w:tcPr>
            <w:tcW w:w="12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92CA10">
            <w:pPr>
              <w:spacing w:line="360" w:lineRule="auto"/>
              <w:rPr>
                <w:rFonts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z w:val="24"/>
                <w:szCs w:val="24"/>
                <w:lang w:eastAsia="zh-CN"/>
              </w:rPr>
              <w:t>类别</w:t>
            </w:r>
          </w:p>
        </w:tc>
        <w:tc>
          <w:tcPr>
            <w:tcW w:w="18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4BD280">
            <w:pPr>
              <w:spacing w:line="360" w:lineRule="auto"/>
              <w:rPr>
                <w:rFonts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z w:val="24"/>
                <w:szCs w:val="24"/>
                <w:lang w:eastAsia="zh-CN"/>
              </w:rPr>
              <w:t>物料名称</w:t>
            </w:r>
          </w:p>
        </w:tc>
        <w:tc>
          <w:tcPr>
            <w:tcW w:w="9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72D7CB">
            <w:pPr>
              <w:spacing w:line="360" w:lineRule="auto"/>
              <w:rPr>
                <w:rFonts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z w:val="24"/>
                <w:szCs w:val="24"/>
                <w:lang w:eastAsia="zh-CN"/>
              </w:rPr>
              <w:t>数量</w:t>
            </w:r>
          </w:p>
        </w:tc>
        <w:tc>
          <w:tcPr>
            <w:tcW w:w="18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A04316">
            <w:pPr>
              <w:spacing w:line="360" w:lineRule="auto"/>
              <w:rPr>
                <w:rFonts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z w:val="24"/>
                <w:szCs w:val="24"/>
                <w:lang w:eastAsia="zh-CN"/>
              </w:rPr>
              <w:t>单位</w:t>
            </w:r>
          </w:p>
        </w:tc>
        <w:tc>
          <w:tcPr>
            <w:tcW w:w="32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8283F8">
            <w:pPr>
              <w:spacing w:line="360" w:lineRule="auto"/>
              <w:rPr>
                <w:rFonts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z w:val="24"/>
                <w:szCs w:val="24"/>
                <w:lang w:eastAsia="zh-CN"/>
              </w:rPr>
              <w:t>备注</w:t>
            </w:r>
          </w:p>
        </w:tc>
      </w:tr>
      <w:tr w14:paraId="552DBF0E">
        <w:tblPrEx>
          <w:tblCellMar>
            <w:top w:w="0" w:type="dxa"/>
            <w:left w:w="108" w:type="dxa"/>
            <w:bottom w:w="0" w:type="dxa"/>
            <w:right w:w="108" w:type="dxa"/>
          </w:tblCellMar>
        </w:tblPrEx>
        <w:trPr>
          <w:trHeight w:val="90" w:hRule="atLeast"/>
        </w:trPr>
        <w:tc>
          <w:tcPr>
            <w:tcW w:w="66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5ACF56">
            <w:pPr>
              <w:spacing w:line="360" w:lineRule="auto"/>
              <w:rPr>
                <w:rFonts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z w:val="24"/>
                <w:szCs w:val="24"/>
                <w:lang w:eastAsia="zh-CN"/>
              </w:rPr>
              <w:t>1</w:t>
            </w:r>
          </w:p>
        </w:tc>
        <w:tc>
          <w:tcPr>
            <w:tcW w:w="12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97A854">
            <w:pPr>
              <w:spacing w:line="360" w:lineRule="auto"/>
              <w:rPr>
                <w:rFonts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z w:val="24"/>
                <w:szCs w:val="24"/>
                <w:lang w:eastAsia="zh-CN"/>
              </w:rPr>
              <w:t>摄像头</w:t>
            </w:r>
          </w:p>
        </w:tc>
        <w:tc>
          <w:tcPr>
            <w:tcW w:w="18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4E9BDB">
            <w:pPr>
              <w:spacing w:line="360" w:lineRule="auto"/>
              <w:rPr>
                <w:rFonts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z w:val="24"/>
                <w:szCs w:val="24"/>
                <w:lang w:eastAsia="zh-CN"/>
              </w:rPr>
              <w:t>摄像机</w:t>
            </w:r>
          </w:p>
        </w:tc>
        <w:tc>
          <w:tcPr>
            <w:tcW w:w="9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FE69F6">
            <w:pPr>
              <w:spacing w:line="360" w:lineRule="auto"/>
              <w:rPr>
                <w:rFonts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z w:val="24"/>
                <w:szCs w:val="24"/>
                <w:lang w:eastAsia="zh-CN"/>
              </w:rPr>
              <w:t>90</w:t>
            </w:r>
          </w:p>
        </w:tc>
        <w:tc>
          <w:tcPr>
            <w:tcW w:w="18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52BEC1">
            <w:pPr>
              <w:spacing w:line="360" w:lineRule="auto"/>
              <w:rPr>
                <w:rFonts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z w:val="24"/>
                <w:szCs w:val="24"/>
                <w:lang w:eastAsia="zh-CN"/>
              </w:rPr>
              <w:t>台</w:t>
            </w:r>
          </w:p>
        </w:tc>
        <w:tc>
          <w:tcPr>
            <w:tcW w:w="32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953B8D">
            <w:pPr>
              <w:spacing w:line="360" w:lineRule="auto"/>
              <w:rPr>
                <w:rFonts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z w:val="24"/>
                <w:szCs w:val="24"/>
                <w:lang w:eastAsia="zh-CN"/>
              </w:rPr>
              <w:t>共34个点位，其中水污染源在线监控点位每个点位安装摄像头2个，烟气在线监控点位每个点位安装摄像头3个。</w:t>
            </w:r>
          </w:p>
        </w:tc>
      </w:tr>
      <w:tr w14:paraId="6D90F192">
        <w:tblPrEx>
          <w:tblCellMar>
            <w:top w:w="0" w:type="dxa"/>
            <w:left w:w="108" w:type="dxa"/>
            <w:bottom w:w="0" w:type="dxa"/>
            <w:right w:w="108" w:type="dxa"/>
          </w:tblCellMar>
        </w:tblPrEx>
        <w:trPr>
          <w:trHeight w:val="90" w:hRule="atLeast"/>
        </w:trPr>
        <w:tc>
          <w:tcPr>
            <w:tcW w:w="66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AE820C">
            <w:pPr>
              <w:spacing w:line="360" w:lineRule="auto"/>
              <w:rPr>
                <w:rFonts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z w:val="24"/>
                <w:szCs w:val="24"/>
                <w:lang w:eastAsia="zh-CN"/>
              </w:rPr>
              <w:t>2</w:t>
            </w:r>
          </w:p>
        </w:tc>
        <w:tc>
          <w:tcPr>
            <w:tcW w:w="12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3C233D">
            <w:pPr>
              <w:spacing w:line="360" w:lineRule="auto"/>
              <w:rPr>
                <w:rFonts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z w:val="24"/>
                <w:szCs w:val="24"/>
                <w:lang w:eastAsia="zh-CN"/>
              </w:rPr>
              <w:t>门禁</w:t>
            </w:r>
          </w:p>
        </w:tc>
        <w:tc>
          <w:tcPr>
            <w:tcW w:w="18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29B6FB">
            <w:pPr>
              <w:spacing w:line="360" w:lineRule="auto"/>
              <w:rPr>
                <w:rFonts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z w:val="24"/>
                <w:szCs w:val="24"/>
                <w:lang w:eastAsia="zh-CN"/>
              </w:rPr>
              <w:t>人脸识别门禁设备</w:t>
            </w:r>
          </w:p>
        </w:tc>
        <w:tc>
          <w:tcPr>
            <w:tcW w:w="9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AF7351">
            <w:pPr>
              <w:spacing w:line="360" w:lineRule="auto"/>
              <w:rPr>
                <w:rFonts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z w:val="24"/>
                <w:szCs w:val="24"/>
                <w:lang w:eastAsia="zh-CN"/>
              </w:rPr>
              <w:t>34</w:t>
            </w:r>
          </w:p>
        </w:tc>
        <w:tc>
          <w:tcPr>
            <w:tcW w:w="18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8E1531">
            <w:pPr>
              <w:spacing w:line="360" w:lineRule="auto"/>
              <w:rPr>
                <w:rFonts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z w:val="24"/>
                <w:szCs w:val="24"/>
                <w:lang w:eastAsia="zh-CN"/>
              </w:rPr>
              <w:t>套</w:t>
            </w:r>
          </w:p>
        </w:tc>
        <w:tc>
          <w:tcPr>
            <w:tcW w:w="32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F77E39">
            <w:pPr>
              <w:spacing w:line="360" w:lineRule="auto"/>
              <w:rPr>
                <w:rFonts w:asciiTheme="minorEastAsia" w:hAnsiTheme="minorEastAsia" w:eastAsiaTheme="minorEastAsia" w:cstheme="minorEastAsia"/>
                <w:color w:val="auto"/>
                <w:sz w:val="24"/>
                <w:szCs w:val="24"/>
                <w:lang w:eastAsia="zh-CN"/>
              </w:rPr>
            </w:pPr>
          </w:p>
        </w:tc>
      </w:tr>
    </w:tbl>
    <w:p w14:paraId="3A719A96">
      <w:pPr>
        <w:spacing w:line="360" w:lineRule="auto"/>
        <w:rPr>
          <w:rFonts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b/>
          <w:bCs/>
          <w:color w:val="auto"/>
          <w:sz w:val="24"/>
          <w:szCs w:val="24"/>
          <w:lang w:eastAsia="zh-CN"/>
        </w:rPr>
        <w:t>2.设备技术要求</w:t>
      </w:r>
    </w:p>
    <w:p w14:paraId="057B878E">
      <w:pPr>
        <w:spacing w:line="360" w:lineRule="auto"/>
        <w:rPr>
          <w:rFonts w:asciiTheme="minorEastAsia" w:hAnsiTheme="minorEastAsia" w:eastAsiaTheme="minorEastAsia" w:cstheme="minorEastAsia"/>
          <w:b/>
          <w:bCs/>
          <w:color w:val="auto"/>
          <w:sz w:val="24"/>
          <w:szCs w:val="24"/>
          <w:lang w:eastAsia="zh-CN"/>
        </w:rPr>
      </w:pPr>
      <w:r>
        <w:rPr>
          <w:rFonts w:hint="eastAsia" w:asciiTheme="minorEastAsia" w:hAnsiTheme="minorEastAsia" w:eastAsiaTheme="minorEastAsia" w:cstheme="minorEastAsia"/>
          <w:b/>
          <w:bCs/>
          <w:color w:val="auto"/>
          <w:sz w:val="24"/>
          <w:szCs w:val="24"/>
          <w:lang w:eastAsia="zh-CN"/>
        </w:rPr>
        <w:t>2.1摄像机</w:t>
      </w:r>
    </w:p>
    <w:p w14:paraId="0D742745">
      <w:pPr>
        <w:spacing w:line="360" w:lineRule="auto"/>
        <w:rPr>
          <w:rFonts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b/>
          <w:bCs/>
          <w:color w:val="auto"/>
          <w:sz w:val="24"/>
          <w:szCs w:val="24"/>
          <w:lang w:eastAsia="zh-CN"/>
        </w:rPr>
        <w:t>2.1.1技术参数</w:t>
      </w:r>
    </w:p>
    <w:p w14:paraId="093CA0B9">
      <w:pPr>
        <w:spacing w:line="360" w:lineRule="auto"/>
        <w:rPr>
          <w:rFonts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z w:val="24"/>
          <w:szCs w:val="24"/>
          <w:lang w:eastAsia="zh-CN"/>
        </w:rPr>
        <w:t>1）应支持废气采样平台视频球机水平范围360°连续旋转，垂直范围-5°～90°自动翻转；</w:t>
      </w:r>
    </w:p>
    <w:p w14:paraId="31A434DD">
      <w:pPr>
        <w:spacing w:line="360" w:lineRule="auto"/>
        <w:rPr>
          <w:rFonts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z w:val="24"/>
          <w:szCs w:val="24"/>
          <w:lang w:eastAsia="zh-CN"/>
        </w:rPr>
        <w:t>2）应支持图像分辨率不低于400 万(2560×1440)像素；</w:t>
      </w:r>
    </w:p>
    <w:p w14:paraId="757489DE">
      <w:pPr>
        <w:spacing w:line="360" w:lineRule="auto"/>
        <w:rPr>
          <w:rFonts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z w:val="24"/>
          <w:szCs w:val="24"/>
          <w:lang w:eastAsia="zh-CN"/>
        </w:rPr>
        <w:t>3）应支持H.264、H.265等视频监控设备码流编解码格式；</w:t>
      </w:r>
    </w:p>
    <w:p w14:paraId="18C38695">
      <w:pPr>
        <w:spacing w:line="360" w:lineRule="auto"/>
        <w:rPr>
          <w:rFonts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z w:val="24"/>
          <w:szCs w:val="24"/>
          <w:lang w:eastAsia="zh-CN"/>
        </w:rPr>
        <w:t>4）应支持红外补光功能，照射距离不应小于30米，满足夜间拍摄场景；</w:t>
      </w:r>
    </w:p>
    <w:p w14:paraId="0F073ECC">
      <w:pPr>
        <w:spacing w:line="360" w:lineRule="auto"/>
        <w:rPr>
          <w:rFonts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z w:val="24"/>
          <w:szCs w:val="24"/>
          <w:lang w:eastAsia="zh-CN"/>
        </w:rPr>
        <w:t>5）应支持字幕叠加功能；</w:t>
      </w:r>
    </w:p>
    <w:p w14:paraId="11C32A5C">
      <w:pPr>
        <w:spacing w:line="360" w:lineRule="auto"/>
        <w:rPr>
          <w:rFonts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z w:val="24"/>
          <w:szCs w:val="24"/>
          <w:lang w:eastAsia="zh-CN"/>
        </w:rPr>
        <w:t>6）应支持RJ45网口传输方式；</w:t>
      </w:r>
    </w:p>
    <w:p w14:paraId="48C4ED43">
      <w:pPr>
        <w:spacing w:line="360" w:lineRule="auto"/>
        <w:rPr>
          <w:rFonts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z w:val="24"/>
          <w:szCs w:val="24"/>
          <w:lang w:eastAsia="zh-CN"/>
        </w:rPr>
        <w:t>7）防护等级应不低于IP66，满足室外安装使用；</w:t>
      </w:r>
    </w:p>
    <w:p w14:paraId="2075CC38">
      <w:pPr>
        <w:spacing w:line="360" w:lineRule="auto"/>
        <w:rPr>
          <w:rFonts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z w:val="24"/>
          <w:szCs w:val="24"/>
          <w:lang w:eastAsia="zh-CN"/>
        </w:rPr>
        <w:t>8）对有防爆要求的场合，应具有防爆防护功能。</w:t>
      </w:r>
    </w:p>
    <w:p w14:paraId="5079AB22">
      <w:pPr>
        <w:spacing w:line="360" w:lineRule="auto"/>
        <w:rPr>
          <w:rFonts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b/>
          <w:bCs/>
          <w:color w:val="auto"/>
          <w:sz w:val="24"/>
          <w:szCs w:val="24"/>
          <w:lang w:eastAsia="zh-CN"/>
        </w:rPr>
        <w:t>2.1.2功能要求</w:t>
      </w:r>
    </w:p>
    <w:p w14:paraId="4BED52F2">
      <w:pPr>
        <w:numPr>
          <w:ilvl w:val="0"/>
          <w:numId w:val="1"/>
        </w:numPr>
        <w:spacing w:line="360" w:lineRule="auto"/>
        <w:rPr>
          <w:rFonts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z w:val="24"/>
          <w:szCs w:val="24"/>
          <w:lang w:eastAsia="zh-CN"/>
        </w:rPr>
        <w:t>应具备支持每台视频监控设备的唯一信息标注，信息标注的应包括日期时间、视频监控设备所在位置的详细信息或用途；</w:t>
      </w:r>
    </w:p>
    <w:p w14:paraId="01D5F5C5">
      <w:pPr>
        <w:numPr>
          <w:ilvl w:val="0"/>
          <w:numId w:val="1"/>
        </w:numPr>
        <w:spacing w:line="360" w:lineRule="auto"/>
        <w:rPr>
          <w:rFonts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z w:val="24"/>
          <w:szCs w:val="24"/>
          <w:lang w:eastAsia="zh-CN"/>
        </w:rPr>
        <w:t>应具备异常事件侦测功能，如移动侦测、人形追踪等；</w:t>
      </w:r>
    </w:p>
    <w:p w14:paraId="069D240B">
      <w:pPr>
        <w:numPr>
          <w:ilvl w:val="0"/>
          <w:numId w:val="1"/>
        </w:numPr>
        <w:spacing w:line="360" w:lineRule="auto"/>
        <w:rPr>
          <w:rFonts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z w:val="24"/>
          <w:szCs w:val="24"/>
          <w:lang w:eastAsia="zh-CN"/>
        </w:rPr>
        <w:t>应具备动态捕捉、定时抓图与事件抓图功能；</w:t>
      </w:r>
    </w:p>
    <w:p w14:paraId="1C94A6BB">
      <w:pPr>
        <w:numPr>
          <w:ilvl w:val="0"/>
          <w:numId w:val="1"/>
        </w:numPr>
        <w:spacing w:line="360" w:lineRule="auto"/>
        <w:rPr>
          <w:rFonts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z w:val="24"/>
          <w:szCs w:val="24"/>
          <w:lang w:eastAsia="zh-CN"/>
        </w:rPr>
        <w:t>应具备支持H.264、H.265等视频监控设备码流编解码格式；</w:t>
      </w:r>
    </w:p>
    <w:p w14:paraId="2D06EA45">
      <w:pPr>
        <w:numPr>
          <w:ilvl w:val="0"/>
          <w:numId w:val="1"/>
        </w:numPr>
        <w:spacing w:line="360" w:lineRule="auto"/>
        <w:rPr>
          <w:rFonts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z w:val="24"/>
          <w:szCs w:val="24"/>
          <w:lang w:eastAsia="zh-CN"/>
        </w:rPr>
        <w:t>应具备自动红外补光功能，照射距离不应小于30米，满足夜间拍摄场景；</w:t>
      </w:r>
    </w:p>
    <w:p w14:paraId="04A856FC">
      <w:pPr>
        <w:numPr>
          <w:ilvl w:val="0"/>
          <w:numId w:val="1"/>
        </w:numPr>
        <w:spacing w:line="360" w:lineRule="auto"/>
        <w:rPr>
          <w:rFonts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z w:val="24"/>
          <w:szCs w:val="24"/>
          <w:lang w:eastAsia="zh-CN"/>
        </w:rPr>
        <w:t>应具备不少于1个RJ45 10 M/100 M自适应以太网口；</w:t>
      </w:r>
    </w:p>
    <w:p w14:paraId="0749EA1E">
      <w:pPr>
        <w:numPr>
          <w:ilvl w:val="0"/>
          <w:numId w:val="1"/>
        </w:numPr>
        <w:spacing w:line="360" w:lineRule="auto"/>
        <w:rPr>
          <w:rFonts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z w:val="24"/>
          <w:szCs w:val="24"/>
          <w:lang w:eastAsia="zh-CN"/>
        </w:rPr>
        <w:t>应具备不低于IP66的防护等级，对有防爆要求的场合，应具有防爆防护功能。</w:t>
      </w:r>
    </w:p>
    <w:p w14:paraId="418AAA2E">
      <w:pPr>
        <w:spacing w:line="360" w:lineRule="auto"/>
        <w:rPr>
          <w:rFonts w:asciiTheme="minorEastAsia" w:hAnsiTheme="minorEastAsia" w:eastAsiaTheme="minorEastAsia" w:cstheme="minorEastAsia"/>
          <w:b/>
          <w:bCs/>
          <w:color w:val="auto"/>
          <w:sz w:val="24"/>
          <w:szCs w:val="24"/>
          <w:lang w:eastAsia="zh-CN"/>
        </w:rPr>
      </w:pPr>
      <w:r>
        <w:rPr>
          <w:rFonts w:hint="eastAsia" w:asciiTheme="minorEastAsia" w:hAnsiTheme="minorEastAsia" w:eastAsiaTheme="minorEastAsia" w:cstheme="minorEastAsia"/>
          <w:b/>
          <w:bCs/>
          <w:color w:val="auto"/>
          <w:sz w:val="24"/>
          <w:szCs w:val="24"/>
          <w:lang w:eastAsia="zh-CN"/>
        </w:rPr>
        <w:t>2.2人脸识别门禁设备</w:t>
      </w:r>
    </w:p>
    <w:p w14:paraId="7AAB5E71">
      <w:pPr>
        <w:spacing w:line="360" w:lineRule="auto"/>
        <w:rPr>
          <w:rFonts w:asciiTheme="minorEastAsia" w:hAnsiTheme="minorEastAsia" w:eastAsiaTheme="minorEastAsia" w:cstheme="minorEastAsia"/>
          <w:b/>
          <w:bCs/>
          <w:color w:val="auto"/>
          <w:sz w:val="24"/>
          <w:szCs w:val="24"/>
          <w:lang w:eastAsia="zh-CN"/>
        </w:rPr>
      </w:pPr>
      <w:r>
        <w:rPr>
          <w:rFonts w:hint="eastAsia" w:asciiTheme="minorEastAsia" w:hAnsiTheme="minorEastAsia" w:eastAsiaTheme="minorEastAsia" w:cstheme="minorEastAsia"/>
          <w:b/>
          <w:bCs/>
          <w:color w:val="auto"/>
          <w:sz w:val="24"/>
          <w:szCs w:val="24"/>
          <w:lang w:eastAsia="zh-CN"/>
        </w:rPr>
        <w:t>2.2.1技术参数</w:t>
      </w:r>
    </w:p>
    <w:p w14:paraId="0C191FBE">
      <w:pPr>
        <w:numPr>
          <w:ilvl w:val="0"/>
          <w:numId w:val="2"/>
        </w:numPr>
        <w:spacing w:line="360" w:lineRule="auto"/>
        <w:rPr>
          <w:rFonts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z w:val="24"/>
          <w:szCs w:val="24"/>
          <w:lang w:eastAsia="zh-CN"/>
        </w:rPr>
        <w:t>应支持人脸、刷卡、密码等认证方式；</w:t>
      </w:r>
    </w:p>
    <w:p w14:paraId="201351FB">
      <w:pPr>
        <w:numPr>
          <w:ilvl w:val="0"/>
          <w:numId w:val="2"/>
        </w:numPr>
        <w:spacing w:line="360" w:lineRule="auto"/>
        <w:rPr>
          <w:rFonts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z w:val="24"/>
          <w:szCs w:val="24"/>
          <w:lang w:eastAsia="zh-CN"/>
        </w:rPr>
        <w:t>应采用LCD液晶触摸屏；</w:t>
      </w:r>
    </w:p>
    <w:p w14:paraId="03A1FCE4">
      <w:pPr>
        <w:numPr>
          <w:ilvl w:val="0"/>
          <w:numId w:val="2"/>
        </w:numPr>
        <w:spacing w:line="360" w:lineRule="auto"/>
        <w:rPr>
          <w:rFonts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z w:val="24"/>
          <w:szCs w:val="24"/>
          <w:lang w:eastAsia="zh-CN"/>
        </w:rPr>
        <w:t>应支持人脸对比时间≤0.5s/人，人脸验证准确率≥99%；</w:t>
      </w:r>
    </w:p>
    <w:p w14:paraId="7C7CCFDE">
      <w:pPr>
        <w:numPr>
          <w:ilvl w:val="0"/>
          <w:numId w:val="2"/>
        </w:numPr>
        <w:spacing w:line="360" w:lineRule="auto"/>
        <w:rPr>
          <w:rFonts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z w:val="24"/>
          <w:szCs w:val="24"/>
          <w:lang w:eastAsia="zh-CN"/>
        </w:rPr>
        <w:t>应支持TCP/IP通讯协议，</w:t>
      </w:r>
    </w:p>
    <w:p w14:paraId="0EACA4B4">
      <w:pPr>
        <w:numPr>
          <w:ilvl w:val="0"/>
          <w:numId w:val="2"/>
        </w:numPr>
        <w:spacing w:line="360" w:lineRule="auto"/>
        <w:rPr>
          <w:rFonts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z w:val="24"/>
          <w:szCs w:val="24"/>
          <w:lang w:eastAsia="zh-CN"/>
        </w:rPr>
        <w:t>应支持10/100Mbps自适应网口通讯方式；</w:t>
      </w:r>
    </w:p>
    <w:p w14:paraId="5A76BF3F">
      <w:pPr>
        <w:numPr>
          <w:ilvl w:val="0"/>
          <w:numId w:val="2"/>
        </w:numPr>
        <w:spacing w:line="360" w:lineRule="auto"/>
        <w:rPr>
          <w:rFonts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z w:val="24"/>
          <w:szCs w:val="24"/>
          <w:lang w:eastAsia="zh-CN"/>
        </w:rPr>
        <w:t>防护等级应不低于IP65，可满足室外安装要求；</w:t>
      </w:r>
    </w:p>
    <w:p w14:paraId="02BD1DA8">
      <w:pPr>
        <w:numPr>
          <w:ilvl w:val="0"/>
          <w:numId w:val="2"/>
        </w:numPr>
        <w:spacing w:line="360" w:lineRule="auto"/>
        <w:rPr>
          <w:rFonts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z w:val="24"/>
          <w:szCs w:val="24"/>
          <w:lang w:eastAsia="zh-CN"/>
        </w:rPr>
        <w:t>对有防爆要求的场合，应具有防爆防护功能。</w:t>
      </w:r>
    </w:p>
    <w:p w14:paraId="65755E82">
      <w:pPr>
        <w:spacing w:line="360" w:lineRule="auto"/>
        <w:rPr>
          <w:rFonts w:asciiTheme="minorEastAsia" w:hAnsiTheme="minorEastAsia" w:eastAsiaTheme="minorEastAsia" w:cstheme="minorEastAsia"/>
          <w:b/>
          <w:bCs/>
          <w:color w:val="auto"/>
          <w:sz w:val="24"/>
          <w:szCs w:val="24"/>
          <w:lang w:eastAsia="zh-CN"/>
        </w:rPr>
      </w:pPr>
      <w:r>
        <w:rPr>
          <w:rFonts w:hint="eastAsia" w:asciiTheme="minorEastAsia" w:hAnsiTheme="minorEastAsia" w:eastAsiaTheme="minorEastAsia" w:cstheme="minorEastAsia"/>
          <w:b/>
          <w:bCs/>
          <w:color w:val="auto"/>
          <w:sz w:val="24"/>
          <w:szCs w:val="24"/>
          <w:lang w:eastAsia="zh-CN"/>
        </w:rPr>
        <w:t>2.2.2功能要求</w:t>
      </w:r>
    </w:p>
    <w:p w14:paraId="4874EF1F">
      <w:pPr>
        <w:numPr>
          <w:ilvl w:val="0"/>
          <w:numId w:val="3"/>
        </w:numPr>
        <w:spacing w:line="360" w:lineRule="auto"/>
        <w:rPr>
          <w:rFonts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z w:val="24"/>
          <w:szCs w:val="24"/>
          <w:lang w:eastAsia="zh-CN"/>
        </w:rPr>
        <w:t>应支持不少于人脸、密码两种识别方式；</w:t>
      </w:r>
    </w:p>
    <w:p w14:paraId="0D4D15E1">
      <w:pPr>
        <w:numPr>
          <w:ilvl w:val="0"/>
          <w:numId w:val="3"/>
        </w:numPr>
        <w:spacing w:line="360" w:lineRule="auto"/>
        <w:rPr>
          <w:rFonts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z w:val="24"/>
          <w:szCs w:val="24"/>
          <w:lang w:eastAsia="zh-CN"/>
        </w:rPr>
        <w:t>应可存储并主动上传开门记录，包括开门时间、开门人员编码等；</w:t>
      </w:r>
    </w:p>
    <w:p w14:paraId="5AF587B2">
      <w:pPr>
        <w:numPr>
          <w:ilvl w:val="0"/>
          <w:numId w:val="3"/>
        </w:numPr>
        <w:spacing w:line="360" w:lineRule="auto"/>
        <w:rPr>
          <w:rFonts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z w:val="24"/>
          <w:szCs w:val="24"/>
          <w:lang w:eastAsia="zh-CN"/>
        </w:rPr>
        <w:t>应具有声音提示功能；</w:t>
      </w:r>
    </w:p>
    <w:p w14:paraId="17C3FA6F">
      <w:pPr>
        <w:numPr>
          <w:ilvl w:val="0"/>
          <w:numId w:val="3"/>
        </w:numPr>
        <w:spacing w:line="360" w:lineRule="auto"/>
        <w:rPr>
          <w:rFonts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z w:val="24"/>
          <w:szCs w:val="24"/>
          <w:lang w:eastAsia="zh-CN"/>
        </w:rPr>
        <w:t>应支持门禁与视频监控设备联动，开门后站内视频监控设备自动进行图片抓拍，并自动进行视频影像录制；</w:t>
      </w:r>
    </w:p>
    <w:p w14:paraId="6CB4AF32">
      <w:pPr>
        <w:numPr>
          <w:ilvl w:val="0"/>
          <w:numId w:val="3"/>
        </w:numPr>
        <w:spacing w:line="360" w:lineRule="auto"/>
        <w:rPr>
          <w:rFonts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z w:val="24"/>
          <w:szCs w:val="24"/>
          <w:lang w:eastAsia="zh-CN"/>
        </w:rPr>
        <w:t>应支持离线情况下，单机运行功能；</w:t>
      </w:r>
    </w:p>
    <w:p w14:paraId="6421965E">
      <w:pPr>
        <w:numPr>
          <w:ilvl w:val="0"/>
          <w:numId w:val="3"/>
        </w:numPr>
        <w:spacing w:line="360" w:lineRule="auto"/>
        <w:rPr>
          <w:rFonts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z w:val="24"/>
          <w:szCs w:val="24"/>
          <w:lang w:eastAsia="zh-CN"/>
        </w:rPr>
        <w:t>应支持TCP/IP通讯协议；</w:t>
      </w:r>
    </w:p>
    <w:p w14:paraId="74684914">
      <w:pPr>
        <w:numPr>
          <w:ilvl w:val="0"/>
          <w:numId w:val="3"/>
        </w:numPr>
        <w:spacing w:line="360" w:lineRule="auto"/>
        <w:rPr>
          <w:rFonts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z w:val="24"/>
          <w:szCs w:val="24"/>
          <w:lang w:eastAsia="zh-CN"/>
        </w:rPr>
        <w:t>应具有不低于IP65的防护等级，对有防爆要求的场合，应具有防爆防护功能。</w:t>
      </w:r>
    </w:p>
    <w:p w14:paraId="0751B5CC">
      <w:pPr>
        <w:spacing w:line="360" w:lineRule="auto"/>
        <w:rPr>
          <w:rFonts w:asciiTheme="minorEastAsia" w:hAnsiTheme="minorEastAsia" w:eastAsiaTheme="minorEastAsia" w:cstheme="minorEastAsia"/>
          <w:b/>
          <w:bCs/>
          <w:color w:val="auto"/>
          <w:sz w:val="24"/>
          <w:szCs w:val="24"/>
          <w:lang w:eastAsia="zh-CN"/>
        </w:rPr>
      </w:pPr>
      <w:r>
        <w:rPr>
          <w:rFonts w:hint="eastAsia" w:asciiTheme="minorEastAsia" w:hAnsiTheme="minorEastAsia" w:eastAsiaTheme="minorEastAsia" w:cstheme="minorEastAsia"/>
          <w:b/>
          <w:bCs/>
          <w:color w:val="auto"/>
          <w:sz w:val="24"/>
          <w:szCs w:val="24"/>
          <w:lang w:eastAsia="zh-CN"/>
        </w:rPr>
        <w:t>3.服务要求</w:t>
      </w:r>
    </w:p>
    <w:p w14:paraId="769B702A">
      <w:pPr>
        <w:spacing w:line="360" w:lineRule="auto"/>
        <w:rPr>
          <w:rFonts w:asciiTheme="minorEastAsia" w:hAnsiTheme="minorEastAsia" w:eastAsiaTheme="minorEastAsia" w:cstheme="minorEastAsia"/>
          <w:b/>
          <w:bCs/>
          <w:color w:val="auto"/>
          <w:sz w:val="24"/>
          <w:szCs w:val="24"/>
          <w:lang w:eastAsia="zh-CN"/>
        </w:rPr>
      </w:pPr>
      <w:r>
        <w:rPr>
          <w:rFonts w:hint="eastAsia" w:asciiTheme="minorEastAsia" w:hAnsiTheme="minorEastAsia" w:eastAsiaTheme="minorEastAsia" w:cstheme="minorEastAsia"/>
          <w:b/>
          <w:bCs/>
          <w:color w:val="auto"/>
          <w:sz w:val="24"/>
          <w:szCs w:val="24"/>
          <w:lang w:eastAsia="zh-CN"/>
        </w:rPr>
        <w:t>3.1供货及工期要求</w:t>
      </w:r>
    </w:p>
    <w:p w14:paraId="7984C8AB">
      <w:pPr>
        <w:spacing w:line="360" w:lineRule="auto"/>
        <w:ind w:firstLine="480" w:firstLineChars="200"/>
        <w:rPr>
          <w:rFonts w:asciiTheme="minorEastAsia" w:hAnsiTheme="minorEastAsia" w:eastAsiaTheme="minorEastAsia" w:cstheme="minorEastAsia"/>
          <w:color w:val="auto"/>
          <w:sz w:val="24"/>
          <w:szCs w:val="24"/>
          <w:lang w:eastAsia="zh-CN"/>
        </w:rPr>
      </w:pPr>
      <w:bookmarkStart w:id="3" w:name="_Hlk182382181"/>
      <w:r>
        <w:rPr>
          <w:rFonts w:hint="eastAsia" w:asciiTheme="minorEastAsia" w:hAnsiTheme="minorEastAsia" w:eastAsiaTheme="minorEastAsia" w:cstheme="minorEastAsia"/>
          <w:color w:val="auto"/>
          <w:sz w:val="24"/>
          <w:szCs w:val="24"/>
          <w:lang w:eastAsia="zh-CN"/>
        </w:rPr>
        <w:t>中标人需在合同生效后的 30 天内，完成全部设备的交货工作，需在合同签生效后的 60 日内，完成全部现场安装、调试及验收工作。若建设内容因企业停产等客观原因无法按期完成，中标人应及时提交延期申请，经采购人同意后，合理顺延工期。</w:t>
      </w:r>
    </w:p>
    <w:p w14:paraId="72C67E73">
      <w:pPr>
        <w:spacing w:line="360" w:lineRule="auto"/>
        <w:rPr>
          <w:rFonts w:asciiTheme="minorEastAsia" w:hAnsiTheme="minorEastAsia" w:eastAsiaTheme="minorEastAsia" w:cstheme="minorEastAsia"/>
          <w:b/>
          <w:bCs/>
          <w:color w:val="auto"/>
          <w:sz w:val="24"/>
          <w:szCs w:val="24"/>
          <w:lang w:eastAsia="zh-CN"/>
        </w:rPr>
      </w:pPr>
      <w:r>
        <w:rPr>
          <w:rFonts w:hint="eastAsia" w:asciiTheme="minorEastAsia" w:hAnsiTheme="minorEastAsia" w:eastAsiaTheme="minorEastAsia" w:cstheme="minorEastAsia"/>
          <w:b/>
          <w:bCs/>
          <w:color w:val="auto"/>
          <w:sz w:val="24"/>
          <w:szCs w:val="24"/>
          <w:lang w:eastAsia="zh-CN"/>
        </w:rPr>
        <w:t>3.2安装调试联网</w:t>
      </w:r>
      <w:bookmarkEnd w:id="3"/>
      <w:r>
        <w:rPr>
          <w:rFonts w:hint="eastAsia" w:asciiTheme="minorEastAsia" w:hAnsiTheme="minorEastAsia" w:eastAsiaTheme="minorEastAsia" w:cstheme="minorEastAsia"/>
          <w:b/>
          <w:bCs/>
          <w:color w:val="auto"/>
          <w:sz w:val="24"/>
          <w:szCs w:val="24"/>
          <w:lang w:eastAsia="zh-CN"/>
        </w:rPr>
        <w:t>要求</w:t>
      </w:r>
    </w:p>
    <w:p w14:paraId="51BA7955">
      <w:pPr>
        <w:spacing w:line="360" w:lineRule="auto"/>
        <w:ind w:firstLine="480" w:firstLineChars="200"/>
        <w:rPr>
          <w:rFonts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z w:val="24"/>
          <w:szCs w:val="24"/>
          <w:lang w:eastAsia="zh-CN"/>
        </w:rPr>
        <w:t>中标人需全方位把控好安装、调试、联网等各个环节，需确保服务质量和效果。</w:t>
      </w:r>
    </w:p>
    <w:p w14:paraId="5C09621D">
      <w:pPr>
        <w:spacing w:line="360" w:lineRule="auto"/>
        <w:rPr>
          <w:rFonts w:asciiTheme="minorEastAsia" w:hAnsiTheme="minorEastAsia" w:eastAsiaTheme="minorEastAsia" w:cstheme="minorEastAsia"/>
          <w:b/>
          <w:bCs/>
          <w:color w:val="auto"/>
          <w:sz w:val="24"/>
          <w:szCs w:val="24"/>
          <w:lang w:eastAsia="zh-CN"/>
        </w:rPr>
      </w:pPr>
      <w:r>
        <w:rPr>
          <w:rFonts w:hint="eastAsia" w:asciiTheme="minorEastAsia" w:hAnsiTheme="minorEastAsia" w:eastAsiaTheme="minorEastAsia" w:cstheme="minorEastAsia"/>
          <w:b/>
          <w:bCs/>
          <w:color w:val="auto"/>
          <w:sz w:val="24"/>
          <w:szCs w:val="24"/>
          <w:lang w:eastAsia="zh-CN"/>
        </w:rPr>
        <w:t>3.2.1安装要求</w:t>
      </w:r>
    </w:p>
    <w:p w14:paraId="7F3CFE8A">
      <w:pPr>
        <w:spacing w:line="360" w:lineRule="auto"/>
        <w:rPr>
          <w:rFonts w:asciiTheme="minorEastAsia" w:hAnsiTheme="minorEastAsia" w:eastAsiaTheme="minorEastAsia" w:cstheme="minorEastAsia"/>
          <w:b/>
          <w:bCs/>
          <w:color w:val="auto"/>
          <w:sz w:val="24"/>
          <w:szCs w:val="24"/>
          <w:lang w:eastAsia="zh-CN"/>
        </w:rPr>
      </w:pPr>
      <w:r>
        <w:rPr>
          <w:rFonts w:hint="eastAsia" w:asciiTheme="minorEastAsia" w:hAnsiTheme="minorEastAsia" w:eastAsiaTheme="minorEastAsia" w:cstheme="minorEastAsia"/>
          <w:b/>
          <w:bCs/>
          <w:color w:val="auto"/>
          <w:sz w:val="24"/>
          <w:szCs w:val="24"/>
          <w:lang w:eastAsia="zh-CN"/>
        </w:rPr>
        <w:t>3.2.1.1摄像机安装</w:t>
      </w:r>
    </w:p>
    <w:p w14:paraId="78D3EC19">
      <w:pPr>
        <w:numPr>
          <w:ilvl w:val="0"/>
          <w:numId w:val="4"/>
        </w:numPr>
        <w:spacing w:line="360" w:lineRule="auto"/>
        <w:rPr>
          <w:rFonts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z w:val="24"/>
          <w:szCs w:val="24"/>
          <w:lang w:eastAsia="zh-CN"/>
        </w:rPr>
        <w:t>废气采样平台：废气采样平台视频监控视野应能实时监控采样平台上所有采样口、采样探头、自动监测设备，以及人员手工采样、监测、操作维护等活动；</w:t>
      </w:r>
    </w:p>
    <w:p w14:paraId="39B5B1F2">
      <w:pPr>
        <w:numPr>
          <w:ilvl w:val="0"/>
          <w:numId w:val="4"/>
        </w:numPr>
        <w:spacing w:line="360" w:lineRule="auto"/>
        <w:rPr>
          <w:rFonts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z w:val="24"/>
          <w:szCs w:val="24"/>
          <w:lang w:eastAsia="zh-CN"/>
        </w:rPr>
        <w:t>废水采样口：废水采样口视频监控视野应能实时监控废水排放情况、采样环境、采样探头、流量/pH等监测设备，以及人员手工采样、监测、操作维护等活动；</w:t>
      </w:r>
    </w:p>
    <w:p w14:paraId="07DF442D">
      <w:pPr>
        <w:numPr>
          <w:ilvl w:val="0"/>
          <w:numId w:val="4"/>
        </w:numPr>
        <w:spacing w:line="360" w:lineRule="auto"/>
        <w:rPr>
          <w:rFonts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z w:val="24"/>
          <w:szCs w:val="24"/>
          <w:lang w:eastAsia="zh-CN"/>
        </w:rPr>
        <w:t>废气排放口：废气排放口视频监控视野应能实时监控废气排放情况；</w:t>
      </w:r>
    </w:p>
    <w:p w14:paraId="35725A29">
      <w:pPr>
        <w:numPr>
          <w:ilvl w:val="0"/>
          <w:numId w:val="4"/>
        </w:numPr>
        <w:spacing w:line="360" w:lineRule="auto"/>
        <w:rPr>
          <w:rFonts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z w:val="24"/>
          <w:szCs w:val="24"/>
          <w:lang w:eastAsia="zh-CN"/>
        </w:rPr>
        <w:t>监测站房内：监测站房内视频监控视野应能监控自动监测分析仪表、动态管控仪（环保数采仪）、标准物质存放区域等可能影响监测数据质量的关键部位。</w:t>
      </w:r>
    </w:p>
    <w:p w14:paraId="298188D2">
      <w:pPr>
        <w:spacing w:line="360" w:lineRule="auto"/>
        <w:rPr>
          <w:rFonts w:asciiTheme="minorEastAsia" w:hAnsiTheme="minorEastAsia" w:eastAsiaTheme="minorEastAsia" w:cstheme="minorEastAsia"/>
          <w:b/>
          <w:bCs/>
          <w:color w:val="auto"/>
          <w:sz w:val="24"/>
          <w:szCs w:val="24"/>
          <w:lang w:eastAsia="zh-CN"/>
        </w:rPr>
      </w:pPr>
      <w:r>
        <w:rPr>
          <w:rFonts w:hint="eastAsia" w:asciiTheme="minorEastAsia" w:hAnsiTheme="minorEastAsia" w:eastAsiaTheme="minorEastAsia" w:cstheme="minorEastAsia"/>
          <w:b/>
          <w:bCs/>
          <w:color w:val="auto"/>
          <w:sz w:val="24"/>
          <w:szCs w:val="24"/>
          <w:lang w:eastAsia="zh-CN"/>
        </w:rPr>
        <w:t>3.2.1.2人脸识别门禁设备安装</w:t>
      </w:r>
    </w:p>
    <w:p w14:paraId="418449A5">
      <w:pPr>
        <w:spacing w:line="360" w:lineRule="auto"/>
        <w:ind w:firstLine="480" w:firstLineChars="200"/>
        <w:rPr>
          <w:rFonts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z w:val="24"/>
          <w:szCs w:val="24"/>
          <w:lang w:eastAsia="zh-CN"/>
        </w:rPr>
        <w:t>应在站房外墙壁上安装门禁一体机，电磁锁和支架应支持牢固安装在内开门或外开门上，在站房内墙壁上安装开门按钮。其中门禁一体机安装高度应在1.5米左右，开门按钮安装高度应在1.3米左右，方便人员进出门操作。</w:t>
      </w:r>
    </w:p>
    <w:p w14:paraId="1CE94322">
      <w:pPr>
        <w:pStyle w:val="2"/>
        <w:spacing w:line="360" w:lineRule="auto"/>
        <w:rPr>
          <w:rFonts w:asciiTheme="minorEastAsia" w:hAnsiTheme="minorEastAsia" w:eastAsiaTheme="minorEastAsia" w:cstheme="minorEastAsia"/>
          <w:b/>
          <w:bCs/>
          <w:color w:val="auto"/>
          <w:sz w:val="24"/>
          <w:szCs w:val="24"/>
          <w:lang w:eastAsia="zh-CN"/>
        </w:rPr>
      </w:pPr>
    </w:p>
    <w:p w14:paraId="236AC13F">
      <w:pPr>
        <w:pStyle w:val="10"/>
        <w:spacing w:line="360" w:lineRule="auto"/>
        <w:ind w:firstLine="241"/>
        <w:rPr>
          <w:rFonts w:asciiTheme="minorEastAsia" w:hAnsiTheme="minorEastAsia" w:eastAsiaTheme="minorEastAsia" w:cstheme="minorEastAsia"/>
          <w:b/>
          <w:bCs/>
          <w:color w:val="auto"/>
          <w:sz w:val="24"/>
          <w:szCs w:val="24"/>
          <w:lang w:eastAsia="zh-CN"/>
        </w:rPr>
      </w:pPr>
      <w:r>
        <w:rPr>
          <w:rFonts w:hint="eastAsia" w:asciiTheme="minorEastAsia" w:hAnsiTheme="minorEastAsia" w:eastAsiaTheme="minorEastAsia" w:cstheme="minorEastAsia"/>
          <w:b/>
          <w:bCs/>
          <w:color w:val="auto"/>
          <w:sz w:val="24"/>
          <w:szCs w:val="24"/>
          <w:lang w:eastAsia="zh-CN"/>
        </w:rPr>
        <w:t>（三十）2026年一库一图一策、应急预案修订采购内容</w:t>
      </w:r>
    </w:p>
    <w:p w14:paraId="2DAFE3E4">
      <w:pPr>
        <w:pStyle w:val="10"/>
        <w:spacing w:line="360" w:lineRule="auto"/>
        <w:ind w:firstLine="240"/>
        <w:rPr>
          <w:rFonts w:asciiTheme="minorEastAsia" w:hAnsiTheme="minorEastAsia" w:eastAsiaTheme="minorEastAsia" w:cstheme="minorEastAsia"/>
          <w:color w:val="auto"/>
          <w:sz w:val="24"/>
          <w:szCs w:val="24"/>
          <w:lang w:eastAsia="zh-CN"/>
        </w:rPr>
      </w:pPr>
    </w:p>
    <w:p w14:paraId="63399A5A">
      <w:pPr>
        <w:pStyle w:val="7"/>
        <w:spacing w:line="360" w:lineRule="auto"/>
        <w:rPr>
          <w:rFonts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z w:val="24"/>
          <w:szCs w:val="24"/>
          <w:lang w:eastAsia="zh-CN"/>
        </w:rPr>
        <w:t>1.修订永丰县突发环境事件应急预案和吉安市永丰生态环境局突发环境事件应急预案，配合开展年度应急演练、培训等。</w:t>
      </w:r>
    </w:p>
    <w:p w14:paraId="707A1E2F">
      <w:pPr>
        <w:pStyle w:val="7"/>
        <w:spacing w:line="360" w:lineRule="auto"/>
        <w:rPr>
          <w:rFonts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z w:val="24"/>
          <w:szCs w:val="24"/>
          <w:lang w:eastAsia="zh-CN"/>
        </w:rPr>
        <w:t>时间期限：2026年12月</w:t>
      </w:r>
    </w:p>
    <w:p w14:paraId="64F15F59">
      <w:pPr>
        <w:pStyle w:val="7"/>
        <w:spacing w:line="360" w:lineRule="auto"/>
        <w:rPr>
          <w:rFonts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z w:val="24"/>
          <w:szCs w:val="24"/>
          <w:lang w:eastAsia="zh-CN"/>
        </w:rPr>
        <w:t>2.编制永丰县佐龙铁矿袋源尾矿库、永丰县龙兴矿业有限公司白水尾矿库所在流域尾矿库水污染事件环境应急“一库一策一图”处置方案；编制永丰县天宝矿业返步桥尾矿库、牛湾干堆场尾矿库、永丰县红昌尾矿加工厂沉淀池尾矿库、江西永丰县金丰萤石有限公司尾矿库干堆场尾矿库、北坑尾矿库所在流域尾矿库水污染事件环境应急“一库一策一图”处置方案；编制永丰县左坑其坑铁矿下路坑尾矿库、永丰县金秋矿业有限公司大水坑铁矿尾矿库所在流域尾矿库水污染事件环境应急“一库一策一图”处置方案。需符合《尾矿库突发水污染事件环境应急“一库一策一图”工作指南》、《江西省生态环境厅关于印发江西省尾矿库突发水污染事件环境应急“一库一策一图”实施工作方案的通知》、《江西省生态环境厅关于印发江西省尾矿库突发水污染事件环境应急“一库一策一图”实施技术指南（试行）的通知》（赣环应急〔2026〕3号）规范、内容要求，包括VR。</w:t>
      </w:r>
    </w:p>
    <w:p w14:paraId="21D8C2AB">
      <w:pPr>
        <w:pStyle w:val="7"/>
        <w:spacing w:line="360" w:lineRule="auto"/>
        <w:rPr>
          <w:rFonts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z w:val="24"/>
          <w:szCs w:val="24"/>
          <w:lang w:eastAsia="zh-CN"/>
        </w:rPr>
        <w:t>时间期限：2026年10月</w:t>
      </w:r>
    </w:p>
    <w:p w14:paraId="5A46AA9C">
      <w:pPr>
        <w:pStyle w:val="8"/>
        <w:rPr>
          <w:rFonts w:asciiTheme="minorEastAsia" w:hAnsiTheme="minorEastAsia" w:eastAsiaTheme="minorEastAsia" w:cstheme="minorEastAsia"/>
          <w:b/>
          <w:bCs/>
          <w:color w:val="auto"/>
          <w:szCs w:val="24"/>
          <w:lang w:eastAsia="zh-CN"/>
        </w:rPr>
      </w:pPr>
      <w:r>
        <w:rPr>
          <w:rFonts w:hint="eastAsia" w:asciiTheme="minorEastAsia" w:hAnsiTheme="minorEastAsia" w:eastAsiaTheme="minorEastAsia" w:cstheme="minorEastAsia"/>
          <w:b/>
          <w:bCs/>
          <w:color w:val="auto"/>
          <w:szCs w:val="24"/>
          <w:lang w:eastAsia="zh-CN"/>
        </w:rPr>
        <w:t>（三十一）执法应急监测采购需求</w:t>
      </w:r>
    </w:p>
    <w:p w14:paraId="41D4D546">
      <w:pPr>
        <w:pStyle w:val="8"/>
        <w:rPr>
          <w:rFonts w:eastAsia="宋体" w:cs="宋体"/>
          <w:color w:val="auto"/>
          <w:spacing w:val="-2"/>
          <w:szCs w:val="24"/>
          <w:lang w:eastAsia="zh-CN"/>
        </w:rPr>
      </w:pPr>
      <w:r>
        <w:rPr>
          <w:rFonts w:hint="eastAsia" w:eastAsia="宋体" w:cs="宋体"/>
          <w:color w:val="auto"/>
          <w:spacing w:val="-2"/>
          <w:szCs w:val="24"/>
          <w:lang w:eastAsia="zh-CN"/>
        </w:rPr>
        <w:t>1.主要服务于吉安市永丰生态环境局所需要开展服务期限内多次的环境执法监测和环境应急监测。环境监测主要包括废水（COD、氨氮、总磷、PH、总氮以及重金属等因子）、废气（二氧化硫、氮氧化物、烟尘、VOCs及有毒有害气体等因子）、土壤（重金属等因子）、噪声等；监测要求需满足各类行业标准、环境标准和监测规范。</w:t>
      </w:r>
    </w:p>
    <w:p w14:paraId="4936E512">
      <w:pPr>
        <w:pStyle w:val="8"/>
        <w:rPr>
          <w:rFonts w:eastAsia="宋体" w:cs="宋体"/>
          <w:color w:val="auto"/>
          <w:spacing w:val="-2"/>
          <w:szCs w:val="24"/>
          <w:lang w:eastAsia="zh-CN"/>
        </w:rPr>
      </w:pPr>
      <w:bookmarkStart w:id="4" w:name="page32"/>
      <w:bookmarkEnd w:id="4"/>
      <w:r>
        <w:rPr>
          <w:rFonts w:hint="eastAsia" w:eastAsia="宋体" w:cs="宋体"/>
          <w:color w:val="auto"/>
          <w:spacing w:val="-2"/>
          <w:szCs w:val="24"/>
          <w:lang w:eastAsia="zh-CN"/>
        </w:rPr>
        <w:t>2.所有监测因子收费单价根据（《江西省环境监测行业指导价》赣环产协字【2019】39号）文件规定的收费标准计算中标单位根据采购单位实际需要开展监测服务工作，费用结算以实际监测工作量和《江西省环境监测行业指导价》赣环产协字【2019】39号进行结算。合计不超过30万元</w:t>
      </w:r>
    </w:p>
    <w:p w14:paraId="2286F74F">
      <w:pPr>
        <w:pStyle w:val="8"/>
        <w:rPr>
          <w:rFonts w:eastAsia="宋体" w:cs="宋体"/>
          <w:b/>
          <w:bCs/>
          <w:color w:val="auto"/>
          <w:spacing w:val="-2"/>
          <w:szCs w:val="24"/>
          <w:lang w:eastAsia="zh-CN"/>
        </w:rPr>
      </w:pPr>
      <w:r>
        <w:rPr>
          <w:rFonts w:hint="eastAsia" w:eastAsia="宋体" w:cs="宋体"/>
          <w:b/>
          <w:bCs/>
          <w:color w:val="auto"/>
          <w:spacing w:val="-2"/>
          <w:szCs w:val="24"/>
          <w:lang w:eastAsia="zh-CN"/>
        </w:rPr>
        <w:t>3.其他要求：</w:t>
      </w:r>
    </w:p>
    <w:p w14:paraId="62F115AC">
      <w:pPr>
        <w:pStyle w:val="8"/>
        <w:rPr>
          <w:rFonts w:asciiTheme="minorEastAsia" w:hAnsiTheme="minorEastAsia" w:eastAsiaTheme="minorEastAsia" w:cstheme="minorEastAsia"/>
          <w:color w:val="auto"/>
          <w:szCs w:val="24"/>
          <w:lang w:eastAsia="zh-CN"/>
        </w:rPr>
      </w:pPr>
      <w:r>
        <w:rPr>
          <w:rFonts w:asciiTheme="minorEastAsia" w:hAnsiTheme="minorEastAsia" w:eastAsiaTheme="minorEastAsia" w:cstheme="minorEastAsia"/>
          <w:color w:val="auto"/>
          <w:szCs w:val="24"/>
          <w:lang w:eastAsia="zh-CN"/>
        </w:rPr>
        <w:t>技术工作人员 :拟派本项目项目负责人≥1 名，专业技术人员≥2 名，采样检测分析人员≥3人。</w:t>
      </w:r>
    </w:p>
    <w:p w14:paraId="74F24C07">
      <w:pPr>
        <w:pStyle w:val="8"/>
        <w:rPr>
          <w:rFonts w:asciiTheme="minorEastAsia" w:hAnsiTheme="minorEastAsia" w:eastAsiaTheme="minorEastAsia" w:cstheme="minorEastAsia"/>
          <w:color w:val="auto"/>
          <w:szCs w:val="24"/>
          <w:lang w:eastAsia="zh-CN"/>
        </w:rPr>
        <w:sectPr>
          <w:footerReference r:id="rId4" w:type="default"/>
          <w:pgSz w:w="11906" w:h="16839"/>
          <w:pgMar w:top="1009" w:right="1310" w:bottom="1043" w:left="1307" w:header="0" w:footer="994" w:gutter="0"/>
          <w:cols w:space="720" w:num="1"/>
        </w:sectPr>
      </w:pPr>
    </w:p>
    <w:p w14:paraId="6C9146D8">
      <w:pPr>
        <w:widowControl w:val="0"/>
        <w:spacing w:before="78" w:line="219" w:lineRule="auto"/>
        <w:jc w:val="center"/>
        <w:outlineLvl w:val="1"/>
        <w:rPr>
          <w:rFonts w:ascii="宋体" w:hAnsi="宋体" w:eastAsia="宋体" w:cs="宋体"/>
          <w:b/>
          <w:bCs/>
          <w:color w:val="auto"/>
          <w:sz w:val="24"/>
          <w:szCs w:val="24"/>
          <w:lang w:eastAsia="zh-CN"/>
        </w:rPr>
      </w:pPr>
      <w:r>
        <w:rPr>
          <w:rFonts w:ascii="宋体" w:hAnsi="宋体" w:eastAsia="宋体" w:cs="宋体"/>
          <w:b/>
          <w:bCs/>
          <w:color w:val="auto"/>
          <w:sz w:val="24"/>
          <w:szCs w:val="24"/>
          <w:lang w:eastAsia="zh-CN"/>
        </w:rPr>
        <w:t>（二） 商务条件</w:t>
      </w:r>
    </w:p>
    <w:p w14:paraId="07DAA510">
      <w:pPr>
        <w:widowControl w:val="0"/>
        <w:spacing w:line="249" w:lineRule="auto"/>
        <w:rPr>
          <w:color w:val="auto"/>
          <w:lang w:eastAsia="zh-CN"/>
        </w:rPr>
      </w:pPr>
    </w:p>
    <w:p w14:paraId="7CF2A375">
      <w:pPr>
        <w:spacing w:before="78" w:line="360" w:lineRule="auto"/>
        <w:ind w:left="18"/>
        <w:rPr>
          <w:rFonts w:ascii="宋体" w:hAnsi="宋体" w:eastAsia="宋体" w:cs="宋体"/>
          <w:color w:val="auto"/>
          <w:spacing w:val="-4"/>
          <w:sz w:val="24"/>
          <w:szCs w:val="24"/>
          <w:lang w:eastAsia="zh-CN"/>
        </w:rPr>
      </w:pPr>
    </w:p>
    <w:p w14:paraId="1C86E9E8">
      <w:pPr>
        <w:spacing w:before="78" w:line="360" w:lineRule="auto"/>
        <w:ind w:left="18"/>
        <w:rPr>
          <w:color w:val="auto"/>
          <w:lang w:eastAsia="zh-CN"/>
        </w:rPr>
      </w:pPr>
      <w:r>
        <w:rPr>
          <w:rFonts w:ascii="宋体" w:hAnsi="宋体" w:eastAsia="宋体" w:cs="宋体"/>
          <w:color w:val="auto"/>
          <w:spacing w:val="-4"/>
          <w:sz w:val="24"/>
          <w:szCs w:val="24"/>
          <w:lang w:eastAsia="zh-CN"/>
        </w:rPr>
        <w:t>1、服务地点：</w:t>
      </w:r>
      <w:r>
        <w:rPr>
          <w:rFonts w:hint="eastAsia" w:ascii="宋体" w:hAnsi="宋体" w:eastAsia="宋体" w:cs="宋体"/>
          <w:color w:val="auto"/>
          <w:spacing w:val="-4"/>
          <w:sz w:val="24"/>
          <w:szCs w:val="24"/>
          <w:lang w:val="en-US" w:eastAsia="zh-CN"/>
        </w:rPr>
        <w:t>采购需求中指定位置</w:t>
      </w:r>
      <w:r>
        <w:rPr>
          <w:rFonts w:ascii="宋体" w:hAnsi="宋体" w:eastAsia="宋体" w:cs="宋体"/>
          <w:color w:val="auto"/>
          <w:spacing w:val="-4"/>
          <w:sz w:val="24"/>
          <w:szCs w:val="24"/>
          <w:lang w:eastAsia="zh-CN"/>
        </w:rPr>
        <w:t>。</w:t>
      </w:r>
    </w:p>
    <w:p w14:paraId="0F78AB08">
      <w:pPr>
        <w:spacing w:before="78" w:line="360" w:lineRule="auto"/>
        <w:ind w:right="132" w:firstLine="3"/>
        <w:rPr>
          <w:rFonts w:ascii="宋体" w:hAnsi="宋体" w:eastAsia="宋体" w:cs="宋体"/>
          <w:color w:val="auto"/>
          <w:sz w:val="24"/>
          <w:szCs w:val="24"/>
          <w:lang w:eastAsia="zh-CN"/>
        </w:rPr>
      </w:pPr>
      <w:r>
        <w:rPr>
          <w:rFonts w:ascii="宋体" w:hAnsi="宋体" w:eastAsia="宋体" w:cs="宋体"/>
          <w:color w:val="auto"/>
          <w:spacing w:val="-1"/>
          <w:sz w:val="24"/>
          <w:szCs w:val="24"/>
          <w:lang w:eastAsia="zh-CN"/>
        </w:rPr>
        <w:t>2、服务期限</w:t>
      </w:r>
      <w:r>
        <w:rPr>
          <w:rFonts w:ascii="宋体" w:hAnsi="宋体" w:eastAsia="宋体" w:cs="宋体"/>
          <w:color w:val="auto"/>
          <w:spacing w:val="-15"/>
          <w:sz w:val="24"/>
          <w:szCs w:val="24"/>
          <w:lang w:eastAsia="zh-CN"/>
        </w:rPr>
        <w:t>：（</w:t>
      </w:r>
      <w:r>
        <w:rPr>
          <w:rFonts w:ascii="宋体" w:hAnsi="宋体" w:eastAsia="宋体" w:cs="宋体"/>
          <w:color w:val="auto"/>
          <w:spacing w:val="-1"/>
          <w:sz w:val="24"/>
          <w:szCs w:val="24"/>
          <w:lang w:eastAsia="zh-CN"/>
        </w:rPr>
        <w:t>一）至（</w:t>
      </w:r>
      <w:r>
        <w:rPr>
          <w:rFonts w:hint="eastAsia" w:ascii="宋体" w:hAnsi="宋体" w:eastAsia="宋体" w:cs="宋体"/>
          <w:color w:val="auto"/>
          <w:spacing w:val="-1"/>
          <w:sz w:val="24"/>
          <w:szCs w:val="24"/>
          <w:lang w:eastAsia="zh-CN"/>
        </w:rPr>
        <w:t>三十</w:t>
      </w:r>
      <w:r>
        <w:rPr>
          <w:rFonts w:ascii="宋体" w:hAnsi="宋体" w:eastAsia="宋体" w:cs="宋体"/>
          <w:color w:val="auto"/>
          <w:spacing w:val="-1"/>
          <w:sz w:val="24"/>
          <w:szCs w:val="24"/>
          <w:lang w:eastAsia="zh-CN"/>
        </w:rPr>
        <w:t>）项服务期限为</w:t>
      </w:r>
      <w:r>
        <w:rPr>
          <w:rFonts w:ascii="宋体" w:hAnsi="宋体" w:eastAsia="宋体" w:cs="宋体"/>
          <w:color w:val="auto"/>
          <w:spacing w:val="-47"/>
          <w:sz w:val="24"/>
          <w:szCs w:val="24"/>
          <w:lang w:eastAsia="zh-CN"/>
        </w:rPr>
        <w:t xml:space="preserve"> </w:t>
      </w:r>
      <w:r>
        <w:rPr>
          <w:rFonts w:hint="eastAsia" w:ascii="宋体" w:hAnsi="宋体" w:eastAsia="宋体" w:cs="宋体"/>
          <w:color w:val="auto"/>
          <w:sz w:val="24"/>
          <w:szCs w:val="24"/>
          <w:lang w:eastAsia="zh-CN"/>
        </w:rPr>
        <w:t>签订合同之日</w:t>
      </w:r>
      <w:r>
        <w:rPr>
          <w:rFonts w:hint="eastAsia" w:ascii="宋体" w:hAnsi="宋体" w:eastAsia="宋体" w:cs="宋体"/>
          <w:color w:val="auto"/>
          <w:spacing w:val="-1"/>
          <w:sz w:val="24"/>
          <w:szCs w:val="24"/>
          <w:lang w:eastAsia="zh-CN"/>
        </w:rPr>
        <w:t>至2027年3月</w:t>
      </w:r>
      <w:r>
        <w:rPr>
          <w:rFonts w:ascii="宋体" w:hAnsi="宋体" w:eastAsia="宋体" w:cs="宋体"/>
          <w:color w:val="auto"/>
          <w:spacing w:val="-1"/>
          <w:sz w:val="24"/>
          <w:szCs w:val="24"/>
          <w:lang w:eastAsia="zh-CN"/>
        </w:rPr>
        <w:t>，按采购人要求时间</w:t>
      </w:r>
      <w:r>
        <w:rPr>
          <w:rFonts w:ascii="宋体" w:hAnsi="宋体" w:eastAsia="宋体" w:cs="宋体"/>
          <w:color w:val="auto"/>
          <w:sz w:val="24"/>
          <w:szCs w:val="24"/>
          <w:lang w:eastAsia="zh-CN"/>
        </w:rPr>
        <w:t>及次数进行监测服务</w:t>
      </w:r>
      <w:r>
        <w:rPr>
          <w:rFonts w:ascii="宋体" w:hAnsi="宋体" w:eastAsia="宋体" w:cs="宋体"/>
          <w:color w:val="auto"/>
          <w:spacing w:val="-14"/>
          <w:sz w:val="24"/>
          <w:szCs w:val="24"/>
          <w:lang w:eastAsia="zh-CN"/>
        </w:rPr>
        <w:t>，（</w:t>
      </w:r>
      <w:r>
        <w:rPr>
          <w:rFonts w:hint="eastAsia" w:ascii="宋体" w:hAnsi="宋体" w:eastAsia="宋体" w:cs="宋体"/>
          <w:color w:val="auto"/>
          <w:spacing w:val="-14"/>
          <w:sz w:val="24"/>
          <w:szCs w:val="24"/>
          <w:lang w:eastAsia="zh-CN"/>
        </w:rPr>
        <w:t>三十一</w:t>
      </w:r>
      <w:r>
        <w:rPr>
          <w:rFonts w:ascii="宋体" w:hAnsi="宋体" w:eastAsia="宋体" w:cs="宋体"/>
          <w:color w:val="auto"/>
          <w:sz w:val="24"/>
          <w:szCs w:val="24"/>
          <w:lang w:eastAsia="zh-CN"/>
        </w:rPr>
        <w:t>）项服务期限为合同签订</w:t>
      </w:r>
      <w:r>
        <w:rPr>
          <w:rFonts w:ascii="宋体" w:hAnsi="宋体" w:eastAsia="宋体" w:cs="宋体"/>
          <w:color w:val="auto"/>
          <w:spacing w:val="-1"/>
          <w:sz w:val="24"/>
          <w:szCs w:val="24"/>
          <w:lang w:eastAsia="zh-CN"/>
        </w:rPr>
        <w:t>后</w:t>
      </w:r>
      <w:r>
        <w:rPr>
          <w:rFonts w:ascii="宋体" w:hAnsi="宋体" w:eastAsia="宋体" w:cs="宋体"/>
          <w:color w:val="auto"/>
          <w:spacing w:val="-46"/>
          <w:sz w:val="24"/>
          <w:szCs w:val="24"/>
          <w:lang w:eastAsia="zh-CN"/>
        </w:rPr>
        <w:t xml:space="preserve"> </w:t>
      </w:r>
      <w:r>
        <w:rPr>
          <w:rFonts w:ascii="宋体" w:hAnsi="宋体" w:eastAsia="宋体" w:cs="宋体"/>
          <w:color w:val="auto"/>
          <w:spacing w:val="-1"/>
          <w:sz w:val="24"/>
          <w:szCs w:val="24"/>
          <w:lang w:eastAsia="zh-CN"/>
        </w:rPr>
        <w:t>2</w:t>
      </w:r>
      <w:r>
        <w:rPr>
          <w:rFonts w:ascii="宋体" w:hAnsi="宋体" w:eastAsia="宋体" w:cs="宋体"/>
          <w:color w:val="auto"/>
          <w:spacing w:val="-50"/>
          <w:sz w:val="24"/>
          <w:szCs w:val="24"/>
          <w:lang w:eastAsia="zh-CN"/>
        </w:rPr>
        <w:t xml:space="preserve"> </w:t>
      </w:r>
      <w:r>
        <w:rPr>
          <w:rFonts w:ascii="宋体" w:hAnsi="宋体" w:eastAsia="宋体" w:cs="宋体"/>
          <w:color w:val="auto"/>
          <w:spacing w:val="-1"/>
          <w:sz w:val="24"/>
          <w:szCs w:val="24"/>
          <w:lang w:eastAsia="zh-CN"/>
        </w:rPr>
        <w:t>年内。</w:t>
      </w:r>
    </w:p>
    <w:p w14:paraId="572ACFD0">
      <w:pPr>
        <w:spacing w:before="49" w:line="360" w:lineRule="auto"/>
        <w:ind w:left="5"/>
        <w:rPr>
          <w:color w:val="auto"/>
          <w:lang w:eastAsia="zh-CN"/>
        </w:rPr>
      </w:pPr>
      <w:r>
        <w:rPr>
          <w:rFonts w:ascii="宋体" w:hAnsi="宋体" w:eastAsia="宋体" w:cs="宋体"/>
          <w:color w:val="auto"/>
          <w:spacing w:val="-7"/>
          <w:sz w:val="24"/>
          <w:szCs w:val="24"/>
          <w:lang w:eastAsia="zh-CN"/>
        </w:rPr>
        <w:t>3、结算及付款方式：</w:t>
      </w:r>
    </w:p>
    <w:p w14:paraId="5FEA1C40">
      <w:pPr>
        <w:spacing w:before="51" w:line="360" w:lineRule="auto"/>
        <w:ind w:left="1" w:right="113" w:firstLine="248" w:firstLineChars="102"/>
        <w:rPr>
          <w:rFonts w:ascii="宋体" w:hAnsi="宋体" w:eastAsia="宋体" w:cs="宋体"/>
          <w:color w:val="auto"/>
          <w:sz w:val="24"/>
          <w:szCs w:val="24"/>
          <w:lang w:eastAsia="zh-CN"/>
        </w:rPr>
      </w:pPr>
      <w:r>
        <w:rPr>
          <w:rFonts w:ascii="宋体" w:hAnsi="宋体" w:eastAsia="宋体" w:cs="宋体"/>
          <w:color w:val="auto"/>
          <w:spacing w:val="2"/>
          <w:sz w:val="24"/>
          <w:szCs w:val="24"/>
          <w:lang w:eastAsia="zh-CN"/>
        </w:rPr>
        <w:t>完成采购需求中（一）至（</w:t>
      </w:r>
      <w:r>
        <w:rPr>
          <w:rFonts w:hint="eastAsia" w:ascii="宋体" w:hAnsi="宋体" w:eastAsia="宋体" w:cs="宋体"/>
          <w:color w:val="auto"/>
          <w:spacing w:val="2"/>
          <w:sz w:val="24"/>
          <w:szCs w:val="24"/>
          <w:lang w:eastAsia="zh-CN"/>
        </w:rPr>
        <w:t>三十</w:t>
      </w:r>
      <w:r>
        <w:rPr>
          <w:rFonts w:ascii="宋体" w:hAnsi="宋体" w:eastAsia="宋体" w:cs="宋体"/>
          <w:color w:val="auto"/>
          <w:spacing w:val="2"/>
          <w:sz w:val="24"/>
          <w:szCs w:val="24"/>
          <w:lang w:eastAsia="zh-CN"/>
        </w:rPr>
        <w:t>）后一次性向成交供应商支付该部分检</w:t>
      </w:r>
      <w:r>
        <w:rPr>
          <w:rFonts w:ascii="宋体" w:hAnsi="宋体" w:eastAsia="宋体" w:cs="宋体"/>
          <w:color w:val="auto"/>
          <w:sz w:val="24"/>
          <w:szCs w:val="24"/>
          <w:lang w:eastAsia="zh-CN"/>
        </w:rPr>
        <w:t>测费用</w:t>
      </w:r>
      <w:r>
        <w:rPr>
          <w:rFonts w:ascii="宋体" w:hAnsi="宋体" w:eastAsia="宋体" w:cs="宋体"/>
          <w:color w:val="auto"/>
          <w:spacing w:val="-13"/>
          <w:sz w:val="24"/>
          <w:szCs w:val="24"/>
          <w:lang w:eastAsia="zh-CN"/>
        </w:rPr>
        <w:t>，（</w:t>
      </w:r>
      <w:r>
        <w:rPr>
          <w:rFonts w:hint="eastAsia" w:ascii="宋体" w:hAnsi="宋体" w:eastAsia="宋体" w:cs="宋体"/>
          <w:color w:val="auto"/>
          <w:spacing w:val="-13"/>
          <w:sz w:val="24"/>
          <w:szCs w:val="24"/>
          <w:lang w:eastAsia="zh-CN"/>
        </w:rPr>
        <w:t>三十一</w:t>
      </w:r>
      <w:r>
        <w:rPr>
          <w:rFonts w:ascii="宋体" w:hAnsi="宋体" w:eastAsia="宋体" w:cs="宋体"/>
          <w:color w:val="auto"/>
          <w:sz w:val="24"/>
          <w:szCs w:val="24"/>
          <w:lang w:eastAsia="zh-CN"/>
        </w:rPr>
        <w:t>）项每半年进行核算后支付该部分检测费用（共计</w:t>
      </w:r>
      <w:r>
        <w:rPr>
          <w:rFonts w:ascii="宋体" w:hAnsi="宋体" w:eastAsia="宋体" w:cs="宋体"/>
          <w:color w:val="auto"/>
          <w:spacing w:val="-1"/>
          <w:sz w:val="24"/>
          <w:szCs w:val="24"/>
          <w:lang w:eastAsia="zh-CN"/>
        </w:rPr>
        <w:t>两年）。</w:t>
      </w:r>
    </w:p>
    <w:p w14:paraId="37D39800">
      <w:pPr>
        <w:spacing w:before="49" w:line="360" w:lineRule="auto"/>
        <w:ind w:left="1" w:right="119" w:hanging="1"/>
        <w:rPr>
          <w:rFonts w:ascii="宋体" w:hAnsi="宋体" w:eastAsia="宋体" w:cs="宋体"/>
          <w:color w:val="auto"/>
          <w:sz w:val="24"/>
          <w:szCs w:val="24"/>
          <w:lang w:eastAsia="zh-CN"/>
        </w:rPr>
      </w:pPr>
      <w:r>
        <w:rPr>
          <w:rFonts w:ascii="宋体" w:hAnsi="宋体" w:eastAsia="宋体" w:cs="宋体"/>
          <w:color w:val="auto"/>
          <w:spacing w:val="-1"/>
          <w:sz w:val="24"/>
          <w:szCs w:val="24"/>
          <w:lang w:eastAsia="zh-CN"/>
        </w:rPr>
        <w:t>4、履约保证金：合同总价的 5%</w:t>
      </w:r>
      <w:r>
        <w:rPr>
          <w:rFonts w:ascii="宋体" w:hAnsi="宋体" w:eastAsia="宋体" w:cs="宋体"/>
          <w:color w:val="auto"/>
          <w:spacing w:val="5"/>
          <w:sz w:val="24"/>
          <w:szCs w:val="24"/>
          <w:lang w:eastAsia="zh-CN"/>
        </w:rPr>
        <w:t>，（</w:t>
      </w:r>
      <w:r>
        <w:rPr>
          <w:rFonts w:hint="eastAsia" w:ascii="宋体" w:hAnsi="宋体" w:eastAsia="宋体" w:cs="宋体"/>
          <w:color w:val="auto"/>
          <w:spacing w:val="-1"/>
          <w:sz w:val="24"/>
          <w:szCs w:val="24"/>
          <w:lang w:eastAsia="zh-CN"/>
        </w:rPr>
        <w:t>中标</w:t>
      </w:r>
      <w:r>
        <w:rPr>
          <w:rFonts w:ascii="宋体" w:hAnsi="宋体" w:eastAsia="宋体" w:cs="宋体"/>
          <w:color w:val="auto"/>
          <w:spacing w:val="-1"/>
          <w:sz w:val="24"/>
          <w:szCs w:val="24"/>
          <w:lang w:eastAsia="zh-CN"/>
        </w:rPr>
        <w:t>供应商向采购人提交的履约保证金可优先采用支票、汇票、本票、金融机构出具的保函等非现金形式提交，也可采用银行转账、</w:t>
      </w:r>
      <w:r>
        <w:rPr>
          <w:rFonts w:ascii="宋体" w:hAnsi="宋体" w:eastAsia="宋体" w:cs="宋体"/>
          <w:color w:val="auto"/>
          <w:spacing w:val="-2"/>
          <w:sz w:val="24"/>
          <w:szCs w:val="24"/>
          <w:lang w:eastAsia="zh-CN"/>
        </w:rPr>
        <w:t>银行保函方式提交，履约保证金项目完成经验收合格后无息退还）。</w:t>
      </w:r>
    </w:p>
    <w:p w14:paraId="313830F4">
      <w:pPr>
        <w:spacing w:before="78" w:line="360" w:lineRule="auto"/>
        <w:ind w:right="2"/>
        <w:rPr>
          <w:rFonts w:ascii="宋体" w:hAnsi="宋体" w:eastAsia="宋体" w:cs="宋体"/>
          <w:color w:val="auto"/>
          <w:sz w:val="24"/>
          <w:szCs w:val="24"/>
          <w:lang w:eastAsia="zh-CN"/>
        </w:rPr>
      </w:pPr>
      <w:r>
        <w:rPr>
          <w:rFonts w:ascii="宋体" w:hAnsi="宋体" w:eastAsia="宋体" w:cs="宋体"/>
          <w:color w:val="auto"/>
          <w:spacing w:val="2"/>
          <w:sz w:val="24"/>
          <w:szCs w:val="24"/>
          <w:lang w:eastAsia="zh-CN"/>
        </w:rPr>
        <w:t>5、报价要求：报价采用全包干形式，投标报价为投标人完成招标范围内所有工作内</w:t>
      </w:r>
      <w:r>
        <w:rPr>
          <w:rFonts w:ascii="宋体" w:hAnsi="宋体" w:eastAsia="宋体" w:cs="宋体"/>
          <w:color w:val="auto"/>
          <w:spacing w:val="-1"/>
          <w:sz w:val="24"/>
          <w:szCs w:val="24"/>
          <w:lang w:eastAsia="zh-CN"/>
        </w:rPr>
        <w:t>容所需的招标人支付的各项金额的总和，以及投标人为完成上述内容所必须支付的材料、劳务、利润、税金等所需全部费用。采购人不再支付最终报价以外</w:t>
      </w:r>
      <w:r>
        <w:rPr>
          <w:rFonts w:ascii="宋体" w:hAnsi="宋体" w:eastAsia="宋体" w:cs="宋体"/>
          <w:color w:val="auto"/>
          <w:spacing w:val="-2"/>
          <w:sz w:val="24"/>
          <w:szCs w:val="24"/>
          <w:lang w:eastAsia="zh-CN"/>
        </w:rPr>
        <w:t>的任何费用。</w:t>
      </w:r>
    </w:p>
    <w:p w14:paraId="26D219E4">
      <w:pPr>
        <w:spacing w:before="53" w:line="360" w:lineRule="auto"/>
        <w:ind w:firstLine="1"/>
        <w:rPr>
          <w:rFonts w:ascii="宋体" w:hAnsi="宋体" w:eastAsia="宋体" w:cs="宋体"/>
          <w:color w:val="auto"/>
          <w:sz w:val="24"/>
          <w:szCs w:val="24"/>
          <w:lang w:eastAsia="zh-CN"/>
        </w:rPr>
      </w:pPr>
      <w:r>
        <w:rPr>
          <w:rFonts w:ascii="宋体" w:hAnsi="宋体" w:eastAsia="宋体" w:cs="宋体"/>
          <w:color w:val="auto"/>
          <w:spacing w:val="2"/>
          <w:sz w:val="24"/>
          <w:szCs w:val="24"/>
          <w:lang w:eastAsia="zh-CN"/>
        </w:rPr>
        <w:t>6、知识产权：采购人在中华人民共和国境内使用投标人提供的货物及服务时免受第</w:t>
      </w:r>
      <w:r>
        <w:rPr>
          <w:rFonts w:ascii="宋体" w:hAnsi="宋体" w:eastAsia="宋体" w:cs="宋体"/>
          <w:color w:val="auto"/>
          <w:spacing w:val="-6"/>
          <w:sz w:val="24"/>
          <w:szCs w:val="24"/>
          <w:lang w:eastAsia="zh-CN"/>
        </w:rPr>
        <w:t>三方提出的侵犯其专利权或其他知识产权的起诉。如果第三方提出侵权指控，</w:t>
      </w:r>
      <w:r>
        <w:rPr>
          <w:rFonts w:ascii="宋体" w:hAnsi="宋体" w:eastAsia="宋体" w:cs="宋体"/>
          <w:color w:val="auto"/>
          <w:spacing w:val="86"/>
          <w:sz w:val="24"/>
          <w:szCs w:val="24"/>
          <w:lang w:eastAsia="zh-CN"/>
        </w:rPr>
        <w:t xml:space="preserve"> </w:t>
      </w:r>
      <w:r>
        <w:rPr>
          <w:rFonts w:ascii="宋体" w:hAnsi="宋体" w:eastAsia="宋体" w:cs="宋体"/>
          <w:color w:val="auto"/>
          <w:spacing w:val="-6"/>
          <w:sz w:val="24"/>
          <w:szCs w:val="24"/>
          <w:lang w:eastAsia="zh-CN"/>
        </w:rPr>
        <w:t>中标人</w:t>
      </w:r>
      <w:r>
        <w:rPr>
          <w:rFonts w:ascii="宋体" w:hAnsi="宋体" w:eastAsia="宋体" w:cs="宋体"/>
          <w:color w:val="auto"/>
          <w:spacing w:val="-3"/>
          <w:sz w:val="24"/>
          <w:szCs w:val="24"/>
          <w:lang w:eastAsia="zh-CN"/>
        </w:rPr>
        <w:t>应承担由此而引起的一切法律责任和费用。</w:t>
      </w:r>
    </w:p>
    <w:p w14:paraId="7F150D7A">
      <w:pPr>
        <w:spacing w:before="50" w:line="360" w:lineRule="auto"/>
        <w:ind w:left="6"/>
        <w:rPr>
          <w:color w:val="auto"/>
          <w:lang w:eastAsia="zh-CN"/>
        </w:rPr>
      </w:pPr>
      <w:r>
        <w:rPr>
          <w:rFonts w:ascii="宋体" w:hAnsi="宋体" w:eastAsia="宋体" w:cs="宋体"/>
          <w:color w:val="auto"/>
          <w:spacing w:val="-12"/>
          <w:sz w:val="24"/>
          <w:szCs w:val="24"/>
          <w:lang w:eastAsia="zh-CN"/>
        </w:rPr>
        <w:t>7、验收：</w:t>
      </w:r>
    </w:p>
    <w:p w14:paraId="31117128">
      <w:pPr>
        <w:spacing w:before="78" w:line="360" w:lineRule="auto"/>
        <w:ind w:left="24" w:right="6" w:hanging="17"/>
        <w:rPr>
          <w:rFonts w:ascii="宋体" w:hAnsi="宋体" w:eastAsia="宋体" w:cs="宋体"/>
          <w:color w:val="auto"/>
          <w:sz w:val="24"/>
          <w:szCs w:val="24"/>
          <w:lang w:eastAsia="zh-CN"/>
        </w:rPr>
      </w:pPr>
      <w:r>
        <w:rPr>
          <w:rFonts w:ascii="宋体" w:hAnsi="宋体" w:eastAsia="宋体" w:cs="宋体"/>
          <w:color w:val="auto"/>
          <w:spacing w:val="2"/>
          <w:sz w:val="24"/>
          <w:szCs w:val="24"/>
          <w:lang w:eastAsia="zh-CN"/>
        </w:rPr>
        <w:t>（1）由甲乙双方按照相关标准规范要求、招标文件、投标响应文件及合同要求，一</w:t>
      </w:r>
      <w:r>
        <w:rPr>
          <w:rFonts w:ascii="宋体" w:hAnsi="宋体" w:eastAsia="宋体" w:cs="宋体"/>
          <w:color w:val="auto"/>
          <w:spacing w:val="-5"/>
          <w:sz w:val="24"/>
          <w:szCs w:val="24"/>
          <w:lang w:eastAsia="zh-CN"/>
        </w:rPr>
        <w:t>同对服务内容验收签字确认。</w:t>
      </w:r>
    </w:p>
    <w:p w14:paraId="3B6B3916">
      <w:pPr>
        <w:spacing w:line="360" w:lineRule="auto"/>
        <w:ind w:left="7"/>
        <w:rPr>
          <w:color w:val="auto"/>
          <w:lang w:eastAsia="zh-CN"/>
        </w:rPr>
      </w:pPr>
      <w:r>
        <w:rPr>
          <w:rFonts w:ascii="宋体" w:hAnsi="宋体" w:eastAsia="宋体" w:cs="宋体"/>
          <w:color w:val="auto"/>
          <w:spacing w:val="-2"/>
          <w:sz w:val="24"/>
          <w:szCs w:val="24"/>
          <w:lang w:eastAsia="zh-CN"/>
        </w:rPr>
        <w:t>（2）验收通过后</w:t>
      </w:r>
      <w:r>
        <w:rPr>
          <w:rFonts w:ascii="宋体" w:hAnsi="宋体" w:eastAsia="宋体" w:cs="宋体"/>
          <w:color w:val="auto"/>
          <w:spacing w:val="-45"/>
          <w:sz w:val="24"/>
          <w:szCs w:val="24"/>
          <w:lang w:eastAsia="zh-CN"/>
        </w:rPr>
        <w:t xml:space="preserve"> </w:t>
      </w:r>
      <w:r>
        <w:rPr>
          <w:rFonts w:ascii="宋体" w:hAnsi="宋体" w:eastAsia="宋体" w:cs="宋体"/>
          <w:color w:val="auto"/>
          <w:spacing w:val="-2"/>
          <w:sz w:val="24"/>
          <w:szCs w:val="24"/>
          <w:lang w:eastAsia="zh-CN"/>
        </w:rPr>
        <w:t>7</w:t>
      </w:r>
      <w:r>
        <w:rPr>
          <w:rFonts w:ascii="宋体" w:hAnsi="宋体" w:eastAsia="宋体" w:cs="宋体"/>
          <w:color w:val="auto"/>
          <w:spacing w:val="-50"/>
          <w:sz w:val="24"/>
          <w:szCs w:val="24"/>
          <w:lang w:eastAsia="zh-CN"/>
        </w:rPr>
        <w:t xml:space="preserve"> </w:t>
      </w:r>
      <w:r>
        <w:rPr>
          <w:rFonts w:ascii="宋体" w:hAnsi="宋体" w:eastAsia="宋体" w:cs="宋体"/>
          <w:color w:val="auto"/>
          <w:spacing w:val="-2"/>
          <w:sz w:val="24"/>
          <w:szCs w:val="24"/>
          <w:lang w:eastAsia="zh-CN"/>
        </w:rPr>
        <w:t>个工作日内，采购人出</w:t>
      </w:r>
      <w:r>
        <w:rPr>
          <w:rFonts w:ascii="宋体" w:hAnsi="宋体" w:eastAsia="宋体" w:cs="宋体"/>
          <w:color w:val="auto"/>
          <w:spacing w:val="-3"/>
          <w:sz w:val="24"/>
          <w:szCs w:val="24"/>
          <w:lang w:eastAsia="zh-CN"/>
        </w:rPr>
        <w:t>具验收报告给成交供应商。</w:t>
      </w:r>
    </w:p>
    <w:p w14:paraId="6F89DF03">
      <w:pPr>
        <w:spacing w:before="78" w:line="360" w:lineRule="auto"/>
        <w:ind w:left="1"/>
        <w:rPr>
          <w:color w:val="auto"/>
          <w:lang w:eastAsia="zh-CN"/>
        </w:rPr>
      </w:pPr>
      <w:r>
        <w:rPr>
          <w:rFonts w:ascii="宋体" w:hAnsi="宋体" w:eastAsia="宋体" w:cs="宋体"/>
          <w:color w:val="auto"/>
          <w:spacing w:val="-3"/>
          <w:sz w:val="24"/>
          <w:szCs w:val="24"/>
          <w:lang w:eastAsia="zh-CN"/>
        </w:rPr>
        <w:t>8、违约责任</w:t>
      </w:r>
      <w:r>
        <w:rPr>
          <w:rFonts w:ascii="宋体" w:hAnsi="宋体" w:eastAsia="宋体" w:cs="宋体"/>
          <w:color w:val="auto"/>
          <w:spacing w:val="-65"/>
          <w:sz w:val="24"/>
          <w:szCs w:val="24"/>
          <w:lang w:eastAsia="zh-CN"/>
        </w:rPr>
        <w:t xml:space="preserve"> </w:t>
      </w:r>
      <w:r>
        <w:rPr>
          <w:rFonts w:ascii="宋体" w:hAnsi="宋体" w:eastAsia="宋体" w:cs="宋体"/>
          <w:color w:val="auto"/>
          <w:spacing w:val="-3"/>
          <w:sz w:val="24"/>
          <w:szCs w:val="24"/>
          <w:lang w:eastAsia="zh-CN"/>
        </w:rPr>
        <w:t>:</w:t>
      </w:r>
    </w:p>
    <w:p w14:paraId="73912007">
      <w:pPr>
        <w:spacing w:before="78" w:line="360" w:lineRule="auto"/>
        <w:ind w:left="1"/>
        <w:rPr>
          <w:rFonts w:ascii="宋体" w:hAnsi="宋体" w:eastAsia="宋体" w:cs="宋体"/>
          <w:color w:val="auto"/>
          <w:sz w:val="24"/>
          <w:szCs w:val="24"/>
          <w:lang w:eastAsia="zh-CN"/>
        </w:rPr>
      </w:pPr>
      <w:r>
        <w:rPr>
          <w:rFonts w:ascii="宋体" w:hAnsi="宋体" w:eastAsia="宋体" w:cs="宋体"/>
          <w:color w:val="auto"/>
          <w:spacing w:val="-5"/>
          <w:sz w:val="24"/>
          <w:szCs w:val="24"/>
          <w:lang w:eastAsia="zh-CN"/>
        </w:rPr>
        <w:t>成交供应商所提供服务质量不符合合同、招标文件技术要求的</w:t>
      </w:r>
      <w:r>
        <w:rPr>
          <w:rFonts w:ascii="宋体" w:hAnsi="宋体" w:eastAsia="宋体" w:cs="宋体"/>
          <w:color w:val="auto"/>
          <w:spacing w:val="-6"/>
          <w:sz w:val="24"/>
          <w:szCs w:val="24"/>
          <w:lang w:eastAsia="zh-CN"/>
        </w:rPr>
        <w:t>，</w:t>
      </w:r>
      <w:r>
        <w:rPr>
          <w:rFonts w:ascii="宋体" w:hAnsi="宋体" w:eastAsia="宋体" w:cs="宋体"/>
          <w:color w:val="auto"/>
          <w:spacing w:val="57"/>
          <w:sz w:val="24"/>
          <w:szCs w:val="24"/>
          <w:lang w:eastAsia="zh-CN"/>
        </w:rPr>
        <w:t xml:space="preserve"> </w:t>
      </w:r>
      <w:r>
        <w:rPr>
          <w:rFonts w:ascii="宋体" w:hAnsi="宋体" w:eastAsia="宋体" w:cs="宋体"/>
          <w:color w:val="auto"/>
          <w:spacing w:val="-6"/>
          <w:sz w:val="24"/>
          <w:szCs w:val="24"/>
          <w:lang w:eastAsia="zh-CN"/>
        </w:rPr>
        <w:t>采购人有权单方面终</w:t>
      </w:r>
      <w:r>
        <w:rPr>
          <w:rFonts w:ascii="宋体" w:hAnsi="宋体" w:eastAsia="宋体" w:cs="宋体"/>
          <w:color w:val="auto"/>
          <w:spacing w:val="-2"/>
          <w:sz w:val="24"/>
          <w:szCs w:val="24"/>
          <w:lang w:eastAsia="zh-CN"/>
        </w:rPr>
        <w:t>止合同的执行，由此造成的损失由成交供应商承担。</w:t>
      </w:r>
    </w:p>
    <w:p w14:paraId="1EA6AE30">
      <w:pPr>
        <w:spacing w:before="51" w:line="360" w:lineRule="auto"/>
        <w:ind w:left="1"/>
        <w:rPr>
          <w:color w:val="auto"/>
          <w:lang w:eastAsia="zh-CN"/>
        </w:rPr>
      </w:pPr>
      <w:r>
        <w:rPr>
          <w:rFonts w:ascii="宋体" w:hAnsi="宋体" w:eastAsia="宋体" w:cs="宋体"/>
          <w:color w:val="auto"/>
          <w:spacing w:val="-2"/>
          <w:sz w:val="24"/>
          <w:szCs w:val="24"/>
          <w:lang w:eastAsia="zh-CN"/>
        </w:rPr>
        <w:t>9、其他要求</w:t>
      </w:r>
    </w:p>
    <w:p w14:paraId="300CE7AA">
      <w:pPr>
        <w:spacing w:before="78" w:line="360" w:lineRule="auto"/>
        <w:ind w:left="1" w:right="24" w:firstLine="5"/>
        <w:rPr>
          <w:rFonts w:ascii="宋体" w:hAnsi="宋体" w:eastAsia="宋体" w:cs="宋体"/>
          <w:color w:val="auto"/>
          <w:sz w:val="24"/>
          <w:szCs w:val="24"/>
          <w:lang w:eastAsia="zh-CN"/>
        </w:rPr>
      </w:pPr>
      <w:r>
        <w:rPr>
          <w:rFonts w:ascii="宋体" w:hAnsi="宋体" w:eastAsia="宋体" w:cs="宋体"/>
          <w:color w:val="auto"/>
          <w:spacing w:val="2"/>
          <w:sz w:val="24"/>
          <w:szCs w:val="24"/>
          <w:lang w:eastAsia="zh-CN"/>
        </w:rPr>
        <w:t>（1）本项目为交钥匙工程，所有费用（包括专家检查验收等费用）均包含在投标报</w:t>
      </w:r>
      <w:r>
        <w:rPr>
          <w:rFonts w:ascii="宋体" w:hAnsi="宋体" w:eastAsia="宋体" w:cs="宋体"/>
          <w:color w:val="auto"/>
          <w:spacing w:val="-3"/>
          <w:sz w:val="24"/>
          <w:szCs w:val="24"/>
          <w:lang w:eastAsia="zh-CN"/>
        </w:rPr>
        <w:t>价中，采购单位不再支付其他任何费用。</w:t>
      </w:r>
    </w:p>
    <w:p w14:paraId="770E97FB">
      <w:pPr>
        <w:spacing w:before="51" w:line="360" w:lineRule="auto"/>
        <w:ind w:right="2" w:firstLine="7"/>
        <w:rPr>
          <w:rFonts w:ascii="宋体" w:hAnsi="宋体" w:eastAsia="宋体" w:cs="宋体"/>
          <w:color w:val="auto"/>
          <w:sz w:val="24"/>
          <w:szCs w:val="24"/>
          <w:lang w:eastAsia="zh-CN"/>
        </w:rPr>
      </w:pPr>
      <w:r>
        <w:rPr>
          <w:rFonts w:ascii="宋体" w:hAnsi="宋体" w:eastAsia="宋体" w:cs="宋体"/>
          <w:color w:val="auto"/>
          <w:spacing w:val="2"/>
          <w:sz w:val="24"/>
          <w:szCs w:val="24"/>
          <w:lang w:eastAsia="zh-CN"/>
        </w:rPr>
        <w:t>（2）本项目所形成的数据成果归采购人所有。项目任务实施中涉及到的相关保密数</w:t>
      </w:r>
      <w:r>
        <w:rPr>
          <w:rFonts w:ascii="宋体" w:hAnsi="宋体" w:eastAsia="宋体" w:cs="宋体"/>
          <w:color w:val="auto"/>
          <w:sz w:val="24"/>
          <w:szCs w:val="24"/>
          <w:lang w:eastAsia="zh-CN"/>
        </w:rPr>
        <w:t>据、资料、文档等按照相应相关保密规定执行</w:t>
      </w:r>
      <w:r>
        <w:rPr>
          <w:rFonts w:ascii="宋体" w:hAnsi="宋体" w:eastAsia="宋体" w:cs="宋体"/>
          <w:color w:val="auto"/>
          <w:spacing w:val="-1"/>
          <w:sz w:val="24"/>
          <w:szCs w:val="24"/>
          <w:lang w:eastAsia="zh-CN"/>
        </w:rPr>
        <w:t>，成交供应商有对资料保密的义务。不</w:t>
      </w:r>
      <w:r>
        <w:rPr>
          <w:rFonts w:ascii="宋体" w:hAnsi="宋体" w:eastAsia="宋体" w:cs="宋体"/>
          <w:color w:val="auto"/>
          <w:sz w:val="24"/>
          <w:szCs w:val="24"/>
          <w:lang w:eastAsia="zh-CN"/>
        </w:rPr>
        <w:t>得以商业目的使用该资料或者开发和生产其他</w:t>
      </w:r>
      <w:r>
        <w:rPr>
          <w:rFonts w:ascii="宋体" w:hAnsi="宋体" w:eastAsia="宋体" w:cs="宋体"/>
          <w:color w:val="auto"/>
          <w:spacing w:val="-1"/>
          <w:sz w:val="24"/>
          <w:szCs w:val="24"/>
          <w:lang w:eastAsia="zh-CN"/>
        </w:rPr>
        <w:t>产品；成交供应商可根据需要对资料内</w:t>
      </w:r>
      <w:r>
        <w:rPr>
          <w:rFonts w:ascii="宋体" w:hAnsi="宋体" w:eastAsia="宋体" w:cs="宋体"/>
          <w:color w:val="auto"/>
          <w:sz w:val="24"/>
          <w:szCs w:val="24"/>
          <w:lang w:eastAsia="zh-CN"/>
        </w:rPr>
        <w:t>容进行必要的修改和对数据格式进行转换，但</w:t>
      </w:r>
      <w:r>
        <w:rPr>
          <w:rFonts w:ascii="宋体" w:hAnsi="宋体" w:eastAsia="宋体" w:cs="宋体"/>
          <w:color w:val="auto"/>
          <w:spacing w:val="-1"/>
          <w:sz w:val="24"/>
          <w:szCs w:val="24"/>
          <w:lang w:eastAsia="zh-CN"/>
        </w:rPr>
        <w:t>未经许可，不得将修改、转换后的数据</w:t>
      </w:r>
      <w:r>
        <w:rPr>
          <w:rFonts w:ascii="宋体" w:hAnsi="宋体" w:eastAsia="宋体" w:cs="宋体"/>
          <w:color w:val="auto"/>
          <w:spacing w:val="-2"/>
          <w:sz w:val="24"/>
          <w:szCs w:val="24"/>
          <w:lang w:eastAsia="zh-CN"/>
        </w:rPr>
        <w:t>对外发布和提供。</w:t>
      </w:r>
    </w:p>
    <w:p w14:paraId="6859DAD9">
      <w:pPr>
        <w:spacing w:before="51" w:line="360" w:lineRule="auto"/>
        <w:ind w:left="2" w:right="21" w:firstLine="15"/>
        <w:rPr>
          <w:rFonts w:ascii="宋体" w:hAnsi="宋体" w:eastAsia="宋体" w:cs="宋体"/>
          <w:color w:val="auto"/>
          <w:spacing w:val="-2"/>
          <w:sz w:val="24"/>
          <w:szCs w:val="24"/>
          <w:lang w:eastAsia="zh-CN"/>
        </w:rPr>
      </w:pPr>
      <w:r>
        <w:rPr>
          <w:rFonts w:ascii="宋体" w:hAnsi="宋体" w:eastAsia="宋体" w:cs="宋体"/>
          <w:color w:val="auto"/>
          <w:spacing w:val="-6"/>
          <w:sz w:val="24"/>
          <w:szCs w:val="24"/>
          <w:lang w:eastAsia="zh-CN"/>
        </w:rPr>
        <w:t>10、为满足应急执法监测的需要，保证采样样本的时效性，更准确的检</w:t>
      </w:r>
      <w:r>
        <w:rPr>
          <w:rFonts w:ascii="宋体" w:hAnsi="宋体" w:eastAsia="宋体" w:cs="宋体"/>
          <w:color w:val="auto"/>
          <w:spacing w:val="-7"/>
          <w:sz w:val="24"/>
          <w:szCs w:val="24"/>
          <w:lang w:eastAsia="zh-CN"/>
        </w:rPr>
        <w:t>测采样样本的</w:t>
      </w:r>
      <w:r>
        <w:rPr>
          <w:rFonts w:ascii="宋体" w:hAnsi="宋体" w:eastAsia="宋体" w:cs="宋体"/>
          <w:color w:val="auto"/>
          <w:spacing w:val="-2"/>
          <w:sz w:val="24"/>
          <w:szCs w:val="24"/>
          <w:lang w:eastAsia="zh-CN"/>
        </w:rPr>
        <w:t>数据，服务商需在</w:t>
      </w:r>
      <w:r>
        <w:rPr>
          <w:rFonts w:ascii="宋体" w:hAnsi="宋体" w:eastAsia="宋体" w:cs="宋体"/>
          <w:color w:val="auto"/>
          <w:spacing w:val="-51"/>
          <w:sz w:val="24"/>
          <w:szCs w:val="24"/>
          <w:lang w:eastAsia="zh-CN"/>
        </w:rPr>
        <w:t xml:space="preserve"> </w:t>
      </w:r>
      <w:r>
        <w:rPr>
          <w:rFonts w:ascii="宋体" w:hAnsi="宋体" w:eastAsia="宋体" w:cs="宋体"/>
          <w:color w:val="auto"/>
          <w:spacing w:val="-2"/>
          <w:sz w:val="24"/>
          <w:szCs w:val="24"/>
          <w:lang w:eastAsia="zh-CN"/>
        </w:rPr>
        <w:t>4</w:t>
      </w:r>
      <w:r>
        <w:rPr>
          <w:rFonts w:ascii="宋体" w:hAnsi="宋体" w:eastAsia="宋体" w:cs="宋体"/>
          <w:color w:val="auto"/>
          <w:spacing w:val="-44"/>
          <w:sz w:val="24"/>
          <w:szCs w:val="24"/>
          <w:lang w:eastAsia="zh-CN"/>
        </w:rPr>
        <w:t xml:space="preserve"> </w:t>
      </w:r>
      <w:r>
        <w:rPr>
          <w:rFonts w:ascii="宋体" w:hAnsi="宋体" w:eastAsia="宋体" w:cs="宋体"/>
          <w:color w:val="auto"/>
          <w:spacing w:val="-2"/>
          <w:sz w:val="24"/>
          <w:szCs w:val="24"/>
          <w:lang w:eastAsia="zh-CN"/>
        </w:rPr>
        <w:t>小时内监测采样样本</w:t>
      </w:r>
      <w:r>
        <w:rPr>
          <w:rFonts w:hint="eastAsia" w:ascii="宋体" w:hAnsi="宋体" w:eastAsia="宋体" w:cs="宋体"/>
          <w:color w:val="auto"/>
          <w:spacing w:val="-2"/>
          <w:sz w:val="24"/>
          <w:szCs w:val="24"/>
          <w:lang w:eastAsia="zh-CN"/>
        </w:rPr>
        <w:t>。</w:t>
      </w:r>
    </w:p>
    <w:p w14:paraId="43A6CE7A">
      <w:pPr>
        <w:spacing w:before="78" w:line="360" w:lineRule="auto"/>
        <w:rPr>
          <w:rFonts w:ascii="宋体" w:hAnsi="宋体" w:eastAsia="宋体" w:cs="宋体"/>
          <w:color w:val="auto"/>
          <w:sz w:val="24"/>
          <w:szCs w:val="24"/>
          <w:lang w:eastAsia="zh-CN"/>
        </w:rPr>
      </w:pPr>
      <w:r>
        <w:rPr>
          <w:rFonts w:ascii="宋体" w:hAnsi="宋体" w:eastAsia="宋体" w:cs="宋体"/>
          <w:color w:val="auto"/>
          <w:spacing w:val="-4"/>
          <w:sz w:val="24"/>
          <w:szCs w:val="24"/>
          <w:lang w:eastAsia="zh-CN"/>
        </w:rPr>
        <w:t>11、其他未尽事宜，请与采购人联系。</w:t>
      </w:r>
    </w:p>
    <w:p w14:paraId="513F9B21">
      <w:pPr>
        <w:spacing w:line="360" w:lineRule="auto"/>
        <w:rPr>
          <w:rFonts w:ascii="宋体" w:hAnsi="宋体" w:cs="宋体"/>
          <w:b/>
          <w:color w:val="auto"/>
          <w:sz w:val="24"/>
          <w:szCs w:val="24"/>
          <w:shd w:val="clear" w:color="auto" w:fill="FFFFFF"/>
          <w:lang w:eastAsia="zh-CN"/>
        </w:rPr>
      </w:pPr>
    </w:p>
    <w:p w14:paraId="4B601E7B">
      <w:pPr>
        <w:spacing w:before="51" w:line="360" w:lineRule="auto"/>
        <w:ind w:left="5"/>
        <w:rPr>
          <w:rFonts w:ascii="宋体" w:hAnsi="宋体" w:eastAsia="宋体" w:cs="宋体"/>
          <w:color w:val="auto"/>
          <w:spacing w:val="2"/>
          <w:sz w:val="24"/>
          <w:szCs w:val="24"/>
          <w:lang w:eastAsia="zh-CN"/>
        </w:rPr>
      </w:pPr>
      <w:r>
        <w:rPr>
          <w:rFonts w:hint="eastAsia" w:ascii="宋体" w:hAnsi="宋体" w:eastAsia="宋体" w:cs="宋体"/>
          <w:b/>
          <w:bCs/>
          <w:color w:val="auto"/>
          <w:sz w:val="24"/>
          <w:szCs w:val="24"/>
          <w:lang w:eastAsia="zh-CN" w:bidi="ar"/>
        </w:rPr>
        <w:t>注：以上商务要求为基本要求必须全部响应（即满足或优于商务要求），否则其响应无效。</w:t>
      </w:r>
    </w:p>
    <w:p w14:paraId="7A6FC42D">
      <w:pPr>
        <w:spacing w:before="51" w:line="360" w:lineRule="auto"/>
        <w:ind w:left="5"/>
        <w:rPr>
          <w:rFonts w:ascii="宋体" w:hAnsi="宋体" w:eastAsia="宋体" w:cs="宋体"/>
          <w:color w:val="auto"/>
          <w:spacing w:val="2"/>
          <w:sz w:val="24"/>
          <w:szCs w:val="24"/>
          <w:lang w:eastAsia="zh-CN"/>
        </w:rPr>
        <w:sectPr>
          <w:footerReference r:id="rId5" w:type="default"/>
          <w:pgSz w:w="11907" w:h="16839"/>
          <w:pgMar w:top="400" w:right="1507" w:bottom="1316" w:left="1424" w:header="0" w:footer="1082" w:gutter="0"/>
          <w:cols w:space="720" w:num="1"/>
        </w:sectPr>
      </w:pPr>
    </w:p>
    <w:p w14:paraId="51D0864A">
      <w:bookmarkStart w:id="5" w:name="_GoBack"/>
      <w:bookmarkEnd w:id="5"/>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 w:name="仿宋">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7752A8A">
    <w:pPr>
      <w:pStyle w:val="9"/>
      <w:rPr>
        <w:lang w:eastAsia="zh-CN"/>
      </w:rPr>
    </w:pPr>
    <w:r>
      <w:rPr>
        <w:lang w:eastAsia="zh-CN"/>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48" name="文本框 14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5FFFD042">
                          <w:pPr>
                            <w:pStyle w:val="9"/>
                          </w:pPr>
                          <w:r>
                            <w:fldChar w:fldCharType="begin"/>
                          </w:r>
                          <w:r>
                            <w:instrText xml:space="preserve"> PAGE  \* MERGEFORMAT </w:instrText>
                          </w:r>
                          <w:r>
                            <w:fldChar w:fldCharType="separate"/>
                          </w:r>
                          <w:r>
                            <w:t>62</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MIaHsktAgAAWQQAAA4AAAAAAAAAAQAgAAAAHwEAAGRycy9lMm9Eb2MueG1sUEsFBgAAAAAG&#10;AAYAWQEAAL4FAAAAAA==&#10;">
              <v:fill on="f" focussize="0,0"/>
              <v:stroke on="f" weight="0.5pt"/>
              <v:imagedata o:title=""/>
              <o:lock v:ext="edit" aspectratio="f"/>
              <v:textbox inset="0mm,0mm,0mm,0mm" style="mso-fit-shape-to-text:t;">
                <w:txbxContent>
                  <w:p w14:paraId="5FFFD042">
                    <w:pPr>
                      <w:pStyle w:val="9"/>
                    </w:pPr>
                    <w:r>
                      <w:fldChar w:fldCharType="begin"/>
                    </w:r>
                    <w:r>
                      <w:instrText xml:space="preserve"> PAGE  \* MERGEFORMAT </w:instrText>
                    </w:r>
                    <w:r>
                      <w:fldChar w:fldCharType="separate"/>
                    </w:r>
                    <w:r>
                      <w:t>62</w:t>
                    </w:r>
                    <w: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A583109">
    <w:pPr>
      <w:pStyle w:val="9"/>
      <w:rPr>
        <w:lang w:eastAsia="zh-CN"/>
      </w:rPr>
    </w:pPr>
    <w:r>
      <w:rPr>
        <w:lang w:eastAsia="zh-CN"/>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150" name="文本框 150"/>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1EBC8013">
                          <w:pPr>
                            <w:pStyle w:val="9"/>
                          </w:pPr>
                          <w:r>
                            <w:fldChar w:fldCharType="begin"/>
                          </w:r>
                          <w:r>
                            <w:instrText xml:space="preserve"> PAGE  \* MERGEFORMAT </w:instrText>
                          </w:r>
                          <w:r>
                            <w:fldChar w:fldCharType="separate"/>
                          </w:r>
                          <w:r>
                            <w:t>69</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LNJ&#10;WO7QAAAABQEAAA8AAAAAAAAAAQAgAAAAIgAAAGRycy9kb3ducmV2LnhtbFBLAQIUABQAAAAIAIdO&#10;4kBRDAAKKwIAAFkEAAAOAAAAAAAAAAEAIAAAAB8BAABkcnMvZTJvRG9jLnhtbFBLBQYAAAAABgAG&#10;AFkBAAC8BQAAAAA=&#10;">
              <v:fill on="f" focussize="0,0"/>
              <v:stroke on="f" weight="0.5pt"/>
              <v:imagedata o:title=""/>
              <o:lock v:ext="edit" aspectratio="f"/>
              <v:textbox inset="0mm,0mm,0mm,0mm" style="mso-fit-shape-to-text:t;">
                <w:txbxContent>
                  <w:p w14:paraId="1EBC8013">
                    <w:pPr>
                      <w:pStyle w:val="9"/>
                    </w:pPr>
                    <w:r>
                      <w:fldChar w:fldCharType="begin"/>
                    </w:r>
                    <w:r>
                      <w:instrText xml:space="preserve"> PAGE  \* MERGEFORMAT </w:instrText>
                    </w:r>
                    <w:r>
                      <w:fldChar w:fldCharType="separate"/>
                    </w:r>
                    <w:r>
                      <w:t>69</w:t>
                    </w:r>
                    <w:r>
                      <w:fldChar w:fldCharType="end"/>
                    </w:r>
                  </w:p>
                </w:txbxContent>
              </v:textbox>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A5E04A7">
    <w:pPr>
      <w:spacing w:line="229" w:lineRule="auto"/>
      <w:ind w:left="4447"/>
      <w:rPr>
        <w:rFonts w:ascii="宋体" w:hAnsi="宋体" w:eastAsia="宋体" w:cs="宋体"/>
        <w:sz w:val="18"/>
        <w:szCs w:val="18"/>
      </w:rPr>
    </w:pPr>
    <w:r>
      <w:rPr>
        <w:rFonts w:ascii="宋体" w:hAnsi="宋体" w:eastAsia="宋体" w:cs="宋体"/>
        <w:spacing w:val="-2"/>
        <w:sz w:val="18"/>
        <w:szCs w:val="18"/>
      </w:rPr>
      <w:t>83</w: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0FE388A"/>
    <w:multiLevelType w:val="singleLevel"/>
    <w:tmpl w:val="80FE388A"/>
    <w:lvl w:ilvl="0" w:tentative="0">
      <w:start w:val="1"/>
      <w:numFmt w:val="decimal"/>
      <w:lvlText w:val="%1)"/>
      <w:lvlJc w:val="left"/>
      <w:pPr>
        <w:ind w:left="425" w:hanging="425"/>
      </w:pPr>
      <w:rPr>
        <w:rFonts w:hint="default"/>
      </w:rPr>
    </w:lvl>
  </w:abstractNum>
  <w:abstractNum w:abstractNumId="1">
    <w:nsid w:val="B962BE50"/>
    <w:multiLevelType w:val="singleLevel"/>
    <w:tmpl w:val="B962BE50"/>
    <w:lvl w:ilvl="0" w:tentative="0">
      <w:start w:val="1"/>
      <w:numFmt w:val="decimal"/>
      <w:lvlText w:val="%1)"/>
      <w:lvlJc w:val="left"/>
      <w:pPr>
        <w:ind w:left="425" w:hanging="425"/>
      </w:pPr>
      <w:rPr>
        <w:rFonts w:hint="default"/>
      </w:rPr>
    </w:lvl>
  </w:abstractNum>
  <w:abstractNum w:abstractNumId="2">
    <w:nsid w:val="3B1C6755"/>
    <w:multiLevelType w:val="singleLevel"/>
    <w:tmpl w:val="3B1C6755"/>
    <w:lvl w:ilvl="0" w:tentative="0">
      <w:start w:val="1"/>
      <w:numFmt w:val="decimal"/>
      <w:lvlText w:val="%1)"/>
      <w:lvlJc w:val="left"/>
      <w:pPr>
        <w:ind w:left="425" w:hanging="425"/>
      </w:pPr>
      <w:rPr>
        <w:rFonts w:hint="default"/>
      </w:rPr>
    </w:lvl>
  </w:abstractNum>
  <w:abstractNum w:abstractNumId="3">
    <w:nsid w:val="604B8AFA"/>
    <w:multiLevelType w:val="singleLevel"/>
    <w:tmpl w:val="604B8AFA"/>
    <w:lvl w:ilvl="0" w:tentative="0">
      <w:start w:val="1"/>
      <w:numFmt w:val="decimal"/>
      <w:lvlText w:val="%1)"/>
      <w:lvlJc w:val="left"/>
      <w:pPr>
        <w:ind w:left="425" w:hanging="425"/>
      </w:pPr>
      <w:rPr>
        <w:rFonts w:hint="default"/>
      </w:rPr>
    </w:lvl>
  </w:abstractNum>
  <w:num w:numId="1">
    <w:abstractNumId w:val="2"/>
  </w:num>
  <w:num w:numId="2">
    <w:abstractNumId w:val="0"/>
  </w:num>
  <w:num w:numId="3">
    <w:abstractNumId w:val="1"/>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7"/>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30671476"/>
    <w:rsid w:val="3067147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qFormat="1" w:unhideWhenUsed="0" w:uiPriority="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qFormat="1"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kinsoku w:val="0"/>
      <w:autoSpaceDE w:val="0"/>
      <w:autoSpaceDN w:val="0"/>
      <w:adjustRightInd w:val="0"/>
      <w:snapToGrid w:val="0"/>
      <w:textAlignment w:val="baseline"/>
    </w:pPr>
    <w:rPr>
      <w:rFonts w:ascii="Arial" w:hAnsi="Arial" w:eastAsia="Arial" w:cs="Arial"/>
      <w:snapToGrid w:val="0"/>
      <w:color w:val="000000"/>
      <w:sz w:val="21"/>
      <w:szCs w:val="21"/>
      <w:lang w:val="en-US" w:eastAsia="en-US" w:bidi="ar-SA"/>
    </w:rPr>
  </w:style>
  <w:style w:type="character" w:default="1" w:styleId="12">
    <w:name w:val="Default Paragraph Font"/>
    <w:semiHidden/>
    <w:uiPriority w:val="0"/>
  </w:style>
  <w:style w:type="table" w:default="1" w:styleId="11">
    <w:name w:val="Normal Table"/>
    <w:semiHidden/>
    <w:qFormat/>
    <w:uiPriority w:val="0"/>
    <w:tblPr>
      <w:tblCellMar>
        <w:top w:w="0" w:type="dxa"/>
        <w:left w:w="108" w:type="dxa"/>
        <w:bottom w:w="0" w:type="dxa"/>
        <w:right w:w="108" w:type="dxa"/>
      </w:tblCellMar>
    </w:tblPr>
  </w:style>
  <w:style w:type="paragraph" w:styleId="2">
    <w:name w:val="Body Text"/>
    <w:basedOn w:val="1"/>
    <w:semiHidden/>
    <w:qFormat/>
    <w:uiPriority w:val="0"/>
    <w:rPr>
      <w:rFonts w:ascii="仿宋" w:hAnsi="仿宋" w:eastAsia="仿宋" w:cs="仿宋"/>
      <w:sz w:val="30"/>
      <w:szCs w:val="30"/>
    </w:rPr>
  </w:style>
  <w:style w:type="paragraph" w:styleId="3">
    <w:name w:val="Plain Text"/>
    <w:basedOn w:val="1"/>
    <w:next w:val="4"/>
    <w:qFormat/>
    <w:uiPriority w:val="0"/>
    <w:rPr>
      <w:rFonts w:ascii="宋体" w:hAnsi="Courier New"/>
      <w:sz w:val="20"/>
    </w:rPr>
  </w:style>
  <w:style w:type="paragraph" w:styleId="4">
    <w:name w:val="header"/>
    <w:basedOn w:val="1"/>
    <w:next w:val="5"/>
    <w:qFormat/>
    <w:uiPriority w:val="0"/>
    <w:pPr>
      <w:pBdr>
        <w:top w:val="none" w:color="auto" w:sz="0" w:space="1"/>
        <w:left w:val="none" w:color="auto" w:sz="0" w:space="4"/>
        <w:bottom w:val="none" w:color="auto" w:sz="0" w:space="1"/>
        <w:right w:val="none" w:color="auto" w:sz="0" w:space="4"/>
      </w:pBdr>
      <w:tabs>
        <w:tab w:val="center" w:pos="4153"/>
        <w:tab w:val="right" w:pos="8306"/>
      </w:tabs>
      <w:jc w:val="both"/>
    </w:pPr>
    <w:rPr>
      <w:sz w:val="18"/>
    </w:rPr>
  </w:style>
  <w:style w:type="paragraph" w:customStyle="1" w:styleId="5">
    <w:name w:val="样式5"/>
    <w:basedOn w:val="6"/>
    <w:qFormat/>
    <w:uiPriority w:val="0"/>
    <w:pPr>
      <w:spacing w:line="480" w:lineRule="atLeast"/>
      <w:ind w:firstLine="454"/>
    </w:pPr>
    <w:rPr>
      <w:rFonts w:ascii="Calibri" w:hAnsi="Times New Roman"/>
      <w:sz w:val="24"/>
      <w:szCs w:val="20"/>
    </w:rPr>
  </w:style>
  <w:style w:type="paragraph" w:customStyle="1" w:styleId="6">
    <w:name w:val="正文1"/>
    <w:basedOn w:val="1"/>
    <w:qFormat/>
    <w:uiPriority w:val="0"/>
    <w:pPr>
      <w:spacing w:line="500" w:lineRule="atLeast"/>
      <w:ind w:firstLine="567"/>
    </w:pPr>
    <w:rPr>
      <w:rFonts w:ascii="Times New Roman" w:hAnsi="Calibri" w:eastAsia="宋体" w:cs="Times New Roman"/>
      <w:sz w:val="28"/>
    </w:rPr>
  </w:style>
  <w:style w:type="paragraph" w:styleId="7">
    <w:name w:val="Body Text Indent 2"/>
    <w:basedOn w:val="1"/>
    <w:next w:val="8"/>
    <w:qFormat/>
    <w:uiPriority w:val="0"/>
    <w:pPr>
      <w:spacing w:after="120" w:line="480" w:lineRule="auto"/>
      <w:ind w:left="420" w:leftChars="200"/>
    </w:pPr>
  </w:style>
  <w:style w:type="paragraph" w:customStyle="1" w:styleId="8">
    <w:name w:val="z正文"/>
    <w:basedOn w:val="3"/>
    <w:qFormat/>
    <w:uiPriority w:val="0"/>
    <w:pPr>
      <w:tabs>
        <w:tab w:val="left" w:pos="525"/>
      </w:tabs>
      <w:spacing w:line="360" w:lineRule="auto"/>
    </w:pPr>
    <w:rPr>
      <w:rFonts w:hAnsi="宋体"/>
      <w:sz w:val="24"/>
    </w:rPr>
  </w:style>
  <w:style w:type="paragraph" w:styleId="9">
    <w:name w:val="footer"/>
    <w:basedOn w:val="1"/>
    <w:qFormat/>
    <w:uiPriority w:val="0"/>
    <w:pPr>
      <w:tabs>
        <w:tab w:val="center" w:pos="4153"/>
        <w:tab w:val="right" w:pos="8306"/>
      </w:tabs>
    </w:pPr>
    <w:rPr>
      <w:sz w:val="18"/>
    </w:rPr>
  </w:style>
  <w:style w:type="paragraph" w:styleId="10">
    <w:name w:val="Body Text First Indent"/>
    <w:basedOn w:val="2"/>
    <w:next w:val="7"/>
    <w:qFormat/>
    <w:uiPriority w:val="0"/>
    <w:pPr>
      <w:ind w:firstLine="420" w:firstLineChars="100"/>
    </w:pPr>
  </w:style>
  <w:style w:type="paragraph" w:customStyle="1" w:styleId="13">
    <w:name w:val="Table Text"/>
    <w:basedOn w:val="1"/>
    <w:semiHidden/>
    <w:qFormat/>
    <w:uiPriority w:val="0"/>
  </w:style>
  <w:style w:type="table" w:customStyle="1" w:styleId="14">
    <w:name w:val="Table Normal"/>
    <w:semiHidden/>
    <w:unhideWhenUsed/>
    <w:qFormat/>
    <w:uiPriority w:val="0"/>
    <w:tblPr>
      <w:tblCellMar>
        <w:top w:w="0" w:type="dxa"/>
        <w:left w:w="0" w:type="dxa"/>
        <w:bottom w:w="0" w:type="dxa"/>
        <w:right w:w="0" w:type="dxa"/>
      </w:tblCellMar>
    </w:tblPr>
  </w:style>
</w:styles>
</file>

<file path=word/_rels/document.xml.rels><?xml version="1.0" encoding="UTF-8" standalone="yes"?>
<Relationships xmlns="http://schemas.openxmlformats.org/package/2006/relationships"><Relationship Id="rId9" Type="http://schemas.openxmlformats.org/officeDocument/2006/relationships/numbering" Target="numbering.xml"/><Relationship Id="rId8" Type="http://schemas.openxmlformats.org/officeDocument/2006/relationships/customXml" Target="../customXml/item1.xml"/><Relationship Id="rId7" Type="http://schemas.openxmlformats.org/officeDocument/2006/relationships/image" Target="media/image1.png"/><Relationship Id="rId6" Type="http://schemas.openxmlformats.org/officeDocument/2006/relationships/theme" Target="theme/theme1.xml"/><Relationship Id="rId5" Type="http://schemas.openxmlformats.org/officeDocument/2006/relationships/footer" Target="footer3.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22</Pages>
  <Words>0</Words>
  <Characters>0</Characters>
  <Lines>0</Lines>
  <Paragraphs>0</Paragraphs>
  <TotalTime>0</TotalTime>
  <ScaleCrop>false</ScaleCrop>
  <LinksUpToDate>false</LinksUpToDate>
  <CharactersWithSpaces>0</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2026-04-13T05:33:00Z</dcterms:created>
  <dc:creator>Administrator</dc:creator>
  <cp:lastModifiedBy>Administrator</cp:lastModifiedBy>
  <dcterms:modified xsi:type="dcterms:W3CDTF">2026-04-13T05:33:57Z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ICV">
    <vt:lpwstr>ED8B807387B444E781CC65382D97C105_11</vt:lpwstr>
  </property>
  <property fmtid="{D5CDD505-2E9C-101B-9397-08002B2CF9AE}" pid="4" name="KSOTemplateDocerSaveRecord">
    <vt:lpwstr>eyJoZGlkIjoiZDAxNDY3YmIyMjRlZGYxMGM2MDhhYjgwNjcyMWY1YjgiLCJ1c2VySWQiOiIxNjk1Mzc2MzgwIn0=</vt:lpwstr>
  </property>
</Properties>
</file>