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4A843">
      <w:pPr>
        <w:widowControl w:val="0"/>
        <w:spacing w:before="63" w:line="224" w:lineRule="auto"/>
        <w:jc w:val="center"/>
        <w:rPr>
          <w:color w:val="auto"/>
          <w:lang w:eastAsia="zh-CN"/>
        </w:rPr>
      </w:pPr>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货物需求表及采购需求</w:t>
      </w:r>
    </w:p>
    <w:p w14:paraId="151741C8">
      <w:pPr>
        <w:widowControl w:val="0"/>
        <w:spacing w:before="78" w:line="220" w:lineRule="auto"/>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11C272BA">
      <w:pPr>
        <w:widowControl w:val="0"/>
        <w:spacing w:before="78" w:line="220" w:lineRule="auto"/>
        <w:outlineLvl w:val="1"/>
        <w:rPr>
          <w:color w:val="auto"/>
        </w:rPr>
      </w:pPr>
      <w:r>
        <w:rPr>
          <w:rFonts w:ascii="宋体" w:hAnsi="宋体" w:eastAsia="宋体" w:cs="宋体"/>
          <w:color w:val="auto"/>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货物</w:t>
      </w:r>
      <w:r>
        <w:rPr>
          <w:rFonts w:ascii="宋体" w:hAnsi="宋体" w:eastAsia="宋体" w:cs="宋体"/>
          <w:color w:val="auto"/>
          <w:sz w:val="24"/>
          <w:szCs w:val="24"/>
          <w14:textOutline w14:w="4356" w14:cap="sq" w14:cmpd="sng" w14:algn="ctr">
            <w14:solidFill>
              <w14:srgbClr w14:val="000000"/>
            </w14:solidFill>
            <w14:prstDash w14:val="solid"/>
            <w14:bevel/>
          </w14:textOutline>
        </w:rPr>
        <w:t>需求表</w:t>
      </w:r>
    </w:p>
    <w:tbl>
      <w:tblPr>
        <w:tblStyle w:val="6"/>
        <w:tblpPr w:leftFromText="180" w:rightFromText="180" w:vertAnchor="text" w:horzAnchor="margin" w:tblpXSpec="center" w:tblpY="318"/>
        <w:tblOverlap w:val="never"/>
        <w:tblW w:w="992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7082"/>
      </w:tblGrid>
      <w:tr w14:paraId="19699D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1" w:hRule="atLeast"/>
        </w:trPr>
        <w:tc>
          <w:tcPr>
            <w:tcW w:w="1737" w:type="dxa"/>
            <w:tcBorders>
              <w:right w:val="nil"/>
            </w:tcBorders>
          </w:tcPr>
          <w:p w14:paraId="2161D896">
            <w:pPr>
              <w:widowControl w:val="0"/>
              <w:spacing w:before="183" w:line="223" w:lineRule="auto"/>
              <w:ind w:left="1091"/>
              <w:rPr>
                <w:rFonts w:ascii="宋体" w:hAnsi="宋体" w:eastAsia="宋体" w:cs="宋体"/>
                <w:color w:val="auto"/>
                <w:sz w:val="24"/>
                <w:szCs w:val="24"/>
              </w:rPr>
            </w:pPr>
            <w:r>
              <w:rPr>
                <w:color w:val="auto"/>
                <w:lang w:eastAsia="zh-CN"/>
              </w:rPr>
              <w:drawing>
                <wp:anchor distT="0" distB="0" distL="0" distR="0" simplePos="0" relativeHeight="251659264" behindDoc="1" locked="0" layoutInCell="1" allowOverlap="1">
                  <wp:simplePos x="0" y="0"/>
                  <wp:positionH relativeFrom="column">
                    <wp:posOffset>5715</wp:posOffset>
                  </wp:positionH>
                  <wp:positionV relativeFrom="paragraph">
                    <wp:posOffset>14605</wp:posOffset>
                  </wp:positionV>
                  <wp:extent cx="1777365" cy="800100"/>
                  <wp:effectExtent l="0" t="0" r="5715" b="762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777365" cy="800100"/>
                          </a:xfrm>
                          <a:prstGeom prst="rect">
                            <a:avLst/>
                          </a:prstGeom>
                        </pic:spPr>
                      </pic:pic>
                    </a:graphicData>
                  </a:graphic>
                </wp:anchor>
              </w:drawing>
            </w:r>
            <w:r>
              <w:rPr>
                <w:rFonts w:ascii="宋体" w:hAnsi="宋体" w:eastAsia="宋体" w:cs="宋体"/>
                <w:color w:val="auto"/>
                <w:sz w:val="24"/>
                <w:szCs w:val="24"/>
              </w:rPr>
              <w:t>名</w:t>
            </w:r>
          </w:p>
          <w:p w14:paraId="676C3550">
            <w:pPr>
              <w:widowControl w:val="0"/>
              <w:spacing w:before="78" w:line="219" w:lineRule="auto"/>
              <w:ind w:left="481"/>
              <w:rPr>
                <w:rFonts w:ascii="宋体" w:hAnsi="宋体" w:eastAsia="宋体" w:cs="宋体"/>
                <w:color w:val="auto"/>
                <w:sz w:val="24"/>
                <w:szCs w:val="24"/>
              </w:rPr>
            </w:pPr>
            <w:r>
              <w:rPr>
                <w:rFonts w:ascii="宋体" w:hAnsi="宋体" w:eastAsia="宋体" w:cs="宋体"/>
                <w:color w:val="auto"/>
                <w:sz w:val="24"/>
                <w:szCs w:val="24"/>
              </w:rPr>
              <w:t>内</w:t>
            </w:r>
          </w:p>
          <w:p w14:paraId="469A5166">
            <w:pPr>
              <w:widowControl w:val="0"/>
              <w:spacing w:before="78" w:line="220" w:lineRule="auto"/>
              <w:ind w:left="1311"/>
              <w:rPr>
                <w:rFonts w:ascii="宋体" w:hAnsi="宋体" w:eastAsia="宋体" w:cs="宋体"/>
                <w:color w:val="auto"/>
                <w:sz w:val="24"/>
                <w:szCs w:val="24"/>
              </w:rPr>
            </w:pPr>
            <w:r>
              <w:rPr>
                <w:rFonts w:ascii="宋体" w:hAnsi="宋体" w:eastAsia="宋体" w:cs="宋体"/>
                <w:color w:val="auto"/>
                <w:sz w:val="24"/>
                <w:szCs w:val="24"/>
              </w:rPr>
              <w:t>容</w:t>
            </w:r>
          </w:p>
        </w:tc>
        <w:tc>
          <w:tcPr>
            <w:tcW w:w="1101" w:type="dxa"/>
            <w:tcBorders>
              <w:left w:val="nil"/>
            </w:tcBorders>
          </w:tcPr>
          <w:p w14:paraId="0EC3982B">
            <w:pPr>
              <w:widowControl w:val="0"/>
              <w:spacing w:before="78" w:line="221" w:lineRule="auto"/>
              <w:rPr>
                <w:color w:val="auto"/>
              </w:rPr>
            </w:pPr>
          </w:p>
          <w:p w14:paraId="39302C2E">
            <w:pPr>
              <w:widowControl w:val="0"/>
              <w:spacing w:before="78" w:line="221" w:lineRule="auto"/>
              <w:rPr>
                <w:rFonts w:ascii="宋体" w:hAnsi="宋体" w:eastAsia="宋体" w:cs="宋体"/>
                <w:color w:val="auto"/>
                <w:sz w:val="24"/>
                <w:szCs w:val="24"/>
              </w:rPr>
            </w:pPr>
            <w:r>
              <w:rPr>
                <w:rFonts w:ascii="宋体" w:hAnsi="宋体" w:eastAsia="宋体" w:cs="宋体"/>
                <w:color w:val="auto"/>
                <w:sz w:val="24"/>
                <w:szCs w:val="24"/>
              </w:rPr>
              <w:t>称</w:t>
            </w:r>
          </w:p>
        </w:tc>
        <w:tc>
          <w:tcPr>
            <w:tcW w:w="7082" w:type="dxa"/>
          </w:tcPr>
          <w:p w14:paraId="38479A9F">
            <w:pPr>
              <w:pStyle w:val="7"/>
              <w:widowControl w:val="0"/>
              <w:rPr>
                <w:rFonts w:ascii="宋体" w:hAnsi="宋体" w:eastAsia="宋体" w:cs="微软雅黑"/>
                <w:color w:val="auto"/>
                <w:sz w:val="24"/>
                <w:szCs w:val="24"/>
                <w:lang w:eastAsia="zh-CN"/>
              </w:rPr>
            </w:pPr>
          </w:p>
          <w:p w14:paraId="72FD39D2">
            <w:pPr>
              <w:pStyle w:val="7"/>
              <w:widowControl w:val="0"/>
              <w:rPr>
                <w:color w:val="auto"/>
                <w:lang w:eastAsia="zh-CN"/>
              </w:rPr>
            </w:pPr>
            <w:r>
              <w:rPr>
                <w:rFonts w:hint="eastAsia" w:ascii="宋体" w:hAnsi="宋体" w:eastAsia="宋体" w:cs="微软雅黑"/>
                <w:color w:val="auto"/>
                <w:sz w:val="24"/>
                <w:szCs w:val="24"/>
                <w:lang w:eastAsia="zh-CN"/>
              </w:rPr>
              <w:t>奉新县2024年老旧小区改造及配套基础设施建设甘家巷以南小区消防项目（</w:t>
            </w:r>
            <w:r>
              <w:rPr>
                <w:rFonts w:hint="eastAsia" w:ascii="宋体" w:hAnsi="宋体" w:eastAsia="宋体" w:cs="微软雅黑"/>
                <w:color w:val="auto"/>
                <w:sz w:val="24"/>
                <w:szCs w:val="24"/>
                <w:lang w:val="en-US" w:eastAsia="zh-CN"/>
              </w:rPr>
              <w:t>第三次</w:t>
            </w:r>
            <w:r>
              <w:rPr>
                <w:rFonts w:hint="eastAsia" w:ascii="宋体" w:hAnsi="宋体" w:eastAsia="宋体" w:cs="微软雅黑"/>
                <w:color w:val="auto"/>
                <w:sz w:val="24"/>
                <w:szCs w:val="24"/>
                <w:lang w:eastAsia="zh-CN"/>
              </w:rPr>
              <w:t>）</w:t>
            </w:r>
          </w:p>
        </w:tc>
      </w:tr>
      <w:tr w14:paraId="483B15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8" w:hRule="atLeast"/>
        </w:trPr>
        <w:tc>
          <w:tcPr>
            <w:tcW w:w="2838" w:type="dxa"/>
            <w:gridSpan w:val="2"/>
          </w:tcPr>
          <w:p w14:paraId="1C57F905">
            <w:pPr>
              <w:widowControl w:val="0"/>
              <w:spacing w:before="253" w:line="219" w:lineRule="auto"/>
              <w:ind w:left="1188"/>
              <w:rPr>
                <w:rFonts w:ascii="宋体" w:hAnsi="宋体" w:eastAsia="宋体" w:cs="宋体"/>
                <w:color w:val="auto"/>
                <w:sz w:val="24"/>
                <w:szCs w:val="24"/>
              </w:rPr>
            </w:pPr>
            <w:r>
              <w:rPr>
                <w:rFonts w:ascii="宋体" w:hAnsi="宋体" w:eastAsia="宋体" w:cs="宋体"/>
                <w:color w:val="auto"/>
                <w:sz w:val="24"/>
                <w:szCs w:val="24"/>
              </w:rPr>
              <w:t>数量</w:t>
            </w:r>
          </w:p>
        </w:tc>
        <w:tc>
          <w:tcPr>
            <w:tcW w:w="7082" w:type="dxa"/>
          </w:tcPr>
          <w:p w14:paraId="130358CD">
            <w:pPr>
              <w:pStyle w:val="7"/>
              <w:widowControl w:val="0"/>
              <w:rPr>
                <w:rFonts w:ascii="宋体" w:hAnsi="宋体" w:eastAsia="宋体"/>
                <w:color w:val="auto"/>
                <w:sz w:val="24"/>
                <w:szCs w:val="24"/>
                <w:lang w:eastAsia="zh-CN"/>
              </w:rPr>
            </w:pPr>
          </w:p>
          <w:p w14:paraId="4AF413F7">
            <w:pPr>
              <w:pStyle w:val="7"/>
              <w:widowControl w:val="0"/>
              <w:rPr>
                <w:rFonts w:ascii="宋体" w:hAnsi="宋体" w:eastAsia="宋体"/>
                <w:color w:val="auto"/>
                <w:sz w:val="24"/>
                <w:szCs w:val="24"/>
                <w:lang w:eastAsia="zh-CN"/>
              </w:rPr>
            </w:pPr>
            <w:r>
              <w:rPr>
                <w:rFonts w:hint="eastAsia" w:ascii="宋体" w:hAnsi="宋体" w:eastAsia="宋体"/>
                <w:color w:val="auto"/>
                <w:sz w:val="24"/>
                <w:szCs w:val="24"/>
                <w:lang w:eastAsia="zh-CN"/>
              </w:rPr>
              <w:t>一批</w:t>
            </w:r>
          </w:p>
        </w:tc>
      </w:tr>
      <w:tr w14:paraId="0B1D2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2838" w:type="dxa"/>
            <w:gridSpan w:val="2"/>
          </w:tcPr>
          <w:p w14:paraId="399D4D86">
            <w:pPr>
              <w:widowControl w:val="0"/>
              <w:spacing w:before="253" w:line="219" w:lineRule="auto"/>
              <w:ind w:left="1071"/>
              <w:rPr>
                <w:rFonts w:ascii="宋体" w:hAnsi="宋体" w:eastAsia="宋体" w:cs="宋体"/>
                <w:color w:val="auto"/>
                <w:sz w:val="24"/>
                <w:szCs w:val="24"/>
              </w:rPr>
            </w:pPr>
            <w:r>
              <w:rPr>
                <w:rFonts w:ascii="宋体" w:hAnsi="宋体" w:eastAsia="宋体" w:cs="宋体"/>
                <w:color w:val="auto"/>
                <w:sz w:val="24"/>
                <w:szCs w:val="24"/>
              </w:rPr>
              <w:t>交货期</w:t>
            </w:r>
          </w:p>
        </w:tc>
        <w:tc>
          <w:tcPr>
            <w:tcW w:w="7082" w:type="dxa"/>
          </w:tcPr>
          <w:p w14:paraId="52D27720">
            <w:pPr>
              <w:pStyle w:val="7"/>
              <w:widowControl w:val="0"/>
              <w:rPr>
                <w:rFonts w:ascii="宋体" w:hAnsi="宋体" w:eastAsia="宋体"/>
                <w:color w:val="auto"/>
                <w:sz w:val="24"/>
                <w:szCs w:val="24"/>
                <w:lang w:eastAsia="zh-CN"/>
              </w:rPr>
            </w:pP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80</w:t>
            </w:r>
            <w:r>
              <w:rPr>
                <w:rFonts w:hint="eastAsia" w:ascii="宋体" w:hAnsi="宋体" w:eastAsia="宋体" w:cs="宋体"/>
                <w:color w:val="auto"/>
                <w:sz w:val="24"/>
                <w:szCs w:val="24"/>
                <w:highlight w:val="none"/>
              </w:rPr>
              <w:t>个日历天完成安装调试并交付使用</w:t>
            </w:r>
          </w:p>
        </w:tc>
      </w:tr>
      <w:tr w14:paraId="1198BF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 w:hRule="atLeast"/>
        </w:trPr>
        <w:tc>
          <w:tcPr>
            <w:tcW w:w="2838" w:type="dxa"/>
            <w:gridSpan w:val="2"/>
          </w:tcPr>
          <w:p w14:paraId="548543EC">
            <w:pPr>
              <w:widowControl w:val="0"/>
              <w:spacing w:before="256" w:line="219" w:lineRule="auto"/>
              <w:ind w:left="951"/>
              <w:rPr>
                <w:rFonts w:ascii="宋体" w:hAnsi="宋体" w:eastAsia="宋体" w:cs="宋体"/>
                <w:color w:val="auto"/>
                <w:sz w:val="24"/>
                <w:szCs w:val="24"/>
              </w:rPr>
            </w:pPr>
            <w:r>
              <w:rPr>
                <w:rFonts w:ascii="宋体" w:hAnsi="宋体" w:eastAsia="宋体" w:cs="宋体"/>
                <w:color w:val="auto"/>
                <w:sz w:val="24"/>
                <w:szCs w:val="24"/>
              </w:rPr>
              <w:t>交货地点</w:t>
            </w:r>
          </w:p>
        </w:tc>
        <w:tc>
          <w:tcPr>
            <w:tcW w:w="7082" w:type="dxa"/>
          </w:tcPr>
          <w:p w14:paraId="287DF1C0">
            <w:pPr>
              <w:pStyle w:val="7"/>
              <w:widowControl w:val="0"/>
              <w:rPr>
                <w:rFonts w:ascii="宋体" w:hAnsi="宋体" w:eastAsia="宋体"/>
                <w:color w:val="auto"/>
                <w:sz w:val="24"/>
                <w:szCs w:val="24"/>
                <w:lang w:eastAsia="zh-CN"/>
              </w:rPr>
            </w:pPr>
            <w:r>
              <w:rPr>
                <w:rFonts w:hint="eastAsia" w:ascii="宋体" w:hAnsi="宋体" w:eastAsia="宋体"/>
                <w:color w:val="auto"/>
                <w:sz w:val="24"/>
                <w:szCs w:val="24"/>
                <w:lang w:val="en-US" w:eastAsia="zh-CN"/>
              </w:rPr>
              <w:t>采购人</w:t>
            </w:r>
            <w:r>
              <w:rPr>
                <w:rFonts w:hint="eastAsia" w:ascii="宋体" w:hAnsi="宋体" w:eastAsia="宋体"/>
                <w:color w:val="auto"/>
                <w:sz w:val="24"/>
                <w:szCs w:val="24"/>
                <w:lang w:eastAsia="zh-CN"/>
              </w:rPr>
              <w:t>指定地点</w:t>
            </w:r>
          </w:p>
        </w:tc>
      </w:tr>
      <w:tr w14:paraId="136831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2838" w:type="dxa"/>
            <w:gridSpan w:val="2"/>
          </w:tcPr>
          <w:p w14:paraId="28131B1C">
            <w:pPr>
              <w:widowControl w:val="0"/>
              <w:spacing w:before="257" w:line="220" w:lineRule="auto"/>
              <w:ind w:left="951"/>
              <w:rPr>
                <w:rFonts w:ascii="宋体" w:hAnsi="宋体" w:eastAsia="宋体" w:cs="宋体"/>
                <w:color w:val="auto"/>
                <w:sz w:val="24"/>
                <w:szCs w:val="24"/>
              </w:rPr>
            </w:pPr>
            <w:r>
              <w:rPr>
                <w:rFonts w:ascii="宋体" w:hAnsi="宋体" w:eastAsia="宋体" w:cs="宋体"/>
                <w:color w:val="auto"/>
                <w:sz w:val="24"/>
                <w:szCs w:val="24"/>
              </w:rPr>
              <w:t>安装地点</w:t>
            </w:r>
          </w:p>
        </w:tc>
        <w:tc>
          <w:tcPr>
            <w:tcW w:w="7082" w:type="dxa"/>
          </w:tcPr>
          <w:p w14:paraId="4E6ADCFB">
            <w:pPr>
              <w:pStyle w:val="7"/>
              <w:widowControl w:val="0"/>
              <w:rPr>
                <w:rFonts w:ascii="宋体" w:hAnsi="宋体" w:eastAsia="宋体"/>
                <w:color w:val="auto"/>
                <w:sz w:val="24"/>
                <w:szCs w:val="24"/>
                <w:lang w:eastAsia="zh-CN"/>
              </w:rPr>
            </w:pPr>
            <w:r>
              <w:rPr>
                <w:rFonts w:hint="eastAsia" w:ascii="宋体" w:hAnsi="宋体" w:eastAsia="宋体"/>
                <w:color w:val="auto"/>
                <w:sz w:val="24"/>
                <w:szCs w:val="24"/>
                <w:lang w:val="en-US" w:eastAsia="zh-CN"/>
              </w:rPr>
              <w:t>采购人</w:t>
            </w:r>
            <w:r>
              <w:rPr>
                <w:rFonts w:hint="eastAsia" w:ascii="宋体" w:hAnsi="宋体" w:eastAsia="宋体"/>
                <w:color w:val="auto"/>
                <w:sz w:val="24"/>
                <w:szCs w:val="24"/>
                <w:lang w:eastAsia="zh-CN"/>
              </w:rPr>
              <w:t>指定地点</w:t>
            </w:r>
          </w:p>
        </w:tc>
      </w:tr>
      <w:tr w14:paraId="2290F8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1" w:hRule="atLeast"/>
        </w:trPr>
        <w:tc>
          <w:tcPr>
            <w:tcW w:w="2838" w:type="dxa"/>
            <w:gridSpan w:val="2"/>
          </w:tcPr>
          <w:p w14:paraId="634E3123">
            <w:pPr>
              <w:widowControl w:val="0"/>
              <w:spacing w:before="256" w:line="221" w:lineRule="auto"/>
              <w:ind w:left="1189"/>
              <w:rPr>
                <w:rFonts w:hint="eastAsia" w:ascii="宋体" w:hAnsi="宋体" w:eastAsia="宋体" w:cs="Arial"/>
                <w:snapToGrid w:val="0"/>
                <w:color w:val="auto"/>
                <w:sz w:val="24"/>
                <w:szCs w:val="24"/>
                <w:lang w:val="en-US" w:eastAsia="zh-CN" w:bidi="ar-SA"/>
              </w:rPr>
            </w:pPr>
            <w:r>
              <w:rPr>
                <w:rFonts w:hint="eastAsia" w:ascii="宋体" w:hAnsi="宋体" w:eastAsia="宋体" w:cs="Arial"/>
                <w:snapToGrid w:val="0"/>
                <w:color w:val="auto"/>
                <w:sz w:val="24"/>
                <w:szCs w:val="24"/>
                <w:lang w:val="en-US" w:eastAsia="zh-CN" w:bidi="ar-SA"/>
              </w:rPr>
              <w:t>备注</w:t>
            </w:r>
          </w:p>
        </w:tc>
        <w:tc>
          <w:tcPr>
            <w:tcW w:w="7082" w:type="dxa"/>
          </w:tcPr>
          <w:p w14:paraId="18B2B30B">
            <w:pPr>
              <w:pStyle w:val="7"/>
              <w:widowControl w:val="0"/>
              <w:rPr>
                <w:rFonts w:hint="eastAsia" w:ascii="宋体" w:hAnsi="宋体" w:eastAsia="宋体" w:cs="Arial"/>
                <w:snapToGrid w:val="0"/>
                <w:color w:val="auto"/>
                <w:sz w:val="24"/>
                <w:szCs w:val="24"/>
                <w:lang w:val="en-US" w:eastAsia="zh-CN" w:bidi="ar-SA"/>
              </w:rPr>
            </w:pPr>
            <w:r>
              <w:rPr>
                <w:rFonts w:hint="eastAsia" w:ascii="宋体" w:hAnsi="宋体" w:eastAsia="宋体" w:cs="Arial"/>
                <w:snapToGrid w:val="0"/>
                <w:color w:val="auto"/>
                <w:sz w:val="24"/>
                <w:szCs w:val="24"/>
                <w:lang w:val="en-US" w:eastAsia="zh-CN" w:bidi="ar-SA"/>
              </w:rPr>
              <w:t>本项目为交钥匙工程。所有货物、安装调试、检验、售后、技术服务、运费和保险费等完成本项目所需的一切费用均包含在投标总价中。</w:t>
            </w:r>
          </w:p>
        </w:tc>
      </w:tr>
    </w:tbl>
    <w:p w14:paraId="086A6F2D"/>
    <w:p w14:paraId="61826075">
      <w:pPr>
        <w:widowControl w:val="0"/>
        <w:spacing w:before="78" w:line="220" w:lineRule="auto"/>
        <w:outlineLvl w:val="1"/>
        <w:rPr>
          <w:rFonts w:hint="eastAsia" w:ascii="宋体" w:hAnsi="宋体" w:eastAsia="宋体" w:cs="宋体"/>
          <w:color w:val="auto"/>
          <w:sz w:val="24"/>
          <w:szCs w:val="24"/>
          <w:lang w:val="en-US" w:eastAsia="zh-CN"/>
          <w14:textOutline w14:w="4356" w14:cap="sq" w14:cmpd="sng" w14:algn="ctr">
            <w14:solidFill>
              <w14:srgbClr w14:val="000000"/>
            </w14:solidFill>
            <w14:prstDash w14:val="solid"/>
            <w14:bevel/>
          </w14:textOutline>
        </w:rPr>
      </w:pPr>
    </w:p>
    <w:p w14:paraId="4B686EAB">
      <w:pPr>
        <w:widowControl w:val="0"/>
        <w:spacing w:before="78" w:line="220" w:lineRule="auto"/>
        <w:outlineLvl w:val="1"/>
        <w:rPr>
          <w:rFonts w:hint="default" w:ascii="宋体" w:hAnsi="宋体" w:eastAsia="宋体" w:cs="宋体"/>
          <w:color w:val="auto"/>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val="en-US" w:eastAsia="zh-CN"/>
          <w14:textOutline w14:w="4356" w14:cap="sq" w14:cmpd="sng" w14:algn="ctr">
            <w14:solidFill>
              <w14:srgbClr w14:val="000000"/>
            </w14:solidFill>
            <w14:prstDash w14:val="solid"/>
            <w14:bevel/>
          </w14:textOutline>
        </w:rPr>
        <w:t>二、技术需求</w:t>
      </w:r>
    </w:p>
    <w:tbl>
      <w:tblPr>
        <w:tblStyle w:val="4"/>
        <w:tblpPr w:leftFromText="180" w:rightFromText="180" w:vertAnchor="text" w:horzAnchor="page" w:tblpX="1154" w:tblpY="613"/>
        <w:tblOverlap w:val="never"/>
        <w:tblW w:w="97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4"/>
        <w:gridCol w:w="2023"/>
        <w:gridCol w:w="4488"/>
        <w:gridCol w:w="1164"/>
        <w:gridCol w:w="1116"/>
      </w:tblGrid>
      <w:tr w14:paraId="45A02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22835">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Style w:val="8"/>
                <w:snapToGrid w:val="0"/>
                <w:color w:val="000000"/>
                <w:lang w:val="en-US" w:eastAsia="zh-CN" w:bidi="ar"/>
              </w:rPr>
              <w:t>序号</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5520">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Style w:val="8"/>
                <w:snapToGrid w:val="0"/>
                <w:color w:val="000000"/>
                <w:lang w:val="en-US" w:eastAsia="zh-CN" w:bidi="ar"/>
              </w:rPr>
              <w:t>产品名称</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501A5">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规格及要求</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A0F6C">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Style w:val="8"/>
                <w:snapToGrid w:val="0"/>
                <w:color w:val="000000"/>
                <w:lang w:val="en-US" w:eastAsia="zh-CN" w:bidi="ar"/>
              </w:rPr>
              <w:t>数量</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496E6">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Style w:val="8"/>
                <w:snapToGrid w:val="0"/>
                <w:color w:val="000000"/>
                <w:lang w:val="en-US" w:eastAsia="zh-CN" w:bidi="ar"/>
              </w:rPr>
              <w:t>单位</w:t>
            </w:r>
          </w:p>
        </w:tc>
      </w:tr>
      <w:tr w14:paraId="15056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D03E8">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24EB">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烟感故障更换</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7D8F3">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44E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1263</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01C7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7E4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9D3B9">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2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C89A3">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温感感故障更换</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B2C0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EC7A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61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AA6AE">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3E10B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BBF0E">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3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74DB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模块</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53567">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D3E2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185</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B6C5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09C47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2F96B">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4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62D8">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广播</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FF18">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E540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60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271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1AEA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96A6">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5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8D6B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声光报警器</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09B7">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09C6">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D4BA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669DC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213C1">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6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4358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手动报警器</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60E6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查找故障、布管、布线、更换设备</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9756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793AA">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0C02D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EF09">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7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DE70E">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报警设备JDG管</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2209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DN20</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E70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1800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C429">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59F20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063B">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8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763A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阻燃电线</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6B4CF">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WDZB1N-RYJS2*1.5</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63A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3000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DAE3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66759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68C17">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9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27983">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报警系统设备调试</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69E8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点数:自动报警系统调试(点以内) 5000</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9840C">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96E7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项</w:t>
            </w:r>
          </w:p>
        </w:tc>
      </w:tr>
      <w:tr w14:paraId="4D586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6"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2F2E1">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10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236D5">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更换疏散指示牌</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1ED9E">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1.产品符合GB17945《消防应急照明和疏散指示系统》要求</w:t>
            </w:r>
          </w:p>
          <w:p w14:paraId="76CFDCE5">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2.外壳材质：不锈钢</w:t>
            </w:r>
          </w:p>
          <w:p w14:paraId="06C052D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3.镶嵌式，并修复损坏线路，包含接线盒等材料</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3010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320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A985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具</w:t>
            </w:r>
          </w:p>
        </w:tc>
      </w:tr>
      <w:tr w14:paraId="41C20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EA02D">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11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A4E97">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闭门器</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7C11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1.闭门器产品必须满足国家标准GB2698-2005，防火门闭门器</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99C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36</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434C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202C1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17C72">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12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4B3A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疏散指示牌阻燃线管</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4729">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阻燃线管：20mm（PVC管及钢管）</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A87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1200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0F3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7B4C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4DE3">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13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A6F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疏散指示牌线缆</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369FD">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BV-3*2.5</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4CBC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1800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5DB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2CC28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43B8B">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14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BC495">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应急照明灯阻燃线管</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BBA4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阻燃线管：20mm（PVC管及钢管）</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46319">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900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DA59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1EB68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E845">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15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6E38">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应急照明灯线缆</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BAA6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BV-3*2.5</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8F53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1200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4F66">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m</w:t>
            </w:r>
          </w:p>
        </w:tc>
      </w:tr>
      <w:tr w14:paraId="631A7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646B2">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16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AB892">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自动报警系统调试</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7F659">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应急照明系统调试</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8CE8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9DE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项</w:t>
            </w:r>
          </w:p>
        </w:tc>
      </w:tr>
      <w:tr w14:paraId="7EBF5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7"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3B814">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17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6F6E">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更换防火门</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9F8F">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1.产品尺寸：147*208cm（±5%）尺寸以现场实际测量为准；</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2.静音开合；</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3.防火、防水、耐腐蚀</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4.耐火等级满足消防类产品认证实施规则CCCF-CPRZ-18:2019，乙级。</w:t>
            </w:r>
            <w:bookmarkStart w:id="0" w:name="_GoBack"/>
            <w:bookmarkEnd w:id="0"/>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86AD2">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16</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112C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樘</w:t>
            </w:r>
          </w:p>
        </w:tc>
      </w:tr>
      <w:tr w14:paraId="0C9DD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B7EA2">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18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4BD29">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更换室内消防箱</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DCAE">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1.产品尺寸：700*1600mm（±5%）</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2.含灭火器、卷盘、水带、钢管材等组件</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符合国家标准。</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557A">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165</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D7F3">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3FB3D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5B04E">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19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B9E5">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更换消防箱玻璃</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AD6B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1.产品尺寸：700*1600mm（±5%），尺寸以现场实际尺寸为准。</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0C6C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80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CECE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块</w:t>
            </w:r>
          </w:p>
        </w:tc>
      </w:tr>
      <w:tr w14:paraId="4CF46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4"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1A576">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20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245C9">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消防箱门(面)板</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54DCB">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1.产品尺寸：700*1600mm（±5%），尺寸以现场实际尺寸为准。</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185B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36</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EC3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扇</w:t>
            </w:r>
          </w:p>
        </w:tc>
      </w:tr>
      <w:tr w14:paraId="73FDF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D057B">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snapToGrid w:val="0"/>
                <w:color w:val="000000"/>
                <w:kern w:val="0"/>
                <w:sz w:val="24"/>
                <w:szCs w:val="24"/>
                <w:u w:val="none"/>
                <w:lang w:val="en-US" w:eastAsia="zh-CN" w:bidi="ar"/>
              </w:rPr>
              <w:t xml:space="preserve">21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527E7">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灭火器</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11C6C">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4KG干粉，符合国标要求</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97E7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600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B6E0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具</w:t>
            </w:r>
          </w:p>
        </w:tc>
      </w:tr>
      <w:tr w14:paraId="04A04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248A5">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22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9460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消防水带</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4EF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8型，长度30米</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符合国标要求（需现场安装到位）</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8B9F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665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条</w:t>
            </w:r>
          </w:p>
        </w:tc>
      </w:tr>
      <w:tr w14:paraId="3981F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4"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8B5A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23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CD1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室内消防栓栓头</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A7FC4">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国标尺寸</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符合国标要求</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（无需安装，供货即可）</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BD86C">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EAC2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个</w:t>
            </w:r>
          </w:p>
        </w:tc>
      </w:tr>
      <w:tr w14:paraId="4EEBA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9C676">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24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A8893">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消防闸阀</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A4CEC">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1、尺寸：DN100；</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2、符合国标要求，拆除旧的损坏的更换耐久耐腐蚀管材消火栓系统无需安装，供货即可</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049B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1264">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个</w:t>
            </w:r>
          </w:p>
        </w:tc>
      </w:tr>
      <w:tr w14:paraId="2ED86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561A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25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791DF">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防火控制装置调试</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DF6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1.名称：消火栓灭火系统调试</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1914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FF88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项</w:t>
            </w:r>
          </w:p>
        </w:tc>
      </w:tr>
      <w:tr w14:paraId="63932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256C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26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B9D8">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防火卷帘控制器更换</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3A3D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国标尺寸</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符合国标要求</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（需安装，供货即可）</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EDB35">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15</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F5A3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台</w:t>
            </w:r>
          </w:p>
        </w:tc>
      </w:tr>
      <w:tr w14:paraId="25FE5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DB7F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27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308C2">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防排烟系统调试</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D469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风机、风阀、防火卷帘联动</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E9B91">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2D77">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项</w:t>
            </w:r>
          </w:p>
        </w:tc>
      </w:tr>
      <w:tr w14:paraId="108FD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1827">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28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6480C">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水泵维修</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EA038">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06AC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5F0E9">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台</w:t>
            </w:r>
          </w:p>
        </w:tc>
      </w:tr>
      <w:tr w14:paraId="031F8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416AA">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29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9C76A">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水泵控制柜</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1E04D">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9B98">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2</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0BD0D">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4D774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28232">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30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BC47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抗震支架</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8432E">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0"/>
                <w:szCs w:val="20"/>
                <w:u w:val="none"/>
                <w:lang w:val="en-US" w:eastAsia="zh-CN" w:bidi="ar"/>
              </w:rPr>
              <w:t>消防水管，桥架、风管安装</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52D0B">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2600</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5ABE7">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146B8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6"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7C0F0">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31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84562">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气体灭火装置安装</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76D31">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1.名称：气体灭火装置安装</w:t>
            </w:r>
            <w:r>
              <w:rPr>
                <w:rFonts w:ascii="宋体" w:hAnsi="宋体" w:eastAsia="宋体" w:cs="宋体"/>
                <w:i w:val="0"/>
                <w:iCs w:val="0"/>
                <w:snapToGrid w:val="0"/>
                <w:color w:val="000000"/>
                <w:kern w:val="0"/>
                <w:sz w:val="20"/>
                <w:szCs w:val="20"/>
                <w:u w:val="none"/>
                <w:lang w:val="en-US" w:eastAsia="zh-CN" w:bidi="ar"/>
              </w:rPr>
              <w:br w:type="textWrapping"/>
            </w:r>
            <w:r>
              <w:rPr>
                <w:rFonts w:ascii="宋体" w:hAnsi="宋体" w:eastAsia="宋体" w:cs="宋体"/>
                <w:i w:val="0"/>
                <w:iCs w:val="0"/>
                <w:snapToGrid w:val="0"/>
                <w:color w:val="000000"/>
                <w:kern w:val="0"/>
                <w:sz w:val="20"/>
                <w:szCs w:val="20"/>
                <w:u w:val="none"/>
                <w:lang w:val="en-US" w:eastAsia="zh-CN" w:bidi="ar"/>
              </w:rPr>
              <w:t>2.工作内容：含管线及设备安装等完成本系统所有材料</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C17B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2</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57A2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套</w:t>
            </w:r>
          </w:p>
        </w:tc>
      </w:tr>
      <w:tr w14:paraId="52684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18933">
            <w:pPr>
              <w:keepNext w:val="0"/>
              <w:keepLines w:val="0"/>
              <w:widowControl/>
              <w:suppressLineNumbers w:val="0"/>
              <w:jc w:val="center"/>
              <w:textAlignment w:val="center"/>
              <w:rPr>
                <w:rFonts w:ascii="宋体" w:hAnsi="宋体" w:eastAsia="宋体" w:cs="宋体"/>
                <w:i w:val="0"/>
                <w:iCs w:val="0"/>
                <w:color w:val="000000"/>
                <w:sz w:val="22"/>
                <w:szCs w:val="22"/>
                <w:u w:val="none"/>
              </w:rPr>
            </w:pPr>
            <w:r>
              <w:rPr>
                <w:rFonts w:ascii="宋体" w:hAnsi="宋体" w:eastAsia="宋体" w:cs="宋体"/>
                <w:i w:val="0"/>
                <w:iCs w:val="0"/>
                <w:snapToGrid w:val="0"/>
                <w:color w:val="000000"/>
                <w:kern w:val="0"/>
                <w:sz w:val="22"/>
                <w:szCs w:val="22"/>
                <w:u w:val="none"/>
                <w:lang w:val="en-US" w:eastAsia="zh-CN" w:bidi="ar"/>
              </w:rPr>
              <w:t xml:space="preserve">32 </w:t>
            </w:r>
          </w:p>
        </w:tc>
        <w:tc>
          <w:tcPr>
            <w:tcW w:w="20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88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0"/>
                <w:szCs w:val="20"/>
                <w:u w:val="none"/>
                <w:lang w:val="en-US" w:eastAsia="zh-CN" w:bidi="ar"/>
              </w:rPr>
              <w:t>脚手架搭拆</w:t>
            </w:r>
          </w:p>
        </w:tc>
        <w:tc>
          <w:tcPr>
            <w:tcW w:w="44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801C0">
            <w:pPr>
              <w:keepNext w:val="0"/>
              <w:keepLines w:val="0"/>
              <w:widowControl/>
              <w:suppressLineNumbers w:val="0"/>
              <w:jc w:val="left"/>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租赁脚手架</w:t>
            </w:r>
          </w:p>
        </w:tc>
        <w:tc>
          <w:tcPr>
            <w:tcW w:w="11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17CE0">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89AA">
            <w:pPr>
              <w:keepNext w:val="0"/>
              <w:keepLines w:val="0"/>
              <w:widowControl/>
              <w:suppressLineNumbers w:val="0"/>
              <w:jc w:val="center"/>
              <w:textAlignment w:val="center"/>
              <w:rPr>
                <w:rFonts w:ascii="宋体" w:hAnsi="宋体" w:eastAsia="宋体" w:cs="宋体"/>
                <w:i w:val="0"/>
                <w:iCs w:val="0"/>
                <w:color w:val="000000"/>
                <w:sz w:val="20"/>
                <w:szCs w:val="20"/>
                <w:u w:val="none"/>
              </w:rPr>
            </w:pPr>
            <w:r>
              <w:rPr>
                <w:rFonts w:ascii="宋体" w:hAnsi="宋体" w:eastAsia="宋体" w:cs="宋体"/>
                <w:i w:val="0"/>
                <w:iCs w:val="0"/>
                <w:snapToGrid w:val="0"/>
                <w:color w:val="000000"/>
                <w:kern w:val="0"/>
                <w:sz w:val="20"/>
                <w:szCs w:val="20"/>
                <w:u w:val="none"/>
                <w:lang w:val="en-US" w:eastAsia="zh-CN" w:bidi="ar"/>
              </w:rPr>
              <w:t>项</w:t>
            </w:r>
          </w:p>
        </w:tc>
      </w:tr>
    </w:tbl>
    <w:p w14:paraId="1EC83B3B">
      <w:pPr>
        <w:keepNext w:val="0"/>
        <w:keepLines w:val="0"/>
        <w:widowControl/>
        <w:suppressLineNumbers w:val="0"/>
        <w:bidi w:val="0"/>
        <w:jc w:val="both"/>
        <w:rPr>
          <w:rFonts w:hint="eastAsia" w:ascii="宋体" w:hAnsi="宋体" w:eastAsia="宋体" w:cs="宋体"/>
          <w:b/>
          <w:bCs/>
          <w:spacing w:val="10"/>
          <w:sz w:val="24"/>
          <w:szCs w:val="24"/>
          <w:highlight w:val="white"/>
          <w:lang w:val="en-US" w:eastAsia="zh-CN"/>
        </w:rPr>
      </w:pPr>
    </w:p>
    <w:p w14:paraId="706DB6F1">
      <w:pPr>
        <w:widowControl w:val="0"/>
        <w:numPr>
          <w:ilvl w:val="0"/>
          <w:numId w:val="1"/>
        </w:numPr>
        <w:spacing w:before="78" w:line="220" w:lineRule="auto"/>
        <w:outlineLvl w:val="1"/>
        <w:rPr>
          <w:rFonts w:hint="eastAsia" w:ascii="宋体" w:hAnsi="宋体" w:eastAsia="宋体" w:cs="宋体"/>
          <w:color w:val="auto"/>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lang w:val="en-US" w:eastAsia="zh-CN"/>
          <w14:textOutline w14:w="4356" w14:cap="sq" w14:cmpd="sng" w14:algn="ctr">
            <w14:solidFill>
              <w14:srgbClr w14:val="000000"/>
            </w14:solidFill>
            <w14:prstDash w14:val="solid"/>
            <w14:bevel/>
          </w14:textOutline>
        </w:rPr>
        <w:t>商务条件</w:t>
      </w:r>
    </w:p>
    <w:p w14:paraId="724A4B9D">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rPr>
        <w:t>1.交付地点</w:t>
      </w:r>
      <w:r>
        <w:rPr>
          <w:rFonts w:hint="eastAsia" w:ascii="宋体" w:hAnsi="宋体" w:eastAsia="宋体" w:cs="宋体"/>
          <w:color w:val="auto"/>
          <w:sz w:val="24"/>
          <w:szCs w:val="24"/>
          <w:highlight w:val="white"/>
        </w:rPr>
        <w:t>：采购人指定地点。</w:t>
      </w:r>
    </w:p>
    <w:p w14:paraId="09D3C09C">
      <w:pPr>
        <w:bidi w:val="0"/>
        <w:spacing w:line="360" w:lineRule="auto"/>
        <w:rPr>
          <w:rFonts w:hint="eastAsia" w:ascii="宋体" w:hAnsi="宋体" w:eastAsia="宋体" w:cs="宋体"/>
          <w:color w:val="auto"/>
          <w:sz w:val="24"/>
          <w:szCs w:val="24"/>
          <w:highlight w:val="white"/>
        </w:rPr>
      </w:pPr>
      <w:r>
        <w:rPr>
          <w:rFonts w:hint="eastAsia" w:ascii="宋体" w:hAnsi="宋体" w:eastAsia="宋体" w:cs="宋体"/>
          <w:b/>
          <w:bCs/>
          <w:color w:val="auto"/>
          <w:sz w:val="24"/>
          <w:szCs w:val="24"/>
          <w:highlight w:val="white"/>
        </w:rPr>
        <w:t>2.交付期限及履约保证金</w:t>
      </w:r>
      <w:r>
        <w:rPr>
          <w:rFonts w:hint="eastAsia" w:ascii="宋体" w:hAnsi="宋体" w:eastAsia="宋体" w:cs="宋体"/>
          <w:color w:val="auto"/>
          <w:sz w:val="24"/>
          <w:szCs w:val="24"/>
          <w:highlight w:val="white"/>
        </w:rPr>
        <w:t>：</w:t>
      </w: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80</w:t>
      </w:r>
      <w:r>
        <w:rPr>
          <w:rFonts w:hint="eastAsia" w:ascii="宋体" w:hAnsi="宋体" w:eastAsia="宋体" w:cs="宋体"/>
          <w:color w:val="auto"/>
          <w:sz w:val="24"/>
          <w:szCs w:val="24"/>
          <w:highlight w:val="none"/>
        </w:rPr>
        <w:t>个日历天完成安装调试并交付使用</w:t>
      </w:r>
      <w:r>
        <w:rPr>
          <w:rFonts w:hint="eastAsia" w:ascii="宋体" w:hAnsi="宋体" w:eastAsia="宋体" w:cs="宋体"/>
          <w:color w:val="auto"/>
          <w:sz w:val="24"/>
          <w:szCs w:val="24"/>
          <w:highlight w:val="white"/>
        </w:rPr>
        <w:t>。签订合同前乙方向甲方缴纳中标价（合同价）的5%为履约保证金，以银行转帐的方式将履约保证金汇入甲方帐户，</w:t>
      </w:r>
      <w:r>
        <w:rPr>
          <w:rFonts w:hint="eastAsia" w:ascii="宋体" w:hAnsi="宋体" w:eastAsia="宋体" w:cs="宋体"/>
          <w:color w:val="auto"/>
          <w:sz w:val="24"/>
          <w:szCs w:val="24"/>
          <w:highlight w:val="white"/>
          <w:lang w:val="en-US" w:eastAsia="zh-CN"/>
        </w:rPr>
        <w:t>若</w:t>
      </w:r>
      <w:r>
        <w:rPr>
          <w:rFonts w:hint="eastAsia" w:ascii="宋体" w:hAnsi="宋体" w:eastAsia="宋体" w:cs="宋体"/>
          <w:color w:val="auto"/>
          <w:sz w:val="24"/>
          <w:szCs w:val="24"/>
          <w:highlight w:val="white"/>
        </w:rPr>
        <w:t>采用银行保函方式</w:t>
      </w:r>
      <w:r>
        <w:rPr>
          <w:rFonts w:hint="eastAsia" w:ascii="宋体" w:hAnsi="宋体" w:eastAsia="宋体" w:cs="宋体"/>
          <w:color w:val="auto"/>
          <w:sz w:val="24"/>
          <w:szCs w:val="24"/>
          <w:highlight w:val="white"/>
          <w:lang w:val="en-US" w:eastAsia="zh-CN"/>
        </w:rPr>
        <w:t>或者</w:t>
      </w:r>
      <w:r>
        <w:rPr>
          <w:rFonts w:hint="eastAsia" w:ascii="宋体" w:hAnsi="宋体" w:eastAsia="宋体" w:cs="宋体"/>
          <w:color w:val="auto"/>
          <w:sz w:val="24"/>
          <w:szCs w:val="24"/>
          <w:highlight w:val="white"/>
        </w:rPr>
        <w:t>专业担保机构出具的保函，则需提供见索即付保函，无论履约保函约定是否到期均需经甲方出具同意退款盖章通知单方可退还的条款。履约保证金在合同约定的质保履约期满后一次性无息退还。期满后凭经甲方出具同意退款盖章通知单退回。</w:t>
      </w:r>
    </w:p>
    <w:p w14:paraId="370754E1">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rPr>
        <w:t>3.交付期限延误处理</w:t>
      </w:r>
      <w:r>
        <w:rPr>
          <w:rFonts w:hint="eastAsia" w:ascii="宋体" w:hAnsi="宋体" w:eastAsia="宋体" w:cs="宋体"/>
          <w:color w:val="auto"/>
          <w:sz w:val="24"/>
          <w:szCs w:val="24"/>
          <w:highlight w:val="white"/>
        </w:rPr>
        <w:t>：本项目为交钥匙工程，</w:t>
      </w:r>
      <w:r>
        <w:rPr>
          <w:rFonts w:hint="eastAsia" w:ascii="宋体" w:hAnsi="宋体" w:eastAsia="宋体" w:cs="宋体"/>
          <w:color w:val="auto"/>
          <w:sz w:val="24"/>
          <w:szCs w:val="24"/>
          <w:highlight w:val="none"/>
          <w:lang w:val="en-US" w:eastAsia="zh-CN"/>
        </w:rPr>
        <w:t>成交供应商</w:t>
      </w:r>
      <w:r>
        <w:rPr>
          <w:rFonts w:hint="eastAsia" w:ascii="宋体" w:hAnsi="宋体" w:eastAsia="宋体" w:cs="宋体"/>
          <w:color w:val="auto"/>
          <w:sz w:val="24"/>
          <w:szCs w:val="24"/>
          <w:highlight w:val="none"/>
        </w:rPr>
        <w:t>需在</w:t>
      </w:r>
      <w:r>
        <w:rPr>
          <w:rFonts w:hint="eastAsia" w:ascii="宋体" w:hAnsi="宋体" w:eastAsia="宋体" w:cs="宋体"/>
          <w:color w:val="auto"/>
          <w:sz w:val="24"/>
          <w:szCs w:val="24"/>
          <w:highlight w:val="none"/>
          <w:lang w:val="en-US" w:eastAsia="zh-CN"/>
        </w:rPr>
        <w:t>80个日历</w:t>
      </w:r>
      <w:r>
        <w:rPr>
          <w:rFonts w:hint="eastAsia" w:ascii="宋体" w:hAnsi="宋体" w:eastAsia="宋体" w:cs="宋体"/>
          <w:color w:val="auto"/>
          <w:sz w:val="24"/>
          <w:szCs w:val="24"/>
          <w:highlight w:val="none"/>
        </w:rPr>
        <w:t>天完成安装调试并交付使用</w:t>
      </w:r>
      <w:r>
        <w:rPr>
          <w:rFonts w:hint="eastAsia" w:ascii="宋体" w:hAnsi="宋体" w:eastAsia="宋体" w:cs="宋体"/>
          <w:color w:val="auto"/>
          <w:sz w:val="24"/>
          <w:szCs w:val="24"/>
          <w:highlight w:val="white"/>
        </w:rPr>
        <w:t>，</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逾期交付，每逾期1天，向采购人偿付合同货款总额的</w:t>
      </w:r>
      <w:r>
        <w:rPr>
          <w:rFonts w:hint="eastAsia" w:ascii="宋体" w:hAnsi="宋体" w:eastAsia="宋体" w:cs="宋体"/>
          <w:color w:val="auto"/>
          <w:sz w:val="24"/>
          <w:szCs w:val="24"/>
          <w:highlight w:val="white"/>
          <w:lang w:val="en-US" w:eastAsia="zh-CN"/>
        </w:rPr>
        <w:t>1</w:t>
      </w:r>
      <w:r>
        <w:rPr>
          <w:rFonts w:hint="eastAsia" w:ascii="宋体" w:hAnsi="宋体" w:eastAsia="宋体" w:cs="宋体"/>
          <w:color w:val="auto"/>
          <w:sz w:val="24"/>
          <w:szCs w:val="24"/>
          <w:highlight w:val="white"/>
        </w:rPr>
        <w:t>‰的滞纳金，累计滞纳金不超过合同货款总额的5%，逾期交货超过10天，采购人有权解除合同，并且追究</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因逾期造成的相应违约责任。以上逾期情况，采购人视</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整改到位和给采购人造成损失情况，可按逾期情况处罚并没收或酌情扣除履约保证金，也可免于处罚。</w:t>
      </w:r>
    </w:p>
    <w:p w14:paraId="29C3D093">
      <w:pPr>
        <w:bidi w:val="0"/>
        <w:spacing w:line="360" w:lineRule="auto"/>
        <w:rPr>
          <w:rFonts w:hint="eastAsia" w:ascii="宋体" w:hAnsi="宋体" w:eastAsia="宋体" w:cs="宋体"/>
          <w:color w:val="auto"/>
          <w:sz w:val="24"/>
          <w:szCs w:val="24"/>
          <w:highlight w:val="white"/>
          <w:lang w:eastAsia="zh-CN"/>
        </w:rPr>
      </w:pPr>
      <w:r>
        <w:rPr>
          <w:rFonts w:hint="eastAsia" w:ascii="宋体" w:hAnsi="宋体" w:eastAsia="宋体" w:cs="宋体"/>
          <w:b/>
          <w:bCs/>
          <w:color w:val="auto"/>
          <w:sz w:val="24"/>
          <w:szCs w:val="24"/>
          <w:highlight w:val="white"/>
        </w:rPr>
        <w:t>4.付款方式：</w:t>
      </w:r>
      <w:r>
        <w:rPr>
          <w:rFonts w:hint="eastAsia" w:ascii="宋体" w:hAnsi="宋体" w:eastAsia="宋体" w:cs="宋体"/>
          <w:color w:val="auto"/>
          <w:sz w:val="24"/>
          <w:szCs w:val="24"/>
          <w:highlight w:val="none"/>
          <w:lang w:eastAsia="zh-CN"/>
        </w:rPr>
        <w:t>验收合格后30个工作日内，供应商提供发票后支付100%。</w:t>
      </w:r>
    </w:p>
    <w:p w14:paraId="0B5FD332">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rPr>
        <w:t>5.质量保证期：</w:t>
      </w:r>
      <w:r>
        <w:rPr>
          <w:rFonts w:hint="eastAsia" w:ascii="宋体" w:hAnsi="宋体" w:eastAsia="宋体" w:cs="宋体"/>
          <w:color w:val="auto"/>
          <w:sz w:val="24"/>
          <w:szCs w:val="24"/>
          <w:highlight w:val="white"/>
        </w:rPr>
        <w:t>所有设备及软件上门质保期为</w:t>
      </w: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年</w:t>
      </w:r>
      <w:r>
        <w:rPr>
          <w:rFonts w:hint="eastAsia" w:ascii="宋体" w:hAnsi="宋体" w:eastAsia="宋体" w:cs="宋体"/>
          <w:color w:val="auto"/>
          <w:sz w:val="24"/>
          <w:szCs w:val="24"/>
          <w:highlight w:val="white"/>
        </w:rPr>
        <w:t>；本次采购的软件产品为永久使用授权，质保期内免费升级。设备、器材质保范围按国家或行业相关要求的“三包”标准执行。</w:t>
      </w:r>
    </w:p>
    <w:p w14:paraId="540128B5">
      <w:pPr>
        <w:bidi w:val="0"/>
        <w:spacing w:line="360" w:lineRule="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white"/>
        </w:rPr>
        <w:t>6.售后服务：</w:t>
      </w:r>
      <w:r>
        <w:rPr>
          <w:rFonts w:hint="eastAsia" w:ascii="宋体" w:hAnsi="宋体" w:eastAsia="宋体" w:cs="宋体"/>
          <w:color w:val="auto"/>
          <w:sz w:val="24"/>
          <w:szCs w:val="24"/>
          <w:highlight w:val="white"/>
        </w:rPr>
        <w:t>提供7×24小时的故障服务受理。设备发生故障时，</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接到</w:t>
      </w:r>
      <w:r>
        <w:rPr>
          <w:rFonts w:hint="eastAsia" w:ascii="宋体" w:hAnsi="宋体" w:eastAsia="宋体" w:cs="宋体"/>
          <w:color w:val="auto"/>
          <w:sz w:val="24"/>
          <w:szCs w:val="24"/>
          <w:highlight w:val="white"/>
          <w:lang w:val="en-US" w:eastAsia="zh-CN"/>
        </w:rPr>
        <w:t>采购</w:t>
      </w:r>
      <w:r>
        <w:rPr>
          <w:rFonts w:hint="eastAsia" w:ascii="宋体" w:hAnsi="宋体" w:eastAsia="宋体" w:cs="宋体"/>
          <w:color w:val="auto"/>
          <w:sz w:val="24"/>
          <w:szCs w:val="24"/>
          <w:highlight w:val="white"/>
        </w:rPr>
        <w:t>人通知后6小时内派维修人员到达服务点（使用单位）进行维修。若货物故障在检修12小时后仍无法排除，</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派维修人员应在48小时内免费提供不低于故障货物规格型号档次的备用货物供招标人使用，直至故障货物修复。</w:t>
      </w:r>
    </w:p>
    <w:p w14:paraId="49666C3F">
      <w:pPr>
        <w:keepNext w:val="0"/>
        <w:keepLines w:val="0"/>
        <w:widowControl/>
        <w:suppressLineNumbers w:val="0"/>
        <w:bidi w:val="0"/>
        <w:spacing w:line="360" w:lineRule="auto"/>
        <w:jc w:val="left"/>
        <w:rPr>
          <w:rFonts w:hint="eastAsia" w:ascii="宋体" w:hAnsi="宋体" w:eastAsia="宋体" w:cs="宋体"/>
          <w:sz w:val="24"/>
          <w:szCs w:val="24"/>
        </w:rPr>
      </w:pPr>
      <w:r>
        <w:rPr>
          <w:rFonts w:hint="eastAsia" w:ascii="宋体" w:hAnsi="宋体" w:eastAsia="宋体" w:cs="宋体"/>
          <w:b/>
          <w:bCs/>
          <w:color w:val="auto"/>
          <w:sz w:val="24"/>
          <w:szCs w:val="24"/>
          <w:highlight w:val="white"/>
          <w:lang w:val="en-US" w:eastAsia="zh-CN"/>
        </w:rPr>
        <w:t>7.</w:t>
      </w:r>
      <w:r>
        <w:rPr>
          <w:rFonts w:hint="eastAsia" w:ascii="宋体" w:hAnsi="宋体" w:eastAsia="宋体" w:cs="宋体"/>
          <w:b/>
          <w:bCs/>
          <w:snapToGrid w:val="0"/>
          <w:color w:val="000000"/>
          <w:kern w:val="0"/>
          <w:sz w:val="24"/>
          <w:szCs w:val="24"/>
          <w:highlight w:val="white"/>
          <w:lang w:val="en-US" w:eastAsia="zh-CN"/>
        </w:rPr>
        <w:t xml:space="preserve">项目组成员： </w:t>
      </w:r>
    </w:p>
    <w:p w14:paraId="032378AE">
      <w:pPr>
        <w:keepNext w:val="0"/>
        <w:keepLines w:val="0"/>
        <w:widowControl/>
        <w:suppressLineNumbers w:val="0"/>
        <w:bidi w:val="0"/>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000000"/>
          <w:kern w:val="0"/>
          <w:sz w:val="24"/>
          <w:szCs w:val="24"/>
          <w:highlight w:val="white"/>
          <w:lang w:val="en-US" w:eastAsia="zh-CN"/>
        </w:rPr>
        <w:t>①</w:t>
      </w:r>
      <w:r>
        <w:rPr>
          <w:rFonts w:hint="eastAsia" w:ascii="宋体" w:hAnsi="宋体" w:eastAsia="宋体" w:cs="宋体"/>
          <w:snapToGrid w:val="0"/>
          <w:color w:val="000000"/>
          <w:kern w:val="0"/>
          <w:sz w:val="24"/>
          <w:szCs w:val="24"/>
          <w:highlight w:val="none"/>
          <w:lang w:val="en-US" w:eastAsia="zh-CN"/>
        </w:rPr>
        <w:t>本项目需拟派项目经理1名，技术负责人1名</w:t>
      </w:r>
      <w:r>
        <w:rPr>
          <w:rFonts w:hint="eastAsia" w:ascii="宋体" w:hAnsi="宋体" w:eastAsia="宋体" w:cs="宋体"/>
          <w:snapToGrid w:val="0"/>
          <w:color w:val="000000"/>
          <w:kern w:val="0"/>
          <w:sz w:val="24"/>
          <w:szCs w:val="24"/>
          <w:highlight w:val="white"/>
          <w:lang w:val="en-US" w:eastAsia="zh-CN"/>
        </w:rPr>
        <w:t>。</w:t>
      </w:r>
    </w:p>
    <w:p w14:paraId="58204E6B">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lang w:val="en-US" w:eastAsia="zh-CN"/>
        </w:rPr>
        <w:t>8</w:t>
      </w:r>
      <w:r>
        <w:rPr>
          <w:rFonts w:hint="eastAsia" w:ascii="宋体" w:hAnsi="宋体" w:eastAsia="宋体" w:cs="宋体"/>
          <w:b/>
          <w:bCs/>
          <w:color w:val="auto"/>
          <w:sz w:val="24"/>
          <w:szCs w:val="24"/>
          <w:highlight w:val="white"/>
        </w:rPr>
        <w:t>.投标报价：</w:t>
      </w:r>
      <w:r>
        <w:rPr>
          <w:rFonts w:hint="eastAsia" w:ascii="宋体" w:hAnsi="宋体" w:eastAsia="宋体" w:cs="宋体"/>
          <w:color w:val="auto"/>
          <w:sz w:val="24"/>
          <w:szCs w:val="24"/>
          <w:highlight w:val="white"/>
        </w:rPr>
        <w:t>报价为综合价格，包含招标文件规定的货物和附属售后服务、备品备件辅材、标准附件、专用工具、货物设计制造、知识产权费、包装、仓储、运输、装卸、安装调试、培训、技术服务、保险、税金、保修（即有质量问题发生的更换货）等验收合格之前及质量保修期内备品备件发生的所有为达到验收要求的有关成本。本项目为交钥匙工程。所有货物、安装调试、检验、售后、技术服务、运费和保险费等完成本项目所需的一切费用均包含在投标总价中。</w:t>
      </w:r>
    </w:p>
    <w:p w14:paraId="6C8CE5DD">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lang w:val="en-US" w:eastAsia="zh-CN"/>
        </w:rPr>
        <w:t>9</w:t>
      </w:r>
      <w:r>
        <w:rPr>
          <w:rFonts w:hint="eastAsia" w:ascii="宋体" w:hAnsi="宋体" w:eastAsia="宋体" w:cs="宋体"/>
          <w:b/>
          <w:bCs/>
          <w:color w:val="auto"/>
          <w:sz w:val="24"/>
          <w:szCs w:val="24"/>
          <w:highlight w:val="white"/>
        </w:rPr>
        <w:t>.现场踏勘：</w:t>
      </w:r>
      <w:r>
        <w:rPr>
          <w:rFonts w:hint="eastAsia" w:ascii="宋体" w:hAnsi="宋体" w:eastAsia="宋体" w:cs="宋体"/>
          <w:color w:val="auto"/>
          <w:sz w:val="24"/>
          <w:szCs w:val="24"/>
          <w:highlight w:val="white"/>
          <w:lang w:val="en-US" w:eastAsia="zh-CN"/>
        </w:rPr>
        <w:t>采购</w:t>
      </w:r>
      <w:r>
        <w:rPr>
          <w:rFonts w:hint="eastAsia" w:ascii="宋体" w:hAnsi="宋体" w:eastAsia="宋体" w:cs="宋体"/>
          <w:color w:val="auto"/>
          <w:sz w:val="24"/>
          <w:szCs w:val="24"/>
          <w:highlight w:val="white"/>
        </w:rPr>
        <w:t>人不组织踏勘现场，</w:t>
      </w:r>
      <w:r>
        <w:rPr>
          <w:rFonts w:hint="eastAsia" w:ascii="宋体" w:hAnsi="宋体" w:eastAsia="宋体" w:cs="宋体"/>
          <w:color w:val="auto"/>
          <w:sz w:val="24"/>
          <w:szCs w:val="24"/>
          <w:highlight w:val="white"/>
          <w:lang w:val="en-US" w:eastAsia="zh-CN"/>
        </w:rPr>
        <w:t>供应商</w:t>
      </w:r>
      <w:r>
        <w:rPr>
          <w:rFonts w:hint="eastAsia" w:ascii="宋体" w:hAnsi="宋体" w:eastAsia="宋体" w:cs="宋体"/>
          <w:color w:val="auto"/>
          <w:sz w:val="24"/>
          <w:szCs w:val="24"/>
          <w:highlight w:val="white"/>
        </w:rPr>
        <w:t>应自行安排实地踏勘、现场测量和环境评估，为投标报价取得依据。一旦中标，不得以不了解现场情况为理由而提出额外费用，采购人将不予考虑。踏勘现场的费用自理，在现场考察过程中，投标如果发生人身伤亡、财务或其它损失，不论何种原因造成，均由投标人自己承担。</w:t>
      </w:r>
    </w:p>
    <w:p w14:paraId="7905AD8D">
      <w:pPr>
        <w:bidi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white"/>
          <w:lang w:val="en-US" w:eastAsia="zh-CN"/>
        </w:rPr>
        <w:t>10</w:t>
      </w:r>
      <w:r>
        <w:rPr>
          <w:rFonts w:hint="eastAsia" w:ascii="宋体" w:hAnsi="宋体" w:eastAsia="宋体" w:cs="宋体"/>
          <w:b/>
          <w:bCs/>
          <w:color w:val="auto"/>
          <w:sz w:val="24"/>
          <w:szCs w:val="24"/>
          <w:highlight w:val="white"/>
        </w:rPr>
        <w:t>.验收：</w:t>
      </w:r>
    </w:p>
    <w:p w14:paraId="7823CF21">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white"/>
        </w:rPr>
        <w:t>1）货物验收验收方式为：视项目实施情况，采购人有权邀请第三方人员或相关专家或检测机构对本项目所涉货物及安装规范进行中途或最终验收或抽检。抽检工作用于验证所投产品是否与投标承诺一致，如抽检不合格采购人将视情况进行处罚，采购人有权要求</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重新整改至合格。检测费用、验收小组评审费及其他相关费用由</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独立承担。如货物未能通过检测验收，</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应按照采购人的要求更换相应货物直至达标，并承担由此产生的一切费用和损失，拒不整改的，采购人有权扣除履约保证金，解除合同，由此产生的一切责任和费用均由</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承担。</w:t>
      </w:r>
    </w:p>
    <w:p w14:paraId="747E354E">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white"/>
        </w:rPr>
        <w:t>2）</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应负责在项目验收时将全部有关技术文件（含制造商参数确认函）、资料、验收报告等文档汇集成册交付采购人或用户。</w:t>
      </w:r>
    </w:p>
    <w:p w14:paraId="6F132991">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white"/>
        </w:rPr>
        <w:t>1</w:t>
      </w:r>
      <w:r>
        <w:rPr>
          <w:rFonts w:hint="eastAsia" w:ascii="宋体" w:hAnsi="宋体" w:eastAsia="宋体" w:cs="宋体"/>
          <w:b/>
          <w:bCs/>
          <w:color w:val="auto"/>
          <w:sz w:val="24"/>
          <w:szCs w:val="24"/>
          <w:highlight w:val="white"/>
          <w:lang w:val="en-US" w:eastAsia="zh-CN"/>
        </w:rPr>
        <w:t>1</w:t>
      </w:r>
      <w:r>
        <w:rPr>
          <w:rFonts w:hint="eastAsia" w:ascii="宋体" w:hAnsi="宋体" w:eastAsia="宋体" w:cs="宋体"/>
          <w:b/>
          <w:bCs/>
          <w:color w:val="auto"/>
          <w:sz w:val="24"/>
          <w:szCs w:val="24"/>
          <w:highlight w:val="white"/>
        </w:rPr>
        <w:t>.其他要求</w:t>
      </w:r>
      <w:r>
        <w:rPr>
          <w:rFonts w:hint="eastAsia" w:ascii="宋体" w:hAnsi="宋体" w:eastAsia="宋体" w:cs="宋体"/>
          <w:color w:val="auto"/>
          <w:sz w:val="24"/>
          <w:szCs w:val="24"/>
          <w:highlight w:val="white"/>
        </w:rPr>
        <w:t>：</w:t>
      </w:r>
    </w:p>
    <w:p w14:paraId="0ADE8F0B">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white"/>
        </w:rPr>
        <w:t>1</w:t>
      </w:r>
      <w:r>
        <w:rPr>
          <w:rFonts w:hint="eastAsia" w:ascii="宋体" w:hAnsi="宋体" w:eastAsia="宋体" w:cs="宋体"/>
          <w:color w:val="auto"/>
          <w:sz w:val="24"/>
          <w:szCs w:val="24"/>
          <w:highlight w:val="white"/>
          <w:lang w:val="en-US" w:eastAsia="zh-CN"/>
        </w:rPr>
        <w:t>1</w:t>
      </w:r>
      <w:r>
        <w:rPr>
          <w:rFonts w:hint="eastAsia" w:ascii="宋体" w:hAnsi="宋体" w:eastAsia="宋体" w:cs="宋体"/>
          <w:color w:val="auto"/>
          <w:sz w:val="24"/>
          <w:szCs w:val="24"/>
          <w:highlight w:val="white"/>
        </w:rPr>
        <w:t>.1</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须提供全新、原装，并符合质量标准的设备。</w:t>
      </w:r>
    </w:p>
    <w:p w14:paraId="628DBD2D">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white"/>
        </w:rPr>
        <w:t>1</w:t>
      </w:r>
      <w:r>
        <w:rPr>
          <w:rFonts w:hint="eastAsia" w:ascii="宋体" w:hAnsi="宋体" w:eastAsia="宋体" w:cs="宋体"/>
          <w:color w:val="auto"/>
          <w:sz w:val="24"/>
          <w:szCs w:val="24"/>
          <w:highlight w:val="white"/>
          <w:lang w:val="en-US" w:eastAsia="zh-CN"/>
        </w:rPr>
        <w:t>1</w:t>
      </w:r>
      <w:r>
        <w:rPr>
          <w:rFonts w:hint="eastAsia" w:ascii="宋体" w:hAnsi="宋体" w:eastAsia="宋体" w:cs="宋体"/>
          <w:color w:val="auto"/>
          <w:sz w:val="24"/>
          <w:szCs w:val="24"/>
          <w:highlight w:val="white"/>
        </w:rPr>
        <w:t>.2所有货物的知识产权问题，由</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自行负责。</w:t>
      </w:r>
    </w:p>
    <w:p w14:paraId="7D5995A5">
      <w:pPr>
        <w:bidi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white"/>
        </w:rPr>
        <w:t>1</w:t>
      </w:r>
      <w:r>
        <w:rPr>
          <w:rFonts w:hint="eastAsia" w:ascii="宋体" w:hAnsi="宋体" w:eastAsia="宋体" w:cs="宋体"/>
          <w:color w:val="auto"/>
          <w:sz w:val="24"/>
          <w:szCs w:val="24"/>
          <w:highlight w:val="white"/>
          <w:lang w:val="en-US" w:eastAsia="zh-CN"/>
        </w:rPr>
        <w:t>1</w:t>
      </w:r>
      <w:r>
        <w:rPr>
          <w:rFonts w:hint="eastAsia" w:ascii="宋体" w:hAnsi="宋体" w:eastAsia="宋体" w:cs="宋体"/>
          <w:color w:val="auto"/>
          <w:sz w:val="24"/>
          <w:szCs w:val="24"/>
          <w:highlight w:val="white"/>
        </w:rPr>
        <w:t>.3</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应确保其技术建议以及所提供的软、硬件设备的完整性、实用性，保证全部系统及时投入正常运行。若出现因</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提供的软、硬件设备不满足要求、不合理，或者其所提供的技术支持和服务不全面，而导致系统无法实现或不能完全实现的状况，</w:t>
      </w:r>
      <w:r>
        <w:rPr>
          <w:rFonts w:hint="eastAsia" w:ascii="宋体" w:hAnsi="宋体" w:eastAsia="宋体" w:cs="宋体"/>
          <w:color w:val="auto"/>
          <w:sz w:val="24"/>
          <w:szCs w:val="24"/>
          <w:highlight w:val="white"/>
          <w:lang w:val="en-US" w:eastAsia="zh-CN"/>
        </w:rPr>
        <w:t>成交供应商</w:t>
      </w:r>
      <w:r>
        <w:rPr>
          <w:rFonts w:hint="eastAsia" w:ascii="宋体" w:hAnsi="宋体" w:eastAsia="宋体" w:cs="宋体"/>
          <w:color w:val="auto"/>
          <w:sz w:val="24"/>
          <w:szCs w:val="24"/>
          <w:highlight w:val="white"/>
        </w:rPr>
        <w:t>负全部责任。</w:t>
      </w:r>
    </w:p>
    <w:p w14:paraId="432FAAB1">
      <w:pPr>
        <w:numPr>
          <w:ilvl w:val="0"/>
          <w:numId w:val="2"/>
        </w:numPr>
        <w:bidi w:val="0"/>
        <w:spacing w:line="360" w:lineRule="auto"/>
        <w:rPr>
          <w:rFonts w:hint="eastAsia" w:ascii="宋体" w:hAnsi="宋体" w:eastAsia="宋体" w:cs="宋体"/>
          <w:color w:val="auto"/>
          <w:sz w:val="24"/>
          <w:szCs w:val="24"/>
          <w:highlight w:val="white"/>
          <w:lang w:val="en-US" w:eastAsia="zh-CN"/>
        </w:rPr>
      </w:pPr>
      <w:r>
        <w:rPr>
          <w:rFonts w:hint="eastAsia" w:ascii="宋体" w:hAnsi="宋体" w:eastAsia="宋体" w:cs="宋体"/>
          <w:b/>
          <w:bCs/>
          <w:color w:val="auto"/>
          <w:sz w:val="24"/>
          <w:szCs w:val="24"/>
          <w:highlight w:val="white"/>
        </w:rPr>
        <w:t>其他未尽事宜，</w:t>
      </w:r>
      <w:r>
        <w:rPr>
          <w:rFonts w:hint="eastAsia" w:ascii="宋体" w:hAnsi="宋体" w:eastAsia="宋体" w:cs="宋体"/>
          <w:b/>
          <w:bCs/>
          <w:color w:val="auto"/>
          <w:sz w:val="24"/>
          <w:szCs w:val="24"/>
          <w:highlight w:val="white"/>
          <w:lang w:val="en-US" w:eastAsia="zh-CN"/>
        </w:rPr>
        <w:t>合同签订时</w:t>
      </w:r>
      <w:r>
        <w:rPr>
          <w:rFonts w:hint="eastAsia" w:ascii="宋体" w:hAnsi="宋体" w:eastAsia="宋体" w:cs="宋体"/>
          <w:b/>
          <w:bCs/>
          <w:color w:val="auto"/>
          <w:sz w:val="24"/>
          <w:szCs w:val="24"/>
          <w:highlight w:val="white"/>
        </w:rPr>
        <w:t>与采购人</w:t>
      </w:r>
      <w:r>
        <w:rPr>
          <w:rFonts w:hint="eastAsia" w:ascii="宋体" w:hAnsi="宋体" w:eastAsia="宋体" w:cs="宋体"/>
          <w:b/>
          <w:bCs/>
          <w:color w:val="auto"/>
          <w:sz w:val="24"/>
          <w:szCs w:val="24"/>
          <w:highlight w:val="white"/>
          <w:lang w:val="en-US" w:eastAsia="zh-CN"/>
        </w:rPr>
        <w:t>协商确定</w:t>
      </w:r>
      <w:r>
        <w:rPr>
          <w:rFonts w:hint="eastAsia" w:ascii="宋体" w:hAnsi="宋体" w:eastAsia="宋体" w:cs="宋体"/>
          <w:color w:val="auto"/>
          <w:sz w:val="24"/>
          <w:szCs w:val="24"/>
          <w:highlight w:val="white"/>
        </w:rPr>
        <w:t>。</w:t>
      </w:r>
    </w:p>
    <w:p w14:paraId="705285EB">
      <w:pPr>
        <w:pStyle w:val="2"/>
        <w:rPr>
          <w:rFonts w:hint="eastAsia"/>
          <w:lang w:val="en-US" w:eastAsia="zh-CN"/>
        </w:rPr>
      </w:pPr>
    </w:p>
    <w:p w14:paraId="75BFE73E">
      <w:pPr>
        <w:pStyle w:val="2"/>
        <w:numPr>
          <w:ilvl w:val="0"/>
          <w:numId w:val="0"/>
        </w:num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093F58"/>
    <w:multiLevelType w:val="singleLevel"/>
    <w:tmpl w:val="84093F58"/>
    <w:lvl w:ilvl="0" w:tentative="0">
      <w:start w:val="12"/>
      <w:numFmt w:val="decimal"/>
      <w:suff w:val="nothing"/>
      <w:lvlText w:val="%1、"/>
      <w:lvlJc w:val="left"/>
    </w:lvl>
  </w:abstractNum>
  <w:abstractNum w:abstractNumId="1">
    <w:nsid w:val="555C2D14"/>
    <w:multiLevelType w:val="singleLevel"/>
    <w:tmpl w:val="555C2D14"/>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3F31C0"/>
    <w:rsid w:val="19D80D3E"/>
    <w:rsid w:val="3703456E"/>
    <w:rsid w:val="3C6C58BC"/>
    <w:rsid w:val="545614C7"/>
    <w:rsid w:val="57646CCD"/>
    <w:rsid w:val="708849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character" w:customStyle="1" w:styleId="8">
    <w:name w:val="font51"/>
    <w:basedOn w:val="5"/>
    <w:uiPriority w:val="0"/>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2863</Words>
  <Characters>3165</Characters>
  <Lines>0</Lines>
  <Paragraphs>0</Paragraphs>
  <TotalTime>0</TotalTime>
  <ScaleCrop>false</ScaleCrop>
  <LinksUpToDate>false</LinksUpToDate>
  <CharactersWithSpaces>3203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2026-02-08T11:56:00Z</dcterms:created>
  <dc:creator>况盼晴</dc:creator>
  <cp:lastModifiedBy>Mrs.G</cp:lastModifiedBy>
  <dcterms:modified xsi:type="dcterms:W3CDTF">2026-04-13T03:36:10Z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eyJoZGlkIjoiNDc0MDIwNjQ5NmZhMjE4ZGUxMDYwY2M2NjI1OGFiZTciLCJ1c2VySWQiOiI4MDMwNjA4OTIifQ==</vt:lpwstr>
  </property>
  <property fmtid="{D5CDD505-2E9C-101B-9397-08002B2CF9AE}" pid="4" name="ICV">
    <vt:lpwstr>8AC9FBD677B0442FB10386C076BBD07B_12</vt:lpwstr>
  </property>
</Properties>
</file>