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8B3DE2">
      <w:pPr>
        <w:keepNext/>
        <w:keepLines/>
        <w:widowControl w:val="0"/>
        <w:spacing w:before="0" w:after="260" w:afterLines="150" w:line="460" w:lineRule="exact"/>
        <w:jc w:val="center"/>
        <w:outlineLvl w:val="1"/>
        <w:rPr>
          <w:rFonts w:ascii="宋体" w:hAnsi="宋体" w:eastAsia="宋体" w:cs="Times New Roman"/>
          <w:b/>
          <w:bCs/>
          <w:color w:val="auto"/>
          <w:kern w:val="2"/>
          <w:sz w:val="28"/>
          <w:szCs w:val="28"/>
          <w:lang w:val="en-US" w:eastAsia="zh-CN" w:bidi="ar-SA"/>
        </w:rPr>
      </w:pPr>
      <w:bookmarkStart w:id="0" w:name="_Toc111645636"/>
      <w:bookmarkStart w:id="1" w:name="_Toc78283990"/>
      <w:bookmarkStart w:id="2" w:name="_Toc69978810"/>
      <w:r>
        <w:rPr>
          <w:rFonts w:hint="eastAsia" w:ascii="宋体" w:hAnsi="宋体" w:eastAsia="宋体" w:cs="Times New Roman"/>
          <w:b/>
          <w:bCs/>
          <w:color w:val="auto"/>
          <w:kern w:val="2"/>
          <w:sz w:val="28"/>
          <w:szCs w:val="28"/>
          <w:lang w:val="en-US" w:eastAsia="zh-CN" w:bidi="ar-SA"/>
        </w:rPr>
        <w:t>二、采购要求</w:t>
      </w:r>
      <w:bookmarkEnd w:id="0"/>
      <w:bookmarkEnd w:id="1"/>
      <w:bookmarkEnd w:id="2"/>
    </w:p>
    <w:p w14:paraId="05257F7A">
      <w:pPr>
        <w:spacing w:before="240" w:line="360" w:lineRule="auto"/>
        <w:rPr>
          <w:rFonts w:ascii="宋体" w:hAnsi="宋体" w:eastAsia="宋体" w:cs="Times New Roman"/>
          <w:b/>
          <w:color w:val="auto"/>
          <w:sz w:val="24"/>
          <w:szCs w:val="24"/>
        </w:rPr>
      </w:pPr>
      <w:bookmarkStart w:id="3" w:name="_Toc111645637"/>
      <w:bookmarkStart w:id="4" w:name="_Toc8448"/>
      <w:bookmarkStart w:id="5" w:name="_Toc78283991"/>
      <w:r>
        <w:rPr>
          <w:rFonts w:hint="eastAsia" w:ascii="宋体" w:hAnsi="宋体" w:eastAsia="宋体" w:cs="Times New Roman"/>
          <w:b/>
          <w:color w:val="auto"/>
          <w:sz w:val="24"/>
          <w:szCs w:val="24"/>
        </w:rPr>
        <w:t>（一）服务需求</w:t>
      </w:r>
    </w:p>
    <w:p w14:paraId="30A43C9E">
      <w:pPr>
        <w:spacing w:line="360" w:lineRule="auto"/>
        <w:rPr>
          <w:rFonts w:ascii="宋体" w:hAnsi="宋体" w:eastAsia="宋体" w:cs="宋体"/>
          <w:color w:val="auto"/>
          <w:sz w:val="24"/>
          <w:szCs w:val="24"/>
        </w:rPr>
      </w:pPr>
      <w:r>
        <w:rPr>
          <w:rFonts w:hint="eastAsia" w:ascii="宋体" w:hAnsi="宋体" w:eastAsia="宋体" w:cs="宋体"/>
          <w:color w:val="auto"/>
          <w:sz w:val="24"/>
          <w:szCs w:val="24"/>
        </w:rPr>
        <w:t>1、服务内容</w:t>
      </w:r>
    </w:p>
    <w:p w14:paraId="5D47216D">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1.1.投标人提供的</w:t>
      </w:r>
      <w:bookmarkStart w:id="6" w:name="OLE_LINK1"/>
      <w:r>
        <w:rPr>
          <w:rFonts w:hint="eastAsia" w:ascii="宋体" w:hAnsi="宋体" w:eastAsia="宋体" w:cs="宋体"/>
          <w:color w:val="auto"/>
          <w:sz w:val="24"/>
          <w:szCs w:val="24"/>
        </w:rPr>
        <w:t>人力资源服务包括劳务外包及劳务派遣</w:t>
      </w:r>
      <w:bookmarkEnd w:id="6"/>
      <w:r>
        <w:rPr>
          <w:rFonts w:hint="eastAsia" w:ascii="宋体" w:hAnsi="宋体" w:eastAsia="宋体" w:cs="宋体"/>
          <w:color w:val="auto"/>
          <w:sz w:val="24"/>
          <w:szCs w:val="24"/>
        </w:rPr>
        <w:t>，应按照《中华人民共和国劳动法》及有关法律、法规、规章及政策规定进行，属于合同约定的服务职责范围内的事项按合同实施，不属于服务职责范围的事项，依法交有关部门处理。</w:t>
      </w:r>
    </w:p>
    <w:p w14:paraId="63B57ECD">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1.2.投标人应制定管理制度，履行服务责任，外包或派遣人员的变动须得到采购人的同意。因投标人自身原因引发管理或劳资纠纷的，由投标人承担由此引发的全部责任。</w:t>
      </w:r>
    </w:p>
    <w:p w14:paraId="60347023">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1.3.在合同期内，服务人员可由采购人自行面试，确认录用，也可委托投标人进行招聘并交由采购人认可后方可聘用，投标人须按照采购人要求优先聘用现有（以本项目开标当日为准）工作人员。采购人可随时确定投标人外包或派遣的人员数量，外包或派遣的劳务人员一经确定，双方应拟定《外包或派遣人员名单》，并签字、盖章，作为合同的附件，由中标人与外包或派遣劳务人员签定劳动合同，确立劳务关系。</w:t>
      </w:r>
    </w:p>
    <w:p w14:paraId="3DA498C3">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1.4.要求外包或派遣人员入职前需进行体检，并根据采购人的要求提供健康证明，体检不合格的人员退回投标人，投标人自行安排。</w:t>
      </w:r>
    </w:p>
    <w:p w14:paraId="5B23E996">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1.5.劳务外包或派遣人员的变更：双方按照商定对人员进行变更的，要相应更改《外包或派遣人员名单》，并须经双方签字、盖章认可。采购人有权辞退不符合采购人要求的外包或派遣人员，在工作期间依法需要辞退的，由投标人负责与其办理终止或解除劳动合同手续。</w:t>
      </w:r>
    </w:p>
    <w:p w14:paraId="34645A8A">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1.6.外包或派遣人员入离职管理：投标人负责办理入离职手续，办理党团关系，社会保险转移接续手续。</w:t>
      </w:r>
    </w:p>
    <w:p w14:paraId="3E3CE477">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1.7.外包或派遣人员人事关系管理服务：投标人负责提供存档咨询及档案转移手续办理服务，开具在职证明、介绍信、计生证明等各类人事证明、应确保及时、准确，妥善的进行档案管理，向采购人提供服务报告，服务台账档案，人员档案，并负责核实存档已入职的人员身份信息直至合同结束。</w:t>
      </w:r>
    </w:p>
    <w:p w14:paraId="6D27C503">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1.8.薪酬核算及工资发放管理服务：投标人按照采购人要求的薪酬结构、标准，制定具体工资待遇方案，提供工资核算、考勤扣款计算、社会保险费用扣除、个税扣除、工资发放等服务。</w:t>
      </w:r>
    </w:p>
    <w:p w14:paraId="1EA6EBC5">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1.9.社会保险代缴及管理服务：投标人按照相关政策规定为外包或派遣人员办理及缴纳社会保险，开具社会保险缴费证明及社保相关查询服务，办理退休及相关管理，办理生育保险、工伤等相关手续。</w:t>
      </w:r>
    </w:p>
    <w:p w14:paraId="63EE89EE">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1.10.投标人需提供相应的职业培训（包括相关护理员的培训考核）以及人才测评。</w:t>
      </w:r>
    </w:p>
    <w:p w14:paraId="11D231C8">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1.11.外包或派遣岗位中若有残疾人员的，投标人应配合采购人完成对残疾人就业保障金的申报工作。</w:t>
      </w:r>
    </w:p>
    <w:p w14:paraId="6DAA7BC4">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1.12投标人应指定项目主要负责人1名（大专及以上学历），驻项目主管1名（大专及以上学历），派驻团队不得少于3人，负责及时协商解决合作过程中出现的问题，妥善处理派遣员工的各项事务，协助采购人的相关工作。</w:t>
      </w:r>
    </w:p>
    <w:p w14:paraId="347E7F23">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1.13投标人投标人需具备专业的计算机软件系统，用于本项目人力资源管理服务。</w:t>
      </w:r>
    </w:p>
    <w:p w14:paraId="478728DD">
      <w:pPr>
        <w:spacing w:line="360" w:lineRule="auto"/>
        <w:rPr>
          <w:rFonts w:ascii="宋体" w:hAnsi="宋体" w:eastAsia="宋体" w:cs="宋体"/>
          <w:color w:val="auto"/>
          <w:sz w:val="24"/>
          <w:szCs w:val="24"/>
        </w:rPr>
      </w:pPr>
      <w:r>
        <w:rPr>
          <w:rFonts w:hint="eastAsia" w:ascii="宋体" w:hAnsi="宋体" w:eastAsia="宋体" w:cs="宋体"/>
          <w:color w:val="auto"/>
          <w:sz w:val="24"/>
          <w:szCs w:val="24"/>
        </w:rPr>
        <w:t>2、人员配置与人员要求</w:t>
      </w:r>
    </w:p>
    <w:p w14:paraId="79853B22">
      <w:pPr>
        <w:spacing w:line="360" w:lineRule="auto"/>
        <w:ind w:firstLine="240" w:firstLineChars="100"/>
        <w:rPr>
          <w:rFonts w:ascii="宋体" w:hAnsi="宋体" w:eastAsia="宋体" w:cs="宋体"/>
          <w:color w:val="auto"/>
          <w:sz w:val="24"/>
          <w:szCs w:val="24"/>
        </w:rPr>
      </w:pPr>
      <w:r>
        <w:rPr>
          <w:rFonts w:hint="eastAsia" w:ascii="宋体" w:hAnsi="宋体" w:eastAsia="宋体" w:cs="宋体"/>
          <w:color w:val="auto"/>
          <w:sz w:val="24"/>
          <w:szCs w:val="24"/>
        </w:rPr>
        <w:t>2.1.人员配置：</w:t>
      </w:r>
    </w:p>
    <w:p w14:paraId="2CD2EC38">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2.1.1.投标人外包或派遣至本项目的人员主要从事临床医技辅助、科研助理、行政后勤服务等岗位工作。目前有</w:t>
      </w:r>
      <w:r>
        <w:rPr>
          <w:rFonts w:hint="eastAsia" w:ascii="宋体" w:hAnsi="宋体" w:eastAsia="宋体" w:cs="宋体"/>
          <w:bCs/>
          <w:color w:val="auto"/>
          <w:sz w:val="24"/>
          <w:szCs w:val="24"/>
        </w:rPr>
        <w:t>劳务派遣291人、护工184人</w:t>
      </w:r>
      <w:r>
        <w:rPr>
          <w:rFonts w:hint="eastAsia" w:ascii="宋体" w:hAnsi="宋体" w:eastAsia="宋体" w:cs="宋体"/>
          <w:color w:val="auto"/>
          <w:sz w:val="24"/>
          <w:szCs w:val="24"/>
        </w:rPr>
        <w:t>作为本项目人员需求平移至中标人管理。后续人员增减以采购人实际需要为准。</w:t>
      </w:r>
    </w:p>
    <w:p w14:paraId="0309BB3A">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2.1.2.各岗位人员要求（配置计划、工作内容、工作时间等）由采购人根据实际情况向中标人提出，投标人根据采购人提供的岗位要求进行管理，内容主要包括招聘、档案挂靠、签订劳动合同、职业培训、人才测评、年度考核、工资发放、社保缴纳、劳务纠纷处理等。</w:t>
      </w:r>
    </w:p>
    <w:p w14:paraId="24C62A52">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2.1.3.投标人派驻项目的人员需与投标文件中的人员一致，不得擅自更换，确需更换的需征得采购人同意，且符合采购文件中的资质要求。</w:t>
      </w:r>
    </w:p>
    <w:p w14:paraId="3157093D">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2.2.人员要求：</w:t>
      </w:r>
    </w:p>
    <w:p w14:paraId="55DC79AA">
      <w:pPr>
        <w:spacing w:line="360" w:lineRule="auto"/>
        <w:ind w:firstLine="480" w:firstLineChars="200"/>
        <w:rPr>
          <w:rFonts w:ascii="宋体" w:hAnsi="宋体" w:eastAsia="宋体" w:cs="仿宋"/>
          <w:b/>
          <w:bCs/>
          <w:color w:val="auto"/>
          <w:sz w:val="24"/>
          <w:szCs w:val="24"/>
        </w:rPr>
      </w:pPr>
      <w:r>
        <w:rPr>
          <w:rFonts w:hint="eastAsia" w:ascii="宋体" w:hAnsi="宋体" w:eastAsia="宋体" w:cs="宋体"/>
          <w:color w:val="auto"/>
          <w:sz w:val="24"/>
          <w:szCs w:val="24"/>
        </w:rPr>
        <w:t>根据岗位需要，须符合招聘计划所规定的条件和资质，并通过招聘考核。</w:t>
      </w:r>
    </w:p>
    <w:p w14:paraId="67872CC7">
      <w:pPr>
        <w:adjustRightInd w:val="0"/>
        <w:spacing w:line="360" w:lineRule="auto"/>
        <w:rPr>
          <w:rFonts w:ascii="宋体" w:hAnsi="宋体" w:eastAsia="宋体" w:cs="仿宋"/>
          <w:b/>
          <w:bCs/>
          <w:color w:val="auto"/>
          <w:sz w:val="24"/>
          <w:szCs w:val="24"/>
        </w:rPr>
      </w:pPr>
    </w:p>
    <w:p w14:paraId="16A75650">
      <w:pPr>
        <w:adjustRightInd w:val="0"/>
        <w:spacing w:line="360" w:lineRule="auto"/>
        <w:rPr>
          <w:rFonts w:ascii="Times New Roman" w:hAnsi="Times New Roman" w:eastAsia="宋体" w:cs="Times New Roman"/>
          <w:color w:val="auto"/>
          <w:kern w:val="0"/>
          <w:sz w:val="24"/>
          <w:szCs w:val="24"/>
        </w:rPr>
      </w:pPr>
      <w:r>
        <w:rPr>
          <w:rFonts w:hint="eastAsia" w:ascii="宋体" w:hAnsi="宋体" w:eastAsia="宋体" w:cs="仿宋"/>
          <w:b/>
          <w:bCs/>
          <w:color w:val="auto"/>
          <w:sz w:val="24"/>
          <w:szCs w:val="24"/>
        </w:rPr>
        <w:t>（二）商务条款</w:t>
      </w:r>
      <w:bookmarkEnd w:id="3"/>
      <w:bookmarkEnd w:id="4"/>
      <w:bookmarkEnd w:id="5"/>
    </w:p>
    <w:p w14:paraId="40373631">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w:t>
      </w:r>
      <w:r>
        <w:rPr>
          <w:rFonts w:hint="eastAsia" w:ascii="宋体" w:hAnsi="宋体" w:eastAsia="宋体" w:cs="宋体"/>
          <w:b/>
          <w:bCs/>
          <w:color w:val="auto"/>
          <w:sz w:val="24"/>
          <w:szCs w:val="24"/>
        </w:rPr>
        <w:t>本项目预算为：3000万元/年（据实结算）</w:t>
      </w:r>
      <w:r>
        <w:rPr>
          <w:rFonts w:hint="eastAsia" w:ascii="宋体" w:hAnsi="宋体" w:eastAsia="宋体" w:cs="宋体"/>
          <w:color w:val="auto"/>
          <w:sz w:val="24"/>
          <w:szCs w:val="24"/>
        </w:rPr>
        <w:t>。其中固定工资2952万，管理费48万元。固定工资包含但不限于人工工资，如基本工资、用工补贴(含节假日加班补贴、差旅补贴、高温防暑补贴、物价上涨补贴、劳保补贴等)各种福利，单位和个人缴纳的各类保险，个人所得税等可能发生的所有成本费用。人员工资及福利标准根据岗位工作性质和岗位技术要求由采购人制定。</w:t>
      </w:r>
    </w:p>
    <w:p w14:paraId="6B6C3122">
      <w:pPr>
        <w:spacing w:line="360" w:lineRule="auto"/>
        <w:ind w:left="420"/>
        <w:rPr>
          <w:rFonts w:ascii="宋体" w:hAnsi="宋体" w:eastAsia="宋体" w:cs="宋体"/>
          <w:color w:val="auto"/>
          <w:sz w:val="24"/>
          <w:szCs w:val="24"/>
        </w:rPr>
      </w:pPr>
    </w:p>
    <w:p w14:paraId="78741762">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管理费包括：</w:t>
      </w:r>
    </w:p>
    <w:p w14:paraId="10022AE4">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1）投标人履行合同期间所发生的管理人员(含单位和本项目管理人员等)工资、办公费用、交通差旅费、员工食宿费用、固定资产使用费、工器具使用费、劳动保护费、各类经费、用工人员及派驻人员各类风险费用、各类政府性收费、各类财务费用、各类税金等管理性费用。</w:t>
      </w:r>
    </w:p>
    <w:p w14:paraId="650A18DF">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（2）招聘费：包含但不限于服务费、材料费、办公费用、固定资产使用费等招聘所需的全部费用。中标后，服务期内不予以调整。一年内同一岗位进行人员调换或重新招聘不得增加招聘费用。</w:t>
      </w:r>
    </w:p>
    <w:p w14:paraId="3A42373E">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（3）退休返聘的专家意外医疗保险。</w:t>
      </w:r>
    </w:p>
    <w:p w14:paraId="5D81461F">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（4）职业培训费及人才测评费。</w:t>
      </w:r>
    </w:p>
    <w:p w14:paraId="692428E7">
      <w:pPr>
        <w:spacing w:line="360" w:lineRule="auto"/>
        <w:ind w:firstLine="480" w:firstLineChars="200"/>
        <w:rPr>
          <w:rFonts w:ascii="宋体" w:hAnsi="宋体" w:eastAsia="宋体" w:cs="宋体"/>
          <w:color w:val="auto"/>
          <w:sz w:val="24"/>
          <w:szCs w:val="24"/>
        </w:rPr>
      </w:pPr>
      <w:r>
        <w:rPr>
          <w:rFonts w:hint="eastAsia" w:ascii="宋体" w:hAnsi="宋体" w:eastAsia="宋体" w:cs="宋体"/>
          <w:color w:val="auto"/>
          <w:sz w:val="24"/>
          <w:szCs w:val="24"/>
        </w:rPr>
        <w:t>（5）残保金。</w:t>
      </w:r>
    </w:p>
    <w:p w14:paraId="4239FA88">
      <w:pPr>
        <w:spacing w:line="360" w:lineRule="auto"/>
        <w:rPr>
          <w:rFonts w:ascii="宋体" w:hAnsi="宋体" w:eastAsia="宋体" w:cs="宋体"/>
          <w:color w:val="auto"/>
          <w:sz w:val="24"/>
          <w:szCs w:val="24"/>
        </w:rPr>
      </w:pPr>
      <w:r>
        <w:rPr>
          <w:rFonts w:hint="eastAsia" w:ascii="宋体" w:hAnsi="宋体" w:eastAsia="宋体" w:cs="宋体"/>
          <w:color w:val="auto"/>
          <w:sz w:val="24"/>
          <w:szCs w:val="24"/>
        </w:rPr>
        <w:t>2、付款方式：</w:t>
      </w:r>
    </w:p>
    <w:p w14:paraId="3FF1E71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（1）投标人在按采购人要求完成一个月份相关服务，根据上月各岗位实际用人情况及考核情况，由投标人制作详细清单经采购人确认后，据实结算款项。管理费按月平均支付。</w:t>
      </w:r>
    </w:p>
    <w:p w14:paraId="112B32E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（2）如增加外包或派遣人员的出勤时间不满1个月的，按照实际天数计费。</w:t>
      </w:r>
    </w:p>
    <w:p w14:paraId="5270624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（3）按月支付，采购人和投标人双方签字确认本月份服务款项后，投标人开具相应金额发票，采购人收到投标人开具合法、等额的正规发票后，将本月份服务款项付款至投标人发票指定的开户银行及账号。</w:t>
      </w:r>
    </w:p>
    <w:p w14:paraId="2F627B4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（4）投标人具备垫付第三方人员工资绩效的能力。中标人需按时足额发送工资绩效（每月15日发放上月工资绩效，如遇节假日需提前发放），不得以采购人未付款等任何理由拖延发放。</w:t>
      </w:r>
    </w:p>
    <w:p w14:paraId="0EE36208">
      <w:r>
        <w:rPr>
          <w:rFonts w:hint="eastAsia" w:ascii="宋体" w:hAnsi="宋体" w:eastAsia="宋体" w:cs="宋体"/>
          <w:sz w:val="24"/>
          <w:szCs w:val="24"/>
        </w:rPr>
        <w:t>（5）实际支付固定工资达到2952万或合同期限已满，合同自动终止。</w:t>
      </w:r>
      <w:bookmarkStart w:id="7" w:name="_GoBack"/>
      <w:bookmarkEnd w:id="7"/>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540A03"/>
    <w:rsid w:val="72540A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2026-04-13T02:07:00Z</dcterms:created>
  <dc:creator>WPS_1610674823</dc:creator>
  <cp:lastModifiedBy>WPS_1610674823</cp:lastModifiedBy>
  <dcterms:modified xsi:type="dcterms:W3CDTF">2026-04-13T02:07:52Z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06D65D440E804169A95B8744CC161481_11</vt:lpwstr>
  </property>
</Properties>
</file>