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41A74">
      <w:pPr>
        <w:spacing w:after="120" w:afterLines="50" w:line="360" w:lineRule="auto"/>
        <w:jc w:val="center"/>
        <w:outlineLvl w:val="1"/>
        <w:rPr>
          <w:rFonts w:hint="eastAsia" w:asciiTheme="minorEastAsia" w:hAnsiTheme="minorEastAsia" w:eastAsiaTheme="minorEastAsia" w:cstheme="minorEastAsia"/>
          <w:color w:val="000000" w:themeColor="text1"/>
          <w:sz w:val="36"/>
          <w:szCs w:val="36"/>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36"/>
          <w:szCs w:val="36"/>
          <w:highlight w:val="none"/>
          <w:lang w:val="en-US" w:eastAsia="zh-CN"/>
          <w14:textFill>
            <w14:solidFill>
              <w14:schemeClr w14:val="tx1"/>
            </w14:solidFill>
          </w14:textFill>
        </w:rPr>
        <w:t>采购服务技术</w:t>
      </w:r>
      <w:r>
        <w:rPr>
          <w:rFonts w:hint="eastAsia" w:asciiTheme="minorEastAsia" w:hAnsiTheme="minorEastAsia" w:eastAsiaTheme="minorEastAsia" w:cstheme="minorEastAsia"/>
          <w:b/>
          <w:bCs/>
          <w:color w:val="000000" w:themeColor="text1"/>
          <w:sz w:val="36"/>
          <w:szCs w:val="36"/>
          <w:highlight w:val="none"/>
          <w14:textFill>
            <w14:solidFill>
              <w14:schemeClr w14:val="tx1"/>
            </w14:solidFill>
          </w14:textFill>
        </w:rPr>
        <w:t>要求</w:t>
      </w:r>
    </w:p>
    <w:p w14:paraId="67DE95B4">
      <w:pPr>
        <w:keepNext w:val="0"/>
        <w:keepLines w:val="0"/>
        <w:pageBreakBefore w:val="0"/>
        <w:wordWrap/>
        <w:topLinePunct w:val="0"/>
        <w:bidi w:val="0"/>
        <w:spacing w:line="460" w:lineRule="exact"/>
        <w:rPr>
          <w:rFonts w:hint="eastAsia" w:asciiTheme="minorEastAsia" w:hAnsiTheme="minorEastAsia" w:eastAsiaTheme="minorEastAsia" w:cstheme="minorEastAsia"/>
          <w:b/>
          <w:bCs/>
          <w:color w:val="000000" w:themeColor="text1"/>
          <w:spacing w:val="16"/>
          <w:sz w:val="24"/>
          <w:szCs w:val="24"/>
          <w:highlight w:val="none"/>
          <w:lang w:eastAsia="zh-CN"/>
          <w14:textFill>
            <w14:solidFill>
              <w14:schemeClr w14:val="tx1"/>
            </w14:solidFill>
          </w14:textFill>
        </w:rPr>
      </w:pPr>
      <w:bookmarkStart w:id="0" w:name="_Toc85603414"/>
      <w:bookmarkStart w:id="1" w:name="_Toc35923718"/>
      <w:bookmarkStart w:id="2" w:name="_Toc57710887"/>
      <w:bookmarkStart w:id="3" w:name="_Toc21408"/>
      <w:r>
        <w:rPr>
          <w:rFonts w:hint="eastAsia" w:asciiTheme="minorEastAsia" w:hAnsiTheme="minorEastAsia" w:eastAsiaTheme="minorEastAsia" w:cstheme="minorEastAsia"/>
          <w:b/>
          <w:bCs/>
          <w:color w:val="000000" w:themeColor="text1"/>
          <w:spacing w:val="16"/>
          <w:sz w:val="24"/>
          <w:szCs w:val="24"/>
          <w:highlight w:val="none"/>
          <w:lang w:eastAsia="zh-CN"/>
          <w14:textFill>
            <w14:solidFill>
              <w14:schemeClr w14:val="tx1"/>
            </w14:solidFill>
          </w14:textFill>
        </w:rPr>
        <w:t>一、服务需求</w:t>
      </w:r>
      <w:bookmarkEnd w:id="0"/>
      <w:bookmarkEnd w:id="1"/>
      <w:r>
        <w:rPr>
          <w:rFonts w:hint="eastAsia" w:asciiTheme="minorEastAsia" w:hAnsiTheme="minorEastAsia" w:eastAsiaTheme="minorEastAsia" w:cstheme="minorEastAsia"/>
          <w:b/>
          <w:bCs/>
          <w:color w:val="000000" w:themeColor="text1"/>
          <w:spacing w:val="16"/>
          <w:sz w:val="24"/>
          <w:szCs w:val="24"/>
          <w:highlight w:val="none"/>
          <w:lang w:eastAsia="zh-CN"/>
          <w14:textFill>
            <w14:solidFill>
              <w14:schemeClr w14:val="tx1"/>
            </w14:solidFill>
          </w14:textFill>
        </w:rPr>
        <w:t>一览表</w:t>
      </w:r>
      <w:bookmarkEnd w:id="2"/>
      <w:bookmarkEnd w:id="3"/>
    </w:p>
    <w:p w14:paraId="555DE8BE">
      <w:pPr>
        <w:keepNext w:val="0"/>
        <w:keepLines w:val="0"/>
        <w:pageBreakBefore w:val="0"/>
        <w:wordWrap/>
        <w:topLinePunct w:val="0"/>
        <w:bidi w:val="0"/>
        <w:spacing w:line="460" w:lineRule="exact"/>
        <w:rPr>
          <w:rFonts w:hint="eastAsia" w:asciiTheme="minorEastAsia" w:hAnsiTheme="minorEastAsia" w:eastAsiaTheme="minorEastAsia" w:cstheme="minorEastAsia"/>
          <w:b/>
          <w:bCs/>
          <w:color w:val="000000" w:themeColor="text1"/>
          <w:spacing w:val="16"/>
          <w:sz w:val="24"/>
          <w:szCs w:val="24"/>
          <w:highlight w:val="none"/>
          <w:lang w:eastAsia="zh-CN"/>
          <w14:textFill>
            <w14:solidFill>
              <w14:schemeClr w14:val="tx1"/>
            </w14:solidFill>
          </w14:textFill>
        </w:rPr>
      </w:pPr>
    </w:p>
    <w:tbl>
      <w:tblPr>
        <w:tblStyle w:val="5"/>
        <w:tblW w:w="9659"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0" w:type="dxa"/>
          <w:left w:w="0" w:type="dxa"/>
          <w:bottom w:w="0" w:type="dxa"/>
          <w:right w:w="0" w:type="dxa"/>
        </w:tblCellMar>
      </w:tblPr>
      <w:tblGrid>
        <w:gridCol w:w="2417"/>
        <w:gridCol w:w="2436"/>
        <w:gridCol w:w="901"/>
        <w:gridCol w:w="962"/>
        <w:gridCol w:w="1762"/>
        <w:gridCol w:w="1181"/>
      </w:tblGrid>
      <w:tr w14:paraId="45BBB41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690" w:hRule="atLeast"/>
          <w:jc w:val="center"/>
        </w:trPr>
        <w:tc>
          <w:tcPr>
            <w:tcW w:w="2417" w:type="dxa"/>
            <w:vAlign w:val="center"/>
          </w:tcPr>
          <w:p w14:paraId="5B494D40">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采购条目编号</w:t>
            </w:r>
          </w:p>
        </w:tc>
        <w:tc>
          <w:tcPr>
            <w:tcW w:w="2436" w:type="dxa"/>
            <w:vAlign w:val="center"/>
          </w:tcPr>
          <w:p w14:paraId="29E694D0">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项目名称</w:t>
            </w:r>
          </w:p>
        </w:tc>
        <w:tc>
          <w:tcPr>
            <w:tcW w:w="901" w:type="dxa"/>
            <w:vAlign w:val="center"/>
          </w:tcPr>
          <w:p w14:paraId="6B9B36BF">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数量</w:t>
            </w:r>
          </w:p>
        </w:tc>
        <w:tc>
          <w:tcPr>
            <w:tcW w:w="962" w:type="dxa"/>
            <w:vAlign w:val="center"/>
          </w:tcPr>
          <w:p w14:paraId="59BD0745">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单位</w:t>
            </w:r>
          </w:p>
        </w:tc>
        <w:tc>
          <w:tcPr>
            <w:tcW w:w="1762" w:type="dxa"/>
            <w:vAlign w:val="center"/>
          </w:tcPr>
          <w:p w14:paraId="157325E8">
            <w:pPr>
              <w:widowControl/>
              <w:spacing w:line="18" w:lineRule="atLeast"/>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采购预算</w:t>
            </w:r>
          </w:p>
          <w:p w14:paraId="1A2C3BCF">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（人民币）</w:t>
            </w:r>
          </w:p>
        </w:tc>
        <w:tc>
          <w:tcPr>
            <w:tcW w:w="1181" w:type="dxa"/>
            <w:vAlign w:val="center"/>
          </w:tcPr>
          <w:p w14:paraId="0857E27D">
            <w:pPr>
              <w:widowControl/>
              <w:spacing w:line="18" w:lineRule="atLeast"/>
              <w:jc w:val="cente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服务期限</w:t>
            </w:r>
          </w:p>
        </w:tc>
      </w:tr>
      <w:tr w14:paraId="5F0D4C9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795" w:hRule="atLeast"/>
          <w:jc w:val="center"/>
        </w:trPr>
        <w:tc>
          <w:tcPr>
            <w:tcW w:w="2417" w:type="dxa"/>
            <w:vAlign w:val="center"/>
          </w:tcPr>
          <w:p w14:paraId="7323C7D4">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洪购2026J000206577</w:t>
            </w:r>
          </w:p>
        </w:tc>
        <w:tc>
          <w:tcPr>
            <w:tcW w:w="2436" w:type="dxa"/>
            <w:vAlign w:val="center"/>
          </w:tcPr>
          <w:p w14:paraId="7CF016B7">
            <w:pPr>
              <w:widowControl/>
              <w:spacing w:line="18" w:lineRule="atLeast"/>
              <w:jc w:val="cente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南昌十六中物业管理服务项目</w:t>
            </w:r>
          </w:p>
        </w:tc>
        <w:tc>
          <w:tcPr>
            <w:tcW w:w="901" w:type="dxa"/>
            <w:shd w:val="clear" w:color="auto" w:fill="auto"/>
            <w:vAlign w:val="center"/>
          </w:tcPr>
          <w:p w14:paraId="121FD10E">
            <w:pPr>
              <w:widowControl/>
              <w:spacing w:line="18" w:lineRule="atLeast"/>
              <w:jc w:val="cente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w:t>
            </w:r>
          </w:p>
        </w:tc>
        <w:tc>
          <w:tcPr>
            <w:tcW w:w="962" w:type="dxa"/>
            <w:shd w:val="clear" w:color="auto" w:fill="auto"/>
            <w:vAlign w:val="center"/>
          </w:tcPr>
          <w:p w14:paraId="73A4884C">
            <w:pPr>
              <w:widowControl/>
              <w:spacing w:line="18" w:lineRule="atLeast"/>
              <w:jc w:val="cente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项</w:t>
            </w:r>
          </w:p>
        </w:tc>
        <w:tc>
          <w:tcPr>
            <w:tcW w:w="1762" w:type="dxa"/>
            <w:vAlign w:val="center"/>
          </w:tcPr>
          <w:p w14:paraId="6800DA60">
            <w:pPr>
              <w:widowControl/>
              <w:spacing w:line="18" w:lineRule="atLeast"/>
              <w:jc w:val="cente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30</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万元</w:t>
            </w:r>
          </w:p>
        </w:tc>
        <w:tc>
          <w:tcPr>
            <w:tcW w:w="1181" w:type="dxa"/>
            <w:vAlign w:val="center"/>
          </w:tcPr>
          <w:p w14:paraId="7D229411">
            <w:pPr>
              <w:widowControl/>
              <w:spacing w:line="18" w:lineRule="atLeast"/>
              <w:jc w:val="center"/>
              <w:rPr>
                <w:rFonts w:hint="default"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1年</w:t>
            </w:r>
          </w:p>
        </w:tc>
      </w:tr>
    </w:tbl>
    <w:p w14:paraId="66029D41">
      <w:pPr>
        <w:pStyle w:val="8"/>
        <w:keepNext w:val="0"/>
        <w:keepLines w:val="0"/>
        <w:pageBreakBefore w:val="0"/>
        <w:widowControl w:val="0"/>
        <w:numPr>
          <w:ilvl w:val="0"/>
          <w:numId w:val="0"/>
        </w:numPr>
        <w:tabs>
          <w:tab w:val="left" w:pos="504"/>
        </w:tabs>
        <w:kinsoku w:val="0"/>
        <w:wordWrap/>
        <w:overflowPunct w:val="0"/>
        <w:topLinePunct w:val="0"/>
        <w:autoSpaceDE/>
        <w:autoSpaceDN/>
        <w:bidi w:val="0"/>
        <w:adjustRightInd/>
        <w:snapToGrid/>
        <w:spacing w:before="0" w:line="312" w:lineRule="auto"/>
        <w:ind w:left="0"/>
        <w:textAlignment w:val="auto"/>
        <w:rPr>
          <w:rFonts w:hint="eastAsia" w:ascii="仿宋" w:hAnsi="仿宋" w:eastAsia="仿宋" w:cs="仿宋"/>
          <w:b/>
          <w:color w:val="000000" w:themeColor="text1"/>
          <w:kern w:val="2"/>
          <w:sz w:val="24"/>
          <w:szCs w:val="24"/>
          <w:highlight w:val="none"/>
          <w:lang w:val="en-US" w:eastAsia="zh-CN" w:bidi="ar-SA"/>
          <w14:textFill>
            <w14:solidFill>
              <w14:schemeClr w14:val="tx1"/>
            </w14:solidFill>
          </w14:textFill>
        </w:rPr>
      </w:pPr>
    </w:p>
    <w:p w14:paraId="738D9683">
      <w:pPr>
        <w:pStyle w:val="8"/>
        <w:keepNext w:val="0"/>
        <w:keepLines w:val="0"/>
        <w:pageBreakBefore w:val="0"/>
        <w:widowControl w:val="0"/>
        <w:numPr>
          <w:ilvl w:val="0"/>
          <w:numId w:val="0"/>
        </w:numPr>
        <w:tabs>
          <w:tab w:val="left" w:pos="504"/>
        </w:tabs>
        <w:kinsoku w:val="0"/>
        <w:wordWrap/>
        <w:overflowPunct w:val="0"/>
        <w:topLinePunct w:val="0"/>
        <w:autoSpaceDE/>
        <w:autoSpaceDN/>
        <w:bidi w:val="0"/>
        <w:adjustRightInd/>
        <w:snapToGrid/>
        <w:spacing w:before="0" w:line="312" w:lineRule="auto"/>
        <w:ind w:left="0"/>
        <w:textAlignment w:val="auto"/>
        <w:rPr>
          <w:rFonts w:hint="eastAsia" w:asciiTheme="minorEastAsia" w:hAnsiTheme="minorEastAsia" w:eastAsiaTheme="minorEastAsia" w:cstheme="minorEastAsia"/>
          <w:b/>
          <w:color w:val="000000" w:themeColor="text1"/>
          <w:spacing w:val="-1"/>
          <w:sz w:val="24"/>
          <w:szCs w:val="24"/>
          <w:highlight w:val="none"/>
          <w14:textFill>
            <w14:solidFill>
              <w14:schemeClr w14:val="tx1"/>
            </w14:solidFill>
          </w14:textFill>
        </w:rPr>
      </w:pPr>
      <w:r>
        <w:rPr>
          <w:rFonts w:hint="eastAsia" w:asciiTheme="minorEastAsia" w:hAnsiTheme="minorEastAsia" w:eastAsiaTheme="minorEastAsia" w:cstheme="minorEastAsia"/>
          <w:b/>
          <w:color w:val="000000" w:themeColor="text1"/>
          <w:kern w:val="2"/>
          <w:sz w:val="24"/>
          <w:szCs w:val="24"/>
          <w:highlight w:val="none"/>
          <w:lang w:val="en-US" w:eastAsia="zh-CN" w:bidi="ar-SA"/>
          <w14:textFill>
            <w14:solidFill>
              <w14:schemeClr w14:val="tx1"/>
            </w14:solidFill>
          </w14:textFill>
        </w:rPr>
        <w:t>(1)</w:t>
      </w:r>
      <w:r>
        <w:rPr>
          <w:rFonts w:hint="eastAsia" w:asciiTheme="minorEastAsia" w:hAnsiTheme="minorEastAsia" w:eastAsiaTheme="minorEastAsia" w:cstheme="minorEastAsia"/>
          <w:b/>
          <w:color w:val="000000" w:themeColor="text1"/>
          <w:spacing w:val="-1"/>
          <w:sz w:val="24"/>
          <w:szCs w:val="24"/>
          <w:highlight w:val="none"/>
          <w14:textFill>
            <w14:solidFill>
              <w14:schemeClr w14:val="tx1"/>
            </w14:solidFill>
          </w14:textFill>
        </w:rPr>
        <w:t>物业管理范围和内容</w:t>
      </w:r>
    </w:p>
    <w:p w14:paraId="3577BA9A">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服务地点及建筑面积：</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南昌市第十</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六</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中学</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建筑面积约</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9912</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平方米。</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有</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办公楼、教学楼、</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运动场、地面停车场</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等。</w:t>
      </w:r>
    </w:p>
    <w:p w14:paraId="29D21441">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环境卫生：负责</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校园内道路、园林绿化、广场、运动场等外围环境卫生</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及垃圾清运</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包含但不限于</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各栋楼内楼梯、走廊、扶手、墙面、顶棚、公共场所门窗整洁；楼内公共厕所整洁。</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保洁的常规用具用品由物业管理企业自行承担。</w:t>
      </w:r>
    </w:p>
    <w:p w14:paraId="5E651660">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仿宋" w:hAnsi="仿宋" w:eastAsia="仿宋" w:cs="仿宋"/>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水电维修：负责</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整个校园内水电设备设施管理及维修，确保用水用电安全，保证内外下水管道畅通。</w:t>
      </w:r>
    </w:p>
    <w:p w14:paraId="4555372B">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勤杂维修：负责</w:t>
      </w:r>
      <w:r>
        <w:rPr>
          <w:rFonts w:hint="eastAsia" w:asciiTheme="minorEastAsia" w:hAnsiTheme="minorEastAsia" w:eastAsiaTheme="minorEastAsia" w:cstheme="minorEastAsia"/>
          <w:snapToGrid w:val="0"/>
          <w:color w:val="000000" w:themeColor="text1"/>
          <w:spacing w:val="1"/>
          <w:sz w:val="24"/>
          <w:szCs w:val="24"/>
          <w:highlight w:val="none"/>
          <w:lang w:val="zh-CN" w:eastAsia="zh-CN" w:bidi="ar-SA"/>
          <w14:textFill>
            <w14:solidFill>
              <w14:schemeClr w14:val="tx1"/>
            </w14:solidFill>
          </w14:textFill>
        </w:rPr>
        <w:t>学校勤杂工作。</w:t>
      </w:r>
    </w:p>
    <w:p w14:paraId="1C40B1E7">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zh-CN"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绿化养护：负责学校园林绿化养护工作，包含但不限于绿化浇水、追肥，保证植物生长正常、茂盛</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w:t>
      </w:r>
    </w:p>
    <w:p w14:paraId="3297B784">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服务保障功能:提供会务保洁、油印、勤杂等配套服务，支撑教学与行政运转</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w:t>
      </w:r>
    </w:p>
    <w:p w14:paraId="1B4D69F3">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其他</w:t>
      </w:r>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学校临时布置的其他任务。</w:t>
      </w:r>
    </w:p>
    <w:p w14:paraId="0285B68F">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zh-CN" w:eastAsia="zh-CN" w:bidi="ar-SA"/>
          <w14:textFill>
            <w14:solidFill>
              <w14:schemeClr w14:val="tx1"/>
            </w14:solidFill>
          </w14:textFill>
        </w:rPr>
      </w:pPr>
      <w:bookmarkStart w:id="4" w:name="OLE_LINK12"/>
      <w:r>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t>物业公司负责人员招聘并对全体物业服务人员进行岗前相关专业技能培训及消防安全知识培训，掌握物业管理基本法律法规，熟悉校园的基本情况，能正确使用相关设备。</w:t>
      </w:r>
      <w:bookmarkEnd w:id="4"/>
    </w:p>
    <w:p w14:paraId="772E3A34">
      <w:pPr>
        <w:pStyle w:val="9"/>
        <w:keepNext w:val="0"/>
        <w:keepLines w:val="0"/>
        <w:pageBreakBefore w:val="0"/>
        <w:widowControl w:val="0"/>
        <w:numPr>
          <w:ilvl w:val="0"/>
          <w:numId w:val="1"/>
        </w:numPr>
        <w:kinsoku/>
        <w:wordWrap/>
        <w:overflowPunct/>
        <w:topLinePunct w:val="0"/>
        <w:autoSpaceDE/>
        <w:autoSpaceDN/>
        <w:bidi w:val="0"/>
        <w:adjustRightInd/>
        <w:snapToGrid/>
        <w:spacing w:line="312" w:lineRule="auto"/>
        <w:ind w:left="0" w:leftChars="0" w:firstLine="0" w:firstLineChars="0"/>
        <w:textAlignment w:val="auto"/>
        <w:rPr>
          <w:rFonts w:hint="eastAsia" w:asciiTheme="minorEastAsia" w:hAnsiTheme="minorEastAsia" w:eastAsiaTheme="minorEastAsia" w:cstheme="minorEastAsia"/>
          <w:snapToGrid w:val="0"/>
          <w:color w:val="000000" w:themeColor="text1"/>
          <w:spacing w:val="1"/>
          <w:sz w:val="24"/>
          <w:szCs w:val="24"/>
          <w:highlight w:val="none"/>
          <w:lang w:val="en-US"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sz w:val="24"/>
          <w:szCs w:val="24"/>
          <w:highlight w:val="none"/>
          <w:lang w:val="zh-CN" w:eastAsia="zh-CN" w:bidi="ar-SA"/>
          <w14:textFill>
            <w14:solidFill>
              <w14:schemeClr w14:val="tx1"/>
            </w14:solidFill>
          </w14:textFill>
        </w:rPr>
        <w:t>物业需不定期就校园校舍进行简单维修、材料由学校采购，物业需请专业人员入校进行应急维修（包括路面维修、小面积刮瓷、修补、贴砖、配合玻璃更换、落水管更换等）</w:t>
      </w:r>
      <w:r>
        <w:rPr>
          <w:rFonts w:hint="eastAsia" w:asciiTheme="minorEastAsia" w:hAnsiTheme="minorEastAsia" w:eastAsiaTheme="minorEastAsia" w:cstheme="minorEastAsia"/>
          <w:snapToGrid w:val="0"/>
          <w:color w:val="000000" w:themeColor="text1"/>
          <w:spacing w:val="1"/>
          <w:sz w:val="24"/>
          <w:szCs w:val="24"/>
          <w:highlight w:val="none"/>
          <w:lang w:val="en-US" w:eastAsia="zh-CN" w:bidi="ar-SA"/>
          <w14:textFill>
            <w14:solidFill>
              <w14:schemeClr w14:val="tx1"/>
            </w14:solidFill>
          </w14:textFill>
        </w:rPr>
        <w:t>。</w:t>
      </w:r>
    </w:p>
    <w:p w14:paraId="7005ABF5">
      <w:pPr>
        <w:pStyle w:val="9"/>
        <w:keepNext w:val="0"/>
        <w:keepLines w:val="0"/>
        <w:pageBreakBefore w:val="0"/>
        <w:widowControl w:val="0"/>
        <w:numPr>
          <w:ilvl w:val="0"/>
          <w:numId w:val="0"/>
        </w:numPr>
        <w:kinsoku/>
        <w:wordWrap/>
        <w:overflowPunct/>
        <w:topLinePunct w:val="0"/>
        <w:autoSpaceDE/>
        <w:autoSpaceDN/>
        <w:bidi w:val="0"/>
        <w:adjustRightInd/>
        <w:snapToGrid/>
        <w:spacing w:line="312" w:lineRule="auto"/>
        <w:ind w:leftChars="0"/>
        <w:textAlignment w:val="auto"/>
        <w:rPr>
          <w:rFonts w:hint="eastAsia" w:asciiTheme="minorEastAsia" w:hAnsiTheme="minorEastAsia" w:eastAsiaTheme="minorEastAsia" w:cstheme="minorEastAsia"/>
          <w:b/>
          <w:color w:val="000000" w:themeColor="text1"/>
          <w:kern w:val="2"/>
          <w:sz w:val="24"/>
          <w:szCs w:val="24"/>
          <w:highlight w:val="none"/>
          <w:lang w:val="en-US" w:eastAsia="zh-CN" w:bidi="ar-SA"/>
          <w14:textFill>
            <w14:solidFill>
              <w14:schemeClr w14:val="tx1"/>
            </w14:solidFill>
          </w14:textFill>
        </w:rPr>
      </w:pPr>
    </w:p>
    <w:p w14:paraId="6D4935A5">
      <w:pPr>
        <w:pStyle w:val="8"/>
        <w:keepNext w:val="0"/>
        <w:keepLines w:val="0"/>
        <w:pageBreakBefore w:val="0"/>
        <w:widowControl w:val="0"/>
        <w:numPr>
          <w:ilvl w:val="0"/>
          <w:numId w:val="0"/>
        </w:numPr>
        <w:tabs>
          <w:tab w:val="left" w:pos="504"/>
        </w:tabs>
        <w:kinsoku w:val="0"/>
        <w:wordWrap/>
        <w:overflowPunct w:val="0"/>
        <w:topLinePunct w:val="0"/>
        <w:autoSpaceDE/>
        <w:autoSpaceDN/>
        <w:bidi w:val="0"/>
        <w:adjustRightInd/>
        <w:snapToGrid/>
        <w:spacing w:before="0" w:line="312" w:lineRule="auto"/>
        <w:ind w:left="0"/>
        <w:textAlignment w:val="auto"/>
        <w:rPr>
          <w:rFonts w:hint="eastAsia" w:asciiTheme="minorEastAsia" w:hAnsiTheme="minorEastAsia" w:eastAsiaTheme="minorEastAsia" w:cstheme="minorEastAsia"/>
          <w:b/>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color w:val="000000" w:themeColor="text1"/>
          <w:kern w:val="2"/>
          <w:sz w:val="24"/>
          <w:szCs w:val="24"/>
          <w:highlight w:val="none"/>
          <w:lang w:val="en-US" w:eastAsia="zh-CN" w:bidi="ar-SA"/>
          <w14:textFill>
            <w14:solidFill>
              <w14:schemeClr w14:val="tx1"/>
            </w14:solidFill>
          </w14:textFill>
        </w:rPr>
        <w:t>(2)物业服务人员岗位要求（8人）</w:t>
      </w:r>
    </w:p>
    <w:tbl>
      <w:tblPr>
        <w:tblStyle w:val="6"/>
        <w:tblW w:w="0" w:type="auto"/>
        <w:tblInd w:w="14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0"/>
        <w:gridCol w:w="1785"/>
        <w:gridCol w:w="1230"/>
        <w:gridCol w:w="5100"/>
      </w:tblGrid>
      <w:tr w14:paraId="0FD04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0" w:type="dxa"/>
            <w:noWrap w:val="0"/>
            <w:vAlign w:val="center"/>
          </w:tcPr>
          <w:p w14:paraId="1DB9097B">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序号</w:t>
            </w:r>
          </w:p>
        </w:tc>
        <w:tc>
          <w:tcPr>
            <w:tcW w:w="1785" w:type="dxa"/>
            <w:noWrap w:val="0"/>
            <w:vAlign w:val="center"/>
          </w:tcPr>
          <w:p w14:paraId="0B411BF3">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岗位</w:t>
            </w:r>
          </w:p>
        </w:tc>
        <w:tc>
          <w:tcPr>
            <w:tcW w:w="1230" w:type="dxa"/>
            <w:noWrap w:val="0"/>
            <w:vAlign w:val="center"/>
          </w:tcPr>
          <w:p w14:paraId="22D2197E">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人数</w:t>
            </w:r>
          </w:p>
        </w:tc>
        <w:tc>
          <w:tcPr>
            <w:tcW w:w="5100" w:type="dxa"/>
            <w:noWrap w:val="0"/>
            <w:vAlign w:val="center"/>
          </w:tcPr>
          <w:p w14:paraId="5A584495">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备注</w:t>
            </w:r>
          </w:p>
        </w:tc>
      </w:tr>
      <w:tr w14:paraId="31DBA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0" w:type="dxa"/>
            <w:noWrap w:val="0"/>
            <w:vAlign w:val="center"/>
          </w:tcPr>
          <w:p w14:paraId="7A12A3B8">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1</w:t>
            </w:r>
          </w:p>
        </w:tc>
        <w:tc>
          <w:tcPr>
            <w:tcW w:w="1785" w:type="dxa"/>
            <w:noWrap w:val="0"/>
            <w:vAlign w:val="center"/>
          </w:tcPr>
          <w:p w14:paraId="1E5A86B6">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物业主管</w:t>
            </w:r>
          </w:p>
        </w:tc>
        <w:tc>
          <w:tcPr>
            <w:tcW w:w="1230" w:type="dxa"/>
            <w:noWrap w:val="0"/>
            <w:vAlign w:val="center"/>
          </w:tcPr>
          <w:p w14:paraId="7AC336BC">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1</w:t>
            </w:r>
          </w:p>
        </w:tc>
        <w:tc>
          <w:tcPr>
            <w:tcW w:w="5100" w:type="dxa"/>
            <w:noWrap w:val="0"/>
            <w:vAlign w:val="center"/>
          </w:tcPr>
          <w:p w14:paraId="149BAA49">
            <w:pPr>
              <w:pStyle w:val="2"/>
              <w:numPr>
                <w:ilvl w:val="0"/>
                <w:numId w:val="0"/>
              </w:numPr>
              <w:kinsoku w:val="0"/>
              <w:overflowPunct w:val="0"/>
              <w:spacing w:beforeLines="0" w:afterLines="0"/>
              <w:rPr>
                <w:rFonts w:hint="default"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p>
        </w:tc>
      </w:tr>
      <w:tr w14:paraId="5A3CD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0" w:type="dxa"/>
            <w:noWrap w:val="0"/>
            <w:vAlign w:val="center"/>
          </w:tcPr>
          <w:p w14:paraId="7A885C66">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2</w:t>
            </w:r>
          </w:p>
        </w:tc>
        <w:tc>
          <w:tcPr>
            <w:tcW w:w="1785" w:type="dxa"/>
            <w:noWrap w:val="0"/>
            <w:vAlign w:val="center"/>
          </w:tcPr>
          <w:p w14:paraId="51A7EDAE">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水电工</w:t>
            </w:r>
          </w:p>
        </w:tc>
        <w:tc>
          <w:tcPr>
            <w:tcW w:w="1230" w:type="dxa"/>
            <w:noWrap w:val="0"/>
            <w:vAlign w:val="center"/>
          </w:tcPr>
          <w:p w14:paraId="551467F9">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1</w:t>
            </w:r>
          </w:p>
        </w:tc>
        <w:tc>
          <w:tcPr>
            <w:tcW w:w="5100" w:type="dxa"/>
            <w:noWrap w:val="0"/>
            <w:vAlign w:val="center"/>
          </w:tcPr>
          <w:p w14:paraId="16C59A46">
            <w:pPr>
              <w:pStyle w:val="2"/>
              <w:numPr>
                <w:ilvl w:val="0"/>
                <w:numId w:val="0"/>
              </w:numPr>
              <w:kinsoku w:val="0"/>
              <w:overflowPunct w:val="0"/>
              <w:spacing w:beforeLines="0" w:afterLines="0"/>
              <w:rPr>
                <w:rFonts w:hint="default"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p>
        </w:tc>
      </w:tr>
      <w:tr w14:paraId="1B64F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0" w:type="dxa"/>
            <w:noWrap w:val="0"/>
            <w:vAlign w:val="center"/>
          </w:tcPr>
          <w:p w14:paraId="2C507F70">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3</w:t>
            </w:r>
          </w:p>
        </w:tc>
        <w:tc>
          <w:tcPr>
            <w:tcW w:w="1785" w:type="dxa"/>
            <w:noWrap w:val="0"/>
            <w:vAlign w:val="center"/>
          </w:tcPr>
          <w:p w14:paraId="56969224">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保洁</w:t>
            </w:r>
          </w:p>
        </w:tc>
        <w:tc>
          <w:tcPr>
            <w:tcW w:w="1230" w:type="dxa"/>
            <w:noWrap w:val="0"/>
            <w:vAlign w:val="center"/>
          </w:tcPr>
          <w:p w14:paraId="7D63B9A2">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3</w:t>
            </w:r>
          </w:p>
        </w:tc>
        <w:tc>
          <w:tcPr>
            <w:tcW w:w="5100" w:type="dxa"/>
            <w:noWrap w:val="0"/>
            <w:vAlign w:val="center"/>
          </w:tcPr>
          <w:p w14:paraId="460CD1B3">
            <w:pPr>
              <w:pStyle w:val="2"/>
              <w:numPr>
                <w:ilvl w:val="0"/>
                <w:numId w:val="0"/>
              </w:numPr>
              <w:kinsoku w:val="0"/>
              <w:overflowPunct w:val="0"/>
              <w:spacing w:beforeLines="0" w:afterLines="0"/>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p>
        </w:tc>
      </w:tr>
      <w:tr w14:paraId="66686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0" w:type="dxa"/>
            <w:noWrap w:val="0"/>
            <w:vAlign w:val="center"/>
          </w:tcPr>
          <w:p w14:paraId="21014400">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4</w:t>
            </w:r>
          </w:p>
        </w:tc>
        <w:tc>
          <w:tcPr>
            <w:tcW w:w="1785" w:type="dxa"/>
            <w:noWrap w:val="0"/>
            <w:vAlign w:val="center"/>
          </w:tcPr>
          <w:p w14:paraId="47619492">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勤杂工</w:t>
            </w:r>
          </w:p>
        </w:tc>
        <w:tc>
          <w:tcPr>
            <w:tcW w:w="1230" w:type="dxa"/>
            <w:noWrap w:val="0"/>
            <w:vAlign w:val="center"/>
          </w:tcPr>
          <w:p w14:paraId="4E895526">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1</w:t>
            </w:r>
          </w:p>
        </w:tc>
        <w:tc>
          <w:tcPr>
            <w:tcW w:w="5100" w:type="dxa"/>
            <w:noWrap w:val="0"/>
            <w:vAlign w:val="center"/>
          </w:tcPr>
          <w:p w14:paraId="5DFC6F22">
            <w:pPr>
              <w:pStyle w:val="2"/>
              <w:numPr>
                <w:ilvl w:val="0"/>
                <w:numId w:val="0"/>
              </w:numPr>
              <w:kinsoku w:val="0"/>
              <w:overflowPunct w:val="0"/>
              <w:spacing w:beforeLines="0" w:afterLines="0"/>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由总务处总体统筹安排工作</w:t>
            </w:r>
          </w:p>
        </w:tc>
      </w:tr>
      <w:tr w14:paraId="52162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0" w:type="dxa"/>
            <w:noWrap w:val="0"/>
            <w:vAlign w:val="center"/>
          </w:tcPr>
          <w:p w14:paraId="794BD3FC">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5</w:t>
            </w:r>
          </w:p>
        </w:tc>
        <w:tc>
          <w:tcPr>
            <w:tcW w:w="1785" w:type="dxa"/>
            <w:noWrap w:val="0"/>
            <w:vAlign w:val="center"/>
          </w:tcPr>
          <w:p w14:paraId="7BB03360">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园林绿化工</w:t>
            </w:r>
          </w:p>
        </w:tc>
        <w:tc>
          <w:tcPr>
            <w:tcW w:w="1230" w:type="dxa"/>
            <w:noWrap w:val="0"/>
            <w:vAlign w:val="center"/>
          </w:tcPr>
          <w:p w14:paraId="727D246B">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1</w:t>
            </w:r>
          </w:p>
        </w:tc>
        <w:tc>
          <w:tcPr>
            <w:tcW w:w="5100" w:type="dxa"/>
            <w:noWrap w:val="0"/>
            <w:vAlign w:val="center"/>
          </w:tcPr>
          <w:p w14:paraId="317371FF">
            <w:pPr>
              <w:pStyle w:val="2"/>
              <w:numPr>
                <w:ilvl w:val="0"/>
                <w:numId w:val="0"/>
              </w:numPr>
              <w:kinsoku w:val="0"/>
              <w:overflowPunct w:val="0"/>
              <w:spacing w:beforeLines="0" w:afterLines="0"/>
              <w:rPr>
                <w:rFonts w:hint="eastAsia" w:asciiTheme="minorEastAsia" w:hAnsiTheme="minorEastAsia" w:eastAsiaTheme="minorEastAsia" w:cstheme="minorEastAsia"/>
                <w:b w:val="0"/>
                <w:bCs/>
                <w:color w:val="000000" w:themeColor="text1"/>
                <w:sz w:val="24"/>
                <w:szCs w:val="24"/>
                <w:highlight w:val="none"/>
                <w:vertAlign w:val="baseline"/>
                <w14:textFill>
                  <w14:solidFill>
                    <w14:schemeClr w14:val="tx1"/>
                  </w14:solidFill>
                </w14:textFill>
              </w:rPr>
            </w:pPr>
          </w:p>
        </w:tc>
      </w:tr>
      <w:tr w14:paraId="415FE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0" w:type="dxa"/>
            <w:noWrap w:val="0"/>
            <w:vAlign w:val="center"/>
          </w:tcPr>
          <w:p w14:paraId="0109E8E3">
            <w:pPr>
              <w:pStyle w:val="10"/>
              <w:kinsoku w:val="0"/>
              <w:overflowPunct w:val="0"/>
              <w:spacing w:beforeLines="0" w:afterLines="0"/>
              <w:ind w:left="0" w:leftChars="0" w:right="945" w:rightChars="0" w:firstLine="240" w:firstLineChars="100"/>
              <w:jc w:val="cente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lang w:val="en-US" w:eastAsia="zh-CN"/>
                <w14:textFill>
                  <w14:solidFill>
                    <w14:schemeClr w14:val="tx1"/>
                  </w14:solidFill>
                </w14:textFill>
              </w:rPr>
              <w:t>6</w:t>
            </w:r>
          </w:p>
        </w:tc>
        <w:tc>
          <w:tcPr>
            <w:tcW w:w="1785" w:type="dxa"/>
            <w:noWrap w:val="0"/>
            <w:vAlign w:val="center"/>
          </w:tcPr>
          <w:p w14:paraId="0C1205B2">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文印工</w:t>
            </w:r>
          </w:p>
        </w:tc>
        <w:tc>
          <w:tcPr>
            <w:tcW w:w="1230" w:type="dxa"/>
            <w:noWrap w:val="0"/>
            <w:vAlign w:val="center"/>
          </w:tcPr>
          <w:p w14:paraId="007ED4D2">
            <w:pPr>
              <w:pStyle w:val="2"/>
              <w:numPr>
                <w:ilvl w:val="0"/>
                <w:numId w:val="0"/>
              </w:numPr>
              <w:kinsoku w:val="0"/>
              <w:overflowPunct w:val="0"/>
              <w:spacing w:beforeLines="0" w:afterLines="0"/>
              <w:jc w:val="cente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1</w:t>
            </w:r>
          </w:p>
        </w:tc>
        <w:tc>
          <w:tcPr>
            <w:tcW w:w="5100" w:type="dxa"/>
            <w:noWrap w:val="0"/>
            <w:vAlign w:val="center"/>
          </w:tcPr>
          <w:p w14:paraId="20009521">
            <w:pPr>
              <w:pStyle w:val="2"/>
              <w:numPr>
                <w:ilvl w:val="0"/>
                <w:numId w:val="0"/>
              </w:numPr>
              <w:kinsoku w:val="0"/>
              <w:overflowPunct w:val="0"/>
              <w:spacing w:beforeLines="0" w:afterLines="0"/>
              <w:rPr>
                <w:rFonts w:hint="eastAsia" w:asciiTheme="minorEastAsia" w:hAnsiTheme="minorEastAsia" w:eastAsiaTheme="minorEastAsia" w:cstheme="minorEastAsia"/>
                <w:b w:val="0"/>
                <w:bCs/>
                <w:color w:val="000000" w:themeColor="text1"/>
                <w:sz w:val="24"/>
                <w:szCs w:val="24"/>
                <w:highlight w:val="none"/>
                <w:vertAlign w:val="baseline"/>
                <w14:textFill>
                  <w14:solidFill>
                    <w14:schemeClr w14:val="tx1"/>
                  </w14:solidFill>
                </w14:textFill>
              </w:rPr>
            </w:pPr>
          </w:p>
        </w:tc>
      </w:tr>
      <w:tr w14:paraId="3C9C6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95" w:type="dxa"/>
            <w:gridSpan w:val="2"/>
            <w:noWrap w:val="0"/>
            <w:vAlign w:val="center"/>
          </w:tcPr>
          <w:p w14:paraId="5D0B6618">
            <w:pPr>
              <w:pStyle w:val="2"/>
              <w:numPr>
                <w:ilvl w:val="0"/>
                <w:numId w:val="0"/>
              </w:numPr>
              <w:kinsoku w:val="0"/>
              <w:overflowPunct w:val="0"/>
              <w:spacing w:beforeLines="0" w:afterLines="0"/>
              <w:jc w:val="center"/>
              <w:rPr>
                <w:rFonts w:hint="default"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合计</w:t>
            </w:r>
          </w:p>
        </w:tc>
        <w:tc>
          <w:tcPr>
            <w:tcW w:w="1230" w:type="dxa"/>
            <w:noWrap w:val="0"/>
            <w:vAlign w:val="center"/>
          </w:tcPr>
          <w:p w14:paraId="60D45839">
            <w:pPr>
              <w:pStyle w:val="2"/>
              <w:numPr>
                <w:ilvl w:val="0"/>
                <w:numId w:val="0"/>
              </w:numPr>
              <w:kinsoku w:val="0"/>
              <w:overflowPunct w:val="0"/>
              <w:spacing w:beforeLines="0" w:afterLines="0"/>
              <w:jc w:val="center"/>
              <w:rPr>
                <w:rFonts w:hint="default"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vertAlign w:val="baseline"/>
                <w:lang w:val="en-US" w:eastAsia="zh-CN"/>
                <w14:textFill>
                  <w14:solidFill>
                    <w14:schemeClr w14:val="tx1"/>
                  </w14:solidFill>
                </w14:textFill>
              </w:rPr>
              <w:t>8人</w:t>
            </w:r>
          </w:p>
        </w:tc>
        <w:tc>
          <w:tcPr>
            <w:tcW w:w="5100" w:type="dxa"/>
            <w:noWrap w:val="0"/>
            <w:vAlign w:val="center"/>
          </w:tcPr>
          <w:p w14:paraId="484A693F">
            <w:pPr>
              <w:pStyle w:val="2"/>
              <w:numPr>
                <w:ilvl w:val="0"/>
                <w:numId w:val="0"/>
              </w:numPr>
              <w:kinsoku w:val="0"/>
              <w:overflowPunct w:val="0"/>
              <w:spacing w:beforeLines="0" w:afterLines="0"/>
              <w:rPr>
                <w:rFonts w:hint="eastAsia" w:asciiTheme="minorEastAsia" w:hAnsiTheme="minorEastAsia" w:eastAsiaTheme="minorEastAsia" w:cstheme="minorEastAsia"/>
                <w:b w:val="0"/>
                <w:bCs/>
                <w:color w:val="000000" w:themeColor="text1"/>
                <w:sz w:val="24"/>
                <w:szCs w:val="24"/>
                <w:highlight w:val="none"/>
                <w:vertAlign w:val="baseline"/>
                <w14:textFill>
                  <w14:solidFill>
                    <w14:schemeClr w14:val="tx1"/>
                  </w14:solidFill>
                </w14:textFill>
              </w:rPr>
            </w:pPr>
          </w:p>
        </w:tc>
      </w:tr>
    </w:tbl>
    <w:p w14:paraId="201741B4">
      <w:pP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p>
    <w:p w14:paraId="0BB81E64">
      <w:pP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（3）物业管理服务内容、标准及人员素质要求</w:t>
      </w:r>
    </w:p>
    <w:p w14:paraId="6CC742B9">
      <w:pP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1.项目管理</w:t>
      </w:r>
    </w:p>
    <w:p w14:paraId="1DBAF0AD">
      <w:pP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1.1 人员要求：</w:t>
      </w:r>
    </w:p>
    <w:p w14:paraId="45A71FF2">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物业主管1人，年龄应小于50周岁（含50周岁）。具有相关物业管理工作经验，具有物业管理师资格证。（中标后需提供证明材料）</w:t>
      </w:r>
    </w:p>
    <w:p w14:paraId="30FD01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1.2 管理内容：</w:t>
      </w:r>
    </w:p>
    <w:p w14:paraId="010B2B04">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对物业人员、制度、经营管理、考核全面负责，严格履行合同，确保各项管理目标的实现，并承担相应责任。</w:t>
      </w:r>
    </w:p>
    <w:p w14:paraId="1766EF2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1.3管理人员经费包含在物业管理费中。</w:t>
      </w:r>
    </w:p>
    <w:p w14:paraId="1FB0C7D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2.水电维修</w:t>
      </w:r>
    </w:p>
    <w:p w14:paraId="7D118D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2.1 人员要求：</w:t>
      </w:r>
    </w:p>
    <w:p w14:paraId="24E7F6F3">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安排专职水电工，定岗人数为1人，身体健康，年龄应小于58周岁，具有高压及低压电工证。（中标后需提供国家应急管理部查询截图的证明材料）</w:t>
      </w:r>
    </w:p>
    <w:p w14:paraId="36F12A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2.2 服务内容和服务标准：</w:t>
      </w:r>
    </w:p>
    <w:p w14:paraId="3D9E9BE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(1)确保学校安全用电、防患于未然。精通安全用电知识，熟练掌握用电设备维护保养技能，工作责任心强。</w:t>
      </w:r>
    </w:p>
    <w:p w14:paraId="618942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(2)对违反安全用电的部门和个人有进行批评、教育、制止的权利和义务。</w:t>
      </w:r>
    </w:p>
    <w:p w14:paraId="10BD16C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(3)对用电设备要经常维护和保养，决不准带电维修和安装，在使用过程中，如发现问题应立即停止使用，断电维修。</w:t>
      </w:r>
    </w:p>
    <w:p w14:paraId="51CC235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(4)及时检修供电系统，消除用电隐患。</w:t>
      </w:r>
    </w:p>
    <w:p w14:paraId="35C6B3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(5)负责全校照明、动力用电、公共用电、专项用电的安全检查。每季度系统进行一次全校用电安全检查，经常对用电设备进行巡视，发现问题及时解决，确保安全。</w:t>
      </w:r>
    </w:p>
    <w:p w14:paraId="202F2B3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(6)做好雨季等特殊天气环境中的用电安全检查工作。</w:t>
      </w:r>
    </w:p>
    <w:p w14:paraId="6A6B0F2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(7)做好配电室、配电柜、配电箱等保养工作。</w:t>
      </w:r>
    </w:p>
    <w:p w14:paraId="16E0A6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(8)配合公安、电力部门工作，做好安全用电管理工作和宣传工作。</w:t>
      </w:r>
    </w:p>
    <w:p w14:paraId="44D43F6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(9)一旦发生用电和消防事故，要立即切断电源，防止事故蔓延扩大。</w:t>
      </w:r>
    </w:p>
    <w:p w14:paraId="4714871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(10)完成全校自来水维修工作，做到接通知一天内完成。</w:t>
      </w:r>
    </w:p>
    <w:p w14:paraId="7F3B970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(11)节约用水、电，经常查看水、电总表情况，并给予记录。公共场所水龙头若坏，自接报告或自己发现，应在半天之内解决。</w:t>
      </w:r>
    </w:p>
    <w:p w14:paraId="28F18BB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(12)服务热情。周到。接受全校教工批评和建议，完成校领导及总务处交办的其它工作。</w:t>
      </w:r>
    </w:p>
    <w:p w14:paraId="748ED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3.保洁工作</w:t>
      </w:r>
    </w:p>
    <w:p w14:paraId="1300A7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3.1人员要求：</w:t>
      </w:r>
    </w:p>
    <w:p w14:paraId="4BA4B6C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(1)安排专职保洁人员，定岗人数为3人，身体健康，具备较高政治思想素质和服务水平，年龄应小于55周岁。</w:t>
      </w:r>
    </w:p>
    <w:p w14:paraId="5E8964E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(2)如遇学校举办活动或迎检时须服从学校统一安排，按时保质保量完成布置任务。</w:t>
      </w:r>
    </w:p>
    <w:p w14:paraId="233CB4F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3.2 服务内容和服务标准：</w:t>
      </w:r>
    </w:p>
    <w:p w14:paraId="36ED5D7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(1)外部环境应整洁，清扫要及时，做到无杂物、废纸、烟头、果皮、痰迹、积水等；</w:t>
      </w:r>
    </w:p>
    <w:p w14:paraId="23FA89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(2)阴井、排水设施应通畅，无污水外溢，排水口处无淤泥和杂物。各井口盖完好，化粪池一般情况下每年清理一次，无粪便外溢。</w:t>
      </w:r>
    </w:p>
    <w:p w14:paraId="5C1460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(3)卫生间应保持干净整洁，无异味、无蚊蝇、无粪便、无污水外溢。</w:t>
      </w:r>
    </w:p>
    <w:p w14:paraId="378B9C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(4)校内垃圾应日产日清，无暴露垃圾，无卫生死角，保障垃圾站地面无严重污渍，垃圾无重异味。。垃圾箱及果皮箱应完好清洁，周围地面无杂物污渍，完成学校临时指派的垃圾清运任务</w:t>
      </w:r>
    </w:p>
    <w:p w14:paraId="36CD03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(5)建筑物内外无乱写、乱划、乱粘贴，无烟头、无残标；公共设施、牌匾、路标、雕塑、亭廊、石桌椅应定期擦拭，保持清洁。</w:t>
      </w:r>
    </w:p>
    <w:p w14:paraId="7875CC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(6)校园主要干道的地面卫生应在每日早7：30以前清扫完毕。室内公共场所（教室内除外）应每天清扫，保持清洁。上课期间不得有任何影响授课的清扫活动。</w:t>
      </w:r>
    </w:p>
    <w:p w14:paraId="12954E0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(7)厕所每半个月用药水清洗一次，每栋楼的地面每学期用洗地机清洗一次，每栋楼的窗户、幕墙、风扇、飘檐及室外舞台、亭廊每学期至少清洗一次。平时每天随时保持卫生整洁。</w:t>
      </w:r>
    </w:p>
    <w:p w14:paraId="076338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(8)门前三包工作应符合门前三包的标准和要求。</w:t>
      </w:r>
    </w:p>
    <w:p w14:paraId="75E85CB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(9)冬天应及时清理院内主要干道的积雪，保证道路通畅和安全。如洒盐水除雪，不得将积雪清扫堆放到绿篱和绿地内。</w:t>
      </w:r>
    </w:p>
    <w:p w14:paraId="41563E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(10)做好卫生防疫工作，定期喷洒药物，灭鼠除害。正确使用各种灭虫药物，防止事故发生。</w:t>
      </w:r>
    </w:p>
    <w:p w14:paraId="680D334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4.园林绿化</w:t>
      </w:r>
    </w:p>
    <w:p w14:paraId="47C5884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4.1 人员要求：</w:t>
      </w:r>
    </w:p>
    <w:p w14:paraId="4E177C2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(1)安排专职园林绿化服务人员，定岗人数为1人，身体健康，年龄应小于55周岁，具有绿化类或者园林类初级或以上职称，具有5级或以上有害生物防制员证。</w:t>
      </w:r>
    </w:p>
    <w:p w14:paraId="7920066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(2)除肥料、除草剂等耗材外其他护理工具自备。</w:t>
      </w:r>
    </w:p>
    <w:p w14:paraId="3FEF852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4.2 服务内容和服务标准：</w:t>
      </w:r>
    </w:p>
    <w:p w14:paraId="6697A18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(1)身体健康，能吃苦耐劳，勤恳老实，保质保量完成绿化任务。</w:t>
      </w:r>
    </w:p>
    <w:p w14:paraId="5430DE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(2)负责校内花卉的种植、绿化、美化校园和草圃花圃树木队杂草、施肥、浇水等工作，提高花草树木成活率。</w:t>
      </w:r>
    </w:p>
    <w:p w14:paraId="378117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(3)积极培育新花种，供应学校搞大型活动所需的盆花。节假日校门和花坛等植草的摆放、布置，保证环境的美丽。</w:t>
      </w:r>
    </w:p>
    <w:p w14:paraId="1AAC456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(4)冬季要搞好防虫、保温、刷石灰水措施，做好植物造型。</w:t>
      </w:r>
    </w:p>
    <w:p w14:paraId="6B6D470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(5)保管好有关工具，做到帐物相符，未经领导同意，工具不得外借。</w:t>
      </w:r>
    </w:p>
    <w:p w14:paraId="7A5CC8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(6)每月修剪绿植、草坪一次，凡是修剪的残枝，树叶要及时清理干净。</w:t>
      </w:r>
    </w:p>
    <w:p w14:paraId="6CA773E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(7)完成学校领导交给的临时性任务。</w:t>
      </w:r>
    </w:p>
    <w:p w14:paraId="267718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5.勤杂服务</w:t>
      </w:r>
    </w:p>
    <w:p w14:paraId="364F2B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5.1 人员要求：</w:t>
      </w:r>
    </w:p>
    <w:p w14:paraId="5D06D34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（1）安排专职勤杂工，定岗人数为1人，身体健康，年龄应小于55周岁。能适应校园日常体力劳作与轮班需求；</w:t>
      </w:r>
    </w:p>
    <w:p w14:paraId="1F8F148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（2）品行端正，责任心强，有良好服务意识，服从学校管理与工作调配；</w:t>
      </w:r>
    </w:p>
    <w:p w14:paraId="3400BA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（3）遵守校园规章制度，爱护校园公物，具有基础维修能力</w:t>
      </w:r>
    </w:p>
    <w:p w14:paraId="4929A1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5.2 服务内容和服务标准：</w:t>
      </w:r>
    </w:p>
    <w:p w14:paraId="73C8F4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zh-CN" w:eastAsia="zh-CN" w:bidi="ar-SA"/>
          <w14:textFill>
            <w14:solidFill>
              <w14:schemeClr w14:val="tx1"/>
            </w14:solidFill>
          </w14:textFill>
        </w:rPr>
        <w:t>（1）</w:t>
      </w: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完成教学物资、办公用品、活动道具、防疫物资等的搬运、装卸与规范摆放；做好校园公共区域物资（如座椅、垃圾桶、绿化盆栽）的归位整理，保持校园布局整洁有序。</w:t>
      </w:r>
    </w:p>
    <w:p w14:paraId="4ACB96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zh-CN" w:eastAsia="zh-CN" w:bidi="ar-SA"/>
          <w14:textFill>
            <w14:solidFill>
              <w14:schemeClr w14:val="tx1"/>
            </w14:solidFill>
          </w14:textFill>
        </w:rPr>
        <w:t>（2）</w:t>
      </w: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完成总务指派的其他任务。</w:t>
      </w:r>
    </w:p>
    <w:p w14:paraId="4DB5001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6.文印服务</w:t>
      </w:r>
    </w:p>
    <w:p w14:paraId="4B091D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6.1 人员要求：</w:t>
      </w:r>
    </w:p>
    <w:p w14:paraId="095E0B50">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安排专职文印服务人员，定岗人数为1人，身体健康，年龄应小于55周岁，能够使用office等基础办公软件，熟练使用文印设备。</w:t>
      </w:r>
    </w:p>
    <w:p w14:paraId="053993D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6.2 服务内容和服务标准：</w:t>
      </w:r>
    </w:p>
    <w:p w14:paraId="7FFE96A9">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油印工作要负责油印机的维护、保管工作。保质保量地完成学校各种资料、文件印刷，做好油印消耗登记；通报各年级试卷的油印工作；本着节约的原则，不多印、不乱印，不得随意将白纸发放给师生。</w:t>
      </w:r>
    </w:p>
    <w:p w14:paraId="4D4B8FBD">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成交供应商在人员派驻前需提供所有拟派人员的无犯罪记录证明，服务期间水电、文印、勤杂工调换，须报学校同意方可执行，学校对物业服务人员不满意必须一周内进行更换。</w:t>
      </w:r>
    </w:p>
    <w:p w14:paraId="6750E8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bCs/>
          <w:snapToGrid w:val="0"/>
          <w:color w:val="000000" w:themeColor="text1"/>
          <w:spacing w:val="1"/>
          <w:kern w:val="0"/>
          <w:sz w:val="24"/>
          <w:szCs w:val="24"/>
          <w:highlight w:val="none"/>
          <w:lang w:val="en-US" w:eastAsia="zh-CN" w:bidi="ar-SA"/>
          <w14:textFill>
            <w14:solidFill>
              <w14:schemeClr w14:val="tx1"/>
            </w14:solidFill>
          </w14:textFill>
        </w:rPr>
        <w:t>（四）物业管理服务考核标准</w:t>
      </w:r>
    </w:p>
    <w:p w14:paraId="33A227E3">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学校将每月度对成交供应商的物业服务等情况进行检查考核，考核的主要内容包括但不限于以下内容。考核不合格，经提出整改后整改期限内仍不合格的，或累计二次考核不合格的，校方有权将成交供应商清退出场，由此导致的损失由成交供应商全部承担。</w:t>
      </w:r>
    </w:p>
    <w:p w14:paraId="684BCEB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1.考核目的</w:t>
      </w:r>
    </w:p>
    <w:p w14:paraId="64389734">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提高服务质量、改善服务态度、提高经济效益。营造文明安全、环境舒适、服务到位、管理有序、奖罚分明的物业服务氛围。</w:t>
      </w:r>
    </w:p>
    <w:p w14:paraId="69601E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2.考核原则</w:t>
      </w:r>
    </w:p>
    <w:p w14:paraId="0D6E083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(1)从实际出发，客观公正，实事求是的原则。</w:t>
      </w:r>
    </w:p>
    <w:p w14:paraId="2A4E270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(2)成交供应商内控与学校检查相结合原则 。</w:t>
      </w:r>
    </w:p>
    <w:p w14:paraId="0D1CB38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(3)学校日常考核与定期考评、师生监督相结合的原则。</w:t>
      </w:r>
    </w:p>
    <w:p w14:paraId="5FA0532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3.考核组织</w:t>
      </w:r>
    </w:p>
    <w:p w14:paraId="7B6E58D1">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总务处组织专人对成交供应商物业管理服务质量进行考核，具体内容为：负责校园保洁、园林养护、水电维护等方面的物业监督考核，采取日常考核和定期的考评两种形式。成交供应商应在每学期末前进行自查和工作总结，并将自查结果和工作总结及时上报考核处。</w:t>
      </w:r>
    </w:p>
    <w:p w14:paraId="7C0A188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4.考核的内容按照各项物业服务标准对物业服务质量、服务态度、工作 效率、专业规范、安全管理等方面进行考核评估。</w:t>
      </w:r>
    </w:p>
    <w:p w14:paraId="1EAA29C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 不定期对日常的物业服务质量进行监督，检查，评估，并详细记录 检查结果，以备考评使用。</w:t>
      </w:r>
    </w:p>
    <w:p w14:paraId="0D8CA05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(2)对校内师生投诉意见的处理态度及整改结果，进行考核。</w:t>
      </w:r>
    </w:p>
    <w:p w14:paraId="6753A8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 对成交供应商使用国有资产的管理、保值情况进行监督、检查。</w:t>
      </w:r>
    </w:p>
    <w:p w14:paraId="37BE4D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 有节能工作的管理制度及管理目标，具体措施到位。</w:t>
      </w:r>
    </w:p>
    <w:p w14:paraId="21E668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5.量化指标构成及评价等级结构</w:t>
      </w:r>
    </w:p>
    <w:p w14:paraId="1FAF5761">
      <w:pPr>
        <w:keepNext w:val="0"/>
        <w:keepLines w:val="0"/>
        <w:pageBreakBefore w:val="0"/>
        <w:widowControl w:val="0"/>
        <w:kinsoku/>
        <w:wordWrap/>
        <w:overflowPunct/>
        <w:topLinePunct w:val="0"/>
        <w:autoSpaceDE/>
        <w:autoSpaceDN/>
        <w:bidi w:val="0"/>
        <w:adjustRightInd/>
        <w:snapToGrid/>
        <w:spacing w:line="360" w:lineRule="auto"/>
        <w:ind w:firstLine="484" w:firstLineChars="200"/>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总务处组织专人对成交供应商的服务质量进行监督、检查，后勤保障处物业监督管理部门每月底作出物业服务月度考核结果，作为物业管理费支付的主要依据。</w:t>
      </w:r>
    </w:p>
    <w:p w14:paraId="1A5313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 服务考核及处罚措施</w:t>
      </w:r>
    </w:p>
    <w:p w14:paraId="0841C92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6.1 考核等级</w:t>
      </w:r>
    </w:p>
    <w:p w14:paraId="092D7E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(1)优秀：考核分值：≥85分；全额支付服务费。</w:t>
      </w:r>
    </w:p>
    <w:p w14:paraId="4222121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(2)良好:考核分值70-84 分；（考核得分为70分及以上、84分以下），以85分为基准，每相差1分扣除400元；处罚的扣款直接在支付当期物业管理费中扣除（下同）。</w:t>
      </w:r>
    </w:p>
    <w:p w14:paraId="30D4C5E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(3)基本合格:考核分值60-69分；考核得分为70分及以上、84分以下）， 以85分为基准，每相差1分扣除500元；并通报批评，约谈成交供应商公司法人，责令限期半个月整改，成交供应商须及时向采购人提交整改措施报告，由采购人监督实施，若在限期内无明显改变，采购人有权终止与成交供应商签订服务协议。</w:t>
      </w:r>
    </w:p>
    <w:p w14:paraId="7B852C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snapToGrid w:val="0"/>
          <w:color w:val="000000" w:themeColor="text1"/>
          <w:spacing w:val="1"/>
          <w:kern w:val="0"/>
          <w:sz w:val="24"/>
          <w:szCs w:val="24"/>
          <w:highlight w:val="none"/>
          <w:lang w:val="en-US" w:eastAsia="zh-CN" w:bidi="ar-SA"/>
          <w14:textFill>
            <w14:solidFill>
              <w14:schemeClr w14:val="tx1"/>
            </w14:solidFill>
          </w14:textFill>
        </w:rPr>
        <w:t>(4)不合格:考核分值＜59分，拒付当期物业管理费外，采购人有权解除合同，另择物业企业，后果和损失由成交供应商负责。</w:t>
      </w:r>
    </w:p>
    <w:p w14:paraId="73A841C5">
      <w:pPr>
        <w:keepNext w:val="0"/>
        <w:keepLines w:val="0"/>
        <w:pageBreakBefore w:val="0"/>
        <w:widowControl w:val="0"/>
        <w:kinsoku/>
        <w:wordWrap/>
        <w:overflowPunct/>
        <w:topLinePunct w:val="0"/>
        <w:autoSpaceDE/>
        <w:autoSpaceDN/>
        <w:bidi w:val="0"/>
        <w:adjustRightInd/>
        <w:snapToGrid/>
        <w:spacing w:line="360" w:lineRule="auto"/>
        <w:ind w:left="0" w:right="0" w:firstLine="115" w:firstLineChars="50"/>
        <w:textAlignment w:val="auto"/>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pacing w:val="-5"/>
          <w:sz w:val="24"/>
          <w:szCs w:val="24"/>
          <w:highlight w:val="none"/>
          <w14:textFill>
            <w14:solidFill>
              <w14:schemeClr w14:val="tx1"/>
            </w14:solidFill>
          </w14:textFill>
        </w:rPr>
        <w:t>附件1：考核标准分值表</w:t>
      </w:r>
    </w:p>
    <w:tbl>
      <w:tblPr>
        <w:tblStyle w:val="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3"/>
        <w:gridCol w:w="8572"/>
      </w:tblGrid>
      <w:tr w14:paraId="2E0BF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center"/>
          </w:tcPr>
          <w:p w14:paraId="13C76334">
            <w:pPr>
              <w:widowControl/>
              <w:spacing w:line="400" w:lineRule="exact"/>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物业各部门服务考核指标</w:t>
            </w:r>
          </w:p>
        </w:tc>
      </w:tr>
      <w:tr w14:paraId="26ED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top"/>
          </w:tcPr>
          <w:p w14:paraId="514E1DE1">
            <w:pPr>
              <w:widowControl/>
              <w:spacing w:line="240" w:lineRule="auto"/>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物业管理（</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10</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p>
        </w:tc>
      </w:tr>
      <w:tr w14:paraId="6B427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651" w:type="pct"/>
            <w:tcBorders>
              <w:top w:val="single" w:color="auto" w:sz="4" w:space="0"/>
              <w:left w:val="single" w:color="auto" w:sz="4" w:space="0"/>
              <w:bottom w:val="single" w:color="auto" w:sz="4" w:space="0"/>
              <w:right w:val="single" w:color="auto" w:sz="4" w:space="0"/>
            </w:tcBorders>
            <w:noWrap w:val="0"/>
            <w:vAlign w:val="top"/>
          </w:tcPr>
          <w:p w14:paraId="4B714D13">
            <w:pPr>
              <w:widowControl/>
              <w:spacing w:line="240" w:lineRule="auto"/>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项目</w:t>
            </w:r>
          </w:p>
        </w:tc>
        <w:tc>
          <w:tcPr>
            <w:tcW w:w="4348" w:type="pct"/>
            <w:tcBorders>
              <w:top w:val="single" w:color="auto" w:sz="4" w:space="0"/>
              <w:left w:val="single" w:color="auto" w:sz="4" w:space="0"/>
              <w:bottom w:val="single" w:color="auto" w:sz="4" w:space="0"/>
              <w:right w:val="single" w:color="auto" w:sz="4" w:space="0"/>
            </w:tcBorders>
            <w:noWrap w:val="0"/>
            <w:vAlign w:val="top"/>
          </w:tcPr>
          <w:p w14:paraId="6A806CF6">
            <w:pPr>
              <w:widowControl/>
              <w:spacing w:line="240" w:lineRule="auto"/>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考核内容</w:t>
            </w:r>
          </w:p>
        </w:tc>
      </w:tr>
      <w:tr w14:paraId="47DF3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51" w:type="pct"/>
            <w:tcBorders>
              <w:top w:val="single" w:color="auto" w:sz="4" w:space="0"/>
              <w:left w:val="single" w:color="auto" w:sz="4" w:space="0"/>
              <w:right w:val="single" w:color="auto" w:sz="4" w:space="0"/>
            </w:tcBorders>
            <w:noWrap w:val="0"/>
            <w:vAlign w:val="center"/>
          </w:tcPr>
          <w:p w14:paraId="0FAE176C">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计划</w:t>
            </w:r>
          </w:p>
          <w:p w14:paraId="7BC700AD">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安排</w:t>
            </w:r>
          </w:p>
          <w:p w14:paraId="2709575C">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与</w:t>
            </w:r>
          </w:p>
          <w:p w14:paraId="594B0DFF">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分析</w:t>
            </w:r>
          </w:p>
          <w:p w14:paraId="600732D1">
            <w:pPr>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总结</w:t>
            </w:r>
          </w:p>
        </w:tc>
        <w:tc>
          <w:tcPr>
            <w:tcW w:w="4348" w:type="pct"/>
            <w:tcBorders>
              <w:top w:val="single" w:color="auto" w:sz="4" w:space="0"/>
              <w:left w:val="single" w:color="auto" w:sz="4" w:space="0"/>
              <w:right w:val="single" w:color="auto" w:sz="4" w:space="0"/>
            </w:tcBorders>
            <w:noWrap w:val="0"/>
            <w:vAlign w:val="top"/>
          </w:tcPr>
          <w:p w14:paraId="0455D16C">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1.有年、季、月、周工作计划并按时上交</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备案,无计划扣0.5分；未按时上交工作计划扣0.5分。</w:t>
            </w:r>
          </w:p>
          <w:p w14:paraId="144342B7">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2.每周召开服务人员工作会议，少一次扣0.5分共计2分（内容包括：传达</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学校物业</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工作，布置落实措施；对本周工作进行评估，提出下周工作要求；对出现的差错事故及缺陷、纠纷进行总结、评估分析；通报违纪违规情况，有奖惩措施；认为需要开会讨论的其他事项），</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校方</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检查记录。</w:t>
            </w:r>
          </w:p>
          <w:p w14:paraId="2E45545E">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3.未按时上交半年、年终总结报告给</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方少一次扣1分。</w:t>
            </w:r>
          </w:p>
        </w:tc>
      </w:tr>
      <w:tr w14:paraId="09B36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51" w:type="pct"/>
            <w:tcBorders>
              <w:top w:val="single" w:color="auto" w:sz="4" w:space="0"/>
              <w:left w:val="single" w:color="auto" w:sz="4" w:space="0"/>
              <w:bottom w:val="single" w:color="auto" w:sz="4" w:space="0"/>
              <w:right w:val="single" w:color="auto" w:sz="4" w:space="0"/>
            </w:tcBorders>
            <w:noWrap w:val="0"/>
            <w:vAlign w:val="center"/>
          </w:tcPr>
          <w:p w14:paraId="77D893BB">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行政</w:t>
            </w:r>
          </w:p>
          <w:p w14:paraId="1B6FB625">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管理</w:t>
            </w:r>
          </w:p>
        </w:tc>
        <w:tc>
          <w:tcPr>
            <w:tcW w:w="4348" w:type="pct"/>
            <w:tcBorders>
              <w:top w:val="single" w:color="auto" w:sz="4" w:space="0"/>
              <w:left w:val="single" w:color="auto" w:sz="4" w:space="0"/>
              <w:bottom w:val="single" w:color="auto" w:sz="4" w:space="0"/>
              <w:right w:val="single" w:color="auto" w:sz="4" w:space="0"/>
            </w:tcBorders>
            <w:noWrap w:val="0"/>
            <w:vAlign w:val="top"/>
          </w:tcPr>
          <w:p w14:paraId="6A94CD03">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1.落实服务质量标准及考核、奖惩办法，缺一项扣0.5分；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2.管理人员按时参加</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相关会议，并按会议精神及时组织落实。未落实会议精神扣0.5分。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3.组织员工培训、学习，未按要求扣1分。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4.编制</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设备年度维修保养计划和方案，按计划抓落实，缺计划扣0.5分；有计划未落实扣1分。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5.每月对各岗位进行一次考核，落实奖惩办法，有详细考核记录资料。未考核扣0.5分；无记录扣0.5 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6.组织完成</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安排的临时、突发性任务。未按时完成扣1分；</w:t>
            </w:r>
          </w:p>
          <w:p w14:paraId="3EB06CEA">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7.每季度对员工至少进行一次相关法律、法规、预案及应急预案知识、技能和能力的培训，并组织考核，记录资料完整，未落实扣0.5 分；资料记录不全扣0.5分。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8.建立服务电话接听登记本，对每次电话报修、投诉有处理结果，未建立扣0.5分。</w:t>
            </w:r>
          </w:p>
        </w:tc>
      </w:tr>
      <w:tr w14:paraId="489B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top"/>
          </w:tcPr>
          <w:p w14:paraId="4140D039">
            <w:pPr>
              <w:widowControl/>
              <w:spacing w:line="240" w:lineRule="auto"/>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水电维修保障（2</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p>
        </w:tc>
      </w:tr>
      <w:tr w14:paraId="1E09B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51" w:type="pct"/>
            <w:tcBorders>
              <w:top w:val="single" w:color="auto" w:sz="4" w:space="0"/>
              <w:left w:val="single" w:color="auto" w:sz="4" w:space="0"/>
              <w:bottom w:val="single" w:color="auto" w:sz="4" w:space="0"/>
              <w:right w:val="single" w:color="auto" w:sz="4" w:space="0"/>
            </w:tcBorders>
            <w:noWrap w:val="0"/>
            <w:vAlign w:val="center"/>
          </w:tcPr>
          <w:p w14:paraId="4C6A0A0E">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服务</w:t>
            </w:r>
          </w:p>
          <w:p w14:paraId="7E0BF775">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质量</w:t>
            </w:r>
          </w:p>
        </w:tc>
        <w:tc>
          <w:tcPr>
            <w:tcW w:w="4348" w:type="pct"/>
            <w:tcBorders>
              <w:top w:val="single" w:color="auto" w:sz="4" w:space="0"/>
              <w:left w:val="single" w:color="auto" w:sz="4" w:space="0"/>
              <w:bottom w:val="single" w:color="auto" w:sz="4" w:space="0"/>
              <w:right w:val="single" w:color="auto" w:sz="4" w:space="0"/>
            </w:tcBorders>
            <w:noWrap w:val="0"/>
            <w:vAlign w:val="top"/>
          </w:tcPr>
          <w:p w14:paraId="718D65B0">
            <w:pPr>
              <w:widowControl/>
              <w:spacing w:line="240" w:lineRule="auto"/>
              <w:jc w:val="left"/>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1.每天对</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全校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进行水、电、木、</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检查并</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作好记录，未</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查</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一次扣1分。发现的问题立即处理，未做到扣1分，一时无法处理的要和</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说明情况并做好记录，无记录扣0.5分；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2.及时接听报修电话并做好记录,未记录一次扣 0.5 分；未在规定时间内维修扣1.5分；维修时需停电、停水未事先通知</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的扣1分；</w:t>
            </w:r>
          </w:p>
          <w:p w14:paraId="44ED2032">
            <w:pPr>
              <w:widowControl/>
              <w:spacing w:line="240" w:lineRule="auto"/>
              <w:jc w:val="left"/>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3.做到水通、电通。因管理、维修不到位发生断水断电情况每次扣2分；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4.工作用照明灯完好率&gt;90%，不达标分别扣1分；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5.突发性停电，立即</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组织急修，保障</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供电，做好停电记录并及时上报，未落实扣1分；因应急保障措施不到位，影响正常</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教学</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工作的每次扣2分；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6.每年停水、停电、污水泻漏应急演练各一次，有具体的实施计划、演练记录与整改方案，缺一次扣1分。</w:t>
            </w:r>
          </w:p>
        </w:tc>
      </w:tr>
      <w:tr w14:paraId="3D56F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top"/>
          </w:tcPr>
          <w:p w14:paraId="64542C97">
            <w:pPr>
              <w:widowControl/>
              <w:spacing w:line="240" w:lineRule="auto"/>
              <w:jc w:val="cente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卫生保洁（2</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5</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p>
        </w:tc>
      </w:tr>
      <w:tr w14:paraId="7D6E1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651" w:type="pct"/>
            <w:tcBorders>
              <w:top w:val="single" w:color="auto" w:sz="4" w:space="0"/>
              <w:left w:val="single" w:color="auto" w:sz="4" w:space="0"/>
              <w:bottom w:val="single" w:color="auto" w:sz="4" w:space="0"/>
              <w:right w:val="single" w:color="auto" w:sz="4" w:space="0"/>
            </w:tcBorders>
            <w:noWrap w:val="0"/>
            <w:vAlign w:val="center"/>
          </w:tcPr>
          <w:p w14:paraId="6C6AD91B">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卫生</w:t>
            </w:r>
          </w:p>
          <w:p w14:paraId="63D58B6D">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保洁</w:t>
            </w:r>
          </w:p>
        </w:tc>
        <w:tc>
          <w:tcPr>
            <w:tcW w:w="4348" w:type="pct"/>
            <w:tcBorders>
              <w:top w:val="single" w:color="auto" w:sz="4" w:space="0"/>
              <w:left w:val="single" w:color="auto" w:sz="4" w:space="0"/>
              <w:bottom w:val="single" w:color="auto" w:sz="4" w:space="0"/>
              <w:right w:val="single" w:color="auto" w:sz="4" w:space="0"/>
            </w:tcBorders>
            <w:noWrap w:val="0"/>
            <w:vAlign w:val="top"/>
          </w:tcPr>
          <w:p w14:paraId="0EE1DE5C">
            <w:pPr>
              <w:widowControl/>
              <w:numPr>
                <w:ilvl w:val="0"/>
                <w:numId w:val="2"/>
              </w:numPr>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全校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各栋楼房保持窗明几净,天台每月保洁一次，（每月各楼层门窗、玻璃擦试一次）未做到一次扣1分</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2.天花板、吊顶、窗帘盒及附件、灯具、电视机及吊架、空调出风口、室内空调机，确保无明显灰尘、无蜘蛛网无悬浮物并保洁,未做到扣1分。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3.地面保洁</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每天拖扫二次，做到干净，无白色垃圾</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 xml:space="preserve">,未做到扣1分； </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4.卫生间的蹲便器、小便器、上下水管道及阀门、门窗、隔断、洗脸盆、镜子、水池、台板，每天各洗刷一次，确保无尿碱无污渍，积垢，无锈斑、无异味、无蜘蛛网和悬浮物,未做到扣1分。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5.室外的道路、绿地、宣传栏及视线所至之处，每天巡回保洁，确保无卫生死角、无暴露垃圾、无痰渍污迹,未做到扣1分。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6</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.所有保洁用尘推、拖布、抹布等卫生洁具，洁、污分区使用，用后必须进行清洗消毒，并悬挂晾干备用,未做到扣1分。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7</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.垃圾箱（桶）每天清刷，做到箱（桶）体清洁无污迹、无异味、无损坏,未做到扣1分。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8</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.生活垃圾进行分类包装，未做到扣1分；垃圾全部进垃圾暂存点，保持暂存点外无垃圾，未做到扣1分；生活垃圾分类存放，每天运到集中点外运，未做到扣1分。</w:t>
            </w:r>
          </w:p>
          <w:p w14:paraId="1FDB7404">
            <w:pPr>
              <w:widowControl/>
              <w:numPr>
                <w:ilvl w:val="0"/>
                <w:numId w:val="0"/>
              </w:numPr>
              <w:spacing w:line="240" w:lineRule="auto"/>
              <w:rPr>
                <w:rFonts w:hint="eastAsia" w:asciiTheme="minorEastAsia" w:hAnsiTheme="minorEastAsia" w:eastAsiaTheme="minorEastAsia" w:cstheme="minorEastAsia"/>
                <w:b/>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9</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.根据需要配合</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学校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进行灭鼠、灭蟑螂，确保无明显蚊蝇滋生地，对垃圾房及生活垃圾堆放处喷洒药水,未做到扣1分。</w:t>
            </w:r>
          </w:p>
        </w:tc>
      </w:tr>
      <w:tr w14:paraId="36696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center"/>
          </w:tcPr>
          <w:p w14:paraId="5F09E6A3">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绿化管理</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10</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p>
        </w:tc>
      </w:tr>
      <w:tr w14:paraId="70003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651" w:type="pct"/>
            <w:tcBorders>
              <w:top w:val="single" w:color="auto" w:sz="4" w:space="0"/>
              <w:left w:val="single" w:color="auto" w:sz="4" w:space="0"/>
              <w:bottom w:val="single" w:color="auto" w:sz="4" w:space="0"/>
              <w:right w:val="single" w:color="auto" w:sz="4" w:space="0"/>
            </w:tcBorders>
            <w:noWrap w:val="0"/>
            <w:vAlign w:val="center"/>
          </w:tcPr>
          <w:p w14:paraId="1733BE0C">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p>
        </w:tc>
        <w:tc>
          <w:tcPr>
            <w:tcW w:w="4348" w:type="pct"/>
            <w:tcBorders>
              <w:top w:val="single" w:color="auto" w:sz="4" w:space="0"/>
              <w:left w:val="single" w:color="auto" w:sz="4" w:space="0"/>
              <w:bottom w:val="single" w:color="auto" w:sz="4" w:space="0"/>
              <w:right w:val="single" w:color="auto" w:sz="4" w:space="0"/>
            </w:tcBorders>
            <w:noWrap w:val="0"/>
            <w:vAlign w:val="top"/>
          </w:tcPr>
          <w:p w14:paraId="01016226">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1.按规范标准做好</w:t>
            </w:r>
            <w:r>
              <w:rPr>
                <w:rFonts w:hint="eastAsia" w:asciiTheme="minorEastAsia" w:hAnsiTheme="minorEastAsia" w:eastAsiaTheme="minorEastAsia" w:cstheme="minorEastAsia"/>
                <w:color w:val="000000" w:themeColor="text1"/>
                <w:kern w:val="0"/>
                <w:sz w:val="24"/>
                <w:szCs w:val="24"/>
                <w:highlight w:val="none"/>
                <w:lang w:eastAsia="zh-CN"/>
                <w14:textFill>
                  <w14:solidFill>
                    <w14:schemeClr w14:val="tx1"/>
                  </w14:solidFill>
                </w14:textFill>
              </w:rPr>
              <w:t>全校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绿化、草坪,乔木、造型灌木,修剪、整理养护工作，未做到扣1分。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2.对树木(灌木、树篱、爬藤、绿化带)保养良好，每周巡视、定期修剪平整匀称，外形完整美观。未做到扣1分。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 防治病虫害，绿化区内无干枯，发黄，坏死分枝、枯叶、无虫咬的孔洞、茎干和叶无烟灰、杂草、杂物、垃圾。发现死树枯草，应在二周内清除，并适时补种。绿地带内常年清除杂草，有效控制杂草孳生。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4.根据气候状况和季节，适时组织浇灌，施肥和松土，花草树木长势良好。未做到扣1分。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5.加强安全生产监督, 在使用机器工作或喷洒药物时,应有“危险”标志牌放在关键位置;防止事故发生。未做到扣1分。</w:t>
            </w:r>
          </w:p>
        </w:tc>
      </w:tr>
      <w:tr w14:paraId="3FAF0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5000" w:type="pct"/>
            <w:gridSpan w:val="2"/>
            <w:tcBorders>
              <w:top w:val="single" w:color="auto" w:sz="4" w:space="0"/>
              <w:left w:val="single" w:color="auto" w:sz="4" w:space="0"/>
              <w:bottom w:val="single" w:color="auto" w:sz="4" w:space="0"/>
              <w:right w:val="single" w:color="auto" w:sz="4" w:space="0"/>
            </w:tcBorders>
            <w:noWrap w:val="0"/>
            <w:vAlign w:val="center"/>
          </w:tcPr>
          <w:p w14:paraId="30CD76F3">
            <w:pPr>
              <w:widowControl/>
              <w:spacing w:line="240" w:lineRule="auto"/>
              <w:jc w:val="cente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文印勤杂</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r>
              <w:rPr>
                <w:rFonts w:hint="eastAsia" w:asciiTheme="minorEastAsia" w:hAnsiTheme="minorEastAsia" w:eastAsiaTheme="minorEastAsia" w:cstheme="minorEastAsia"/>
                <w:b/>
                <w:bCs/>
                <w:color w:val="000000" w:themeColor="text1"/>
                <w:kern w:val="0"/>
                <w:sz w:val="24"/>
                <w:szCs w:val="24"/>
                <w:highlight w:val="none"/>
                <w:lang w:val="en-US" w:eastAsia="zh-CN"/>
                <w14:textFill>
                  <w14:solidFill>
                    <w14:schemeClr w14:val="tx1"/>
                  </w14:solidFill>
                </w14:textFill>
              </w:rPr>
              <w:t>30</w:t>
            </w:r>
            <w:r>
              <w:rPr>
                <w:rFonts w:hint="eastAsia" w:asciiTheme="minorEastAsia" w:hAnsiTheme="minorEastAsia" w:eastAsiaTheme="minorEastAsia" w:cstheme="minorEastAsia"/>
                <w:b/>
                <w:bCs/>
                <w:color w:val="000000" w:themeColor="text1"/>
                <w:kern w:val="0"/>
                <w:sz w:val="24"/>
                <w:szCs w:val="24"/>
                <w:highlight w:val="none"/>
                <w14:textFill>
                  <w14:solidFill>
                    <w14:schemeClr w14:val="tx1"/>
                  </w14:solidFill>
                </w14:textFill>
              </w:rPr>
              <w:t>%)</w:t>
            </w:r>
          </w:p>
        </w:tc>
      </w:tr>
      <w:tr w14:paraId="33B213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5" w:hRule="atLeast"/>
        </w:trPr>
        <w:tc>
          <w:tcPr>
            <w:tcW w:w="651" w:type="pct"/>
            <w:tcBorders>
              <w:top w:val="single" w:color="auto" w:sz="4" w:space="0"/>
              <w:left w:val="single" w:color="auto" w:sz="4" w:space="0"/>
              <w:bottom w:val="single" w:color="auto" w:sz="4" w:space="0"/>
              <w:right w:val="single" w:color="auto" w:sz="4" w:space="0"/>
            </w:tcBorders>
            <w:noWrap w:val="0"/>
            <w:vAlign w:val="center"/>
          </w:tcPr>
          <w:p w14:paraId="1BB818E6">
            <w:pPr>
              <w:spacing w:line="240" w:lineRule="auto"/>
              <w:jc w:val="cente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文印勤杂</w:t>
            </w:r>
          </w:p>
        </w:tc>
        <w:tc>
          <w:tcPr>
            <w:tcW w:w="4348" w:type="pct"/>
            <w:tcBorders>
              <w:top w:val="single" w:color="auto" w:sz="4" w:space="0"/>
              <w:left w:val="single" w:color="auto" w:sz="4" w:space="0"/>
              <w:bottom w:val="single" w:color="auto" w:sz="4" w:space="0"/>
              <w:right w:val="single" w:color="auto" w:sz="4" w:space="0"/>
            </w:tcBorders>
            <w:noWrap w:val="0"/>
            <w:vAlign w:val="top"/>
          </w:tcPr>
          <w:p w14:paraId="78B634FD">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1.建立</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文印耗材</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登记本，</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记录文印的数量等信息，</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缺少一项扣0.5分，共计3分；</w:t>
            </w:r>
          </w:p>
          <w:p w14:paraId="5D9D1C9B">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2.</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保质保量完成学校油印工作</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，一次</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未完成</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扣1分；</w:t>
            </w:r>
          </w:p>
          <w:p w14:paraId="292E6756">
            <w:pPr>
              <w:widowControl/>
              <w:spacing w:line="240" w:lineRule="auto"/>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3.</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有故意浪费文印耗材的行为</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出现一次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扣1分；</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br w:type="textWrapping"/>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4.</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勤杂任务未按正常要求完成的，出现一次</w:t>
            </w:r>
            <w:r>
              <w:rPr>
                <w:rFonts w:hint="eastAsia" w:asciiTheme="minorEastAsia" w:hAnsiTheme="minorEastAsia" w:eastAsiaTheme="minorEastAsia" w:cstheme="minorEastAsia"/>
                <w:color w:val="000000" w:themeColor="text1"/>
                <w:kern w:val="0"/>
                <w:sz w:val="24"/>
                <w:szCs w:val="24"/>
                <w:highlight w:val="none"/>
                <w14:textFill>
                  <w14:solidFill>
                    <w14:schemeClr w14:val="tx1"/>
                  </w14:solidFill>
                </w14:textFill>
              </w:rPr>
              <w:t>扣1分；</w:t>
            </w:r>
          </w:p>
          <w:p w14:paraId="6E6C369A">
            <w:pPr>
              <w:widowControl/>
              <w:spacing w:line="240" w:lineRule="auto"/>
              <w:rPr>
                <w:rFonts w:hint="default"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5.未及时</w:t>
            </w:r>
            <w:r>
              <w:rPr>
                <w:rFonts w:hint="eastAsia" w:asciiTheme="minorEastAsia" w:hAnsiTheme="minorEastAsia" w:eastAsiaTheme="minorEastAsia" w:cstheme="minorEastAsia"/>
                <w:color w:val="000000" w:themeColor="text1"/>
                <w:kern w:val="0"/>
                <w:sz w:val="24"/>
                <w:szCs w:val="24"/>
                <w:highlight w:val="none"/>
                <w:lang w:val="zh-CN" w:eastAsia="zh-CN"/>
                <w14:textFill>
                  <w14:solidFill>
                    <w14:schemeClr w14:val="tx1"/>
                  </w14:solidFill>
                </w14:textFill>
              </w:rPr>
              <w:t>请专业人员入校进行应急维修（包括路面维修、小面积刮瓷、修补、贴砖、配合玻璃更换、落水管更换等），</w:t>
            </w:r>
            <w:r>
              <w:rPr>
                <w:rFonts w:hint="eastAsia" w:asciiTheme="minorEastAsia" w:hAnsiTheme="minorEastAsia" w:eastAsiaTheme="minorEastAsia" w:cstheme="minorEastAsia"/>
                <w:color w:val="000000" w:themeColor="text1"/>
                <w:kern w:val="0"/>
                <w:sz w:val="24"/>
                <w:szCs w:val="24"/>
                <w:highlight w:val="none"/>
                <w:lang w:val="en-US" w:eastAsia="zh-CN"/>
                <w14:textFill>
                  <w14:solidFill>
                    <w14:schemeClr w14:val="tx1"/>
                  </w14:solidFill>
                </w14:textFill>
              </w:rPr>
              <w:t>出现一次扣2分。</w:t>
            </w:r>
          </w:p>
        </w:tc>
      </w:tr>
    </w:tbl>
    <w:p w14:paraId="138A3445">
      <w:pPr>
        <w:pStyle w:val="3"/>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pPr>
    </w:p>
    <w:p w14:paraId="2A3AA489">
      <w:pPr>
        <w:pStyle w:val="3"/>
        <w:ind w:left="0" w:leftChars="0" w:firstLine="0" w:firstLineChars="0"/>
        <w:rPr>
          <w:rFonts w:hint="eastAsia" w:ascii="宋体" w:hAnsi="宋体" w:eastAsia="宋体" w:cs="宋体"/>
          <w:color w:val="000000" w:themeColor="text1"/>
          <w:sz w:val="28"/>
          <w:szCs w:val="28"/>
          <w:highlight w:val="none"/>
          <w14:textFill>
            <w14:solidFill>
              <w14:schemeClr w14:val="tx1"/>
            </w14:solidFill>
          </w14:textFill>
        </w:rPr>
        <w:sectPr>
          <w:footerReference r:id="rId3" w:type="default"/>
          <w:pgSz w:w="11907" w:h="16840"/>
          <w:pgMar w:top="1134" w:right="1134" w:bottom="1134" w:left="1134" w:header="0" w:footer="719" w:gutter="0"/>
          <w:cols w:space="720" w:num="1"/>
        </w:sectPr>
      </w:pPr>
      <w:r>
        <w:rPr>
          <w:rFonts w:hint="eastAsia" w:ascii="宋体" w:hAnsi="宋体" w:eastAsia="宋体" w:cs="宋体"/>
          <w:b/>
          <w:bCs/>
          <w:color w:val="000000" w:themeColor="text1"/>
          <w:sz w:val="28"/>
          <w:szCs w:val="28"/>
          <w:highlight w:val="none"/>
          <w14:textFill>
            <w14:solidFill>
              <w14:schemeClr w14:val="tx1"/>
            </w14:solidFill>
          </w14:textFill>
        </w:rPr>
        <w:t>注：以上“采购服务技术要求”的全部内容必须完全响应</w:t>
      </w:r>
      <w:r>
        <w:rPr>
          <w:rFonts w:hint="eastAsia" w:ascii="宋体" w:hAnsi="宋体" w:eastAsia="宋体" w:cs="宋体"/>
          <w:b/>
          <w:bCs/>
          <w:color w:val="000000" w:themeColor="text1"/>
          <w:sz w:val="28"/>
          <w:szCs w:val="28"/>
          <w:highlight w:val="none"/>
          <w:lang w:val="en-US" w:eastAsia="zh-CN"/>
          <w14:textFill>
            <w14:solidFill>
              <w14:schemeClr w14:val="tx1"/>
            </w14:solidFill>
          </w14:textFill>
        </w:rPr>
        <w:t>或是优于</w:t>
      </w:r>
      <w:r>
        <w:rPr>
          <w:rFonts w:hint="eastAsia" w:ascii="宋体" w:hAnsi="宋体" w:eastAsia="宋体" w:cs="宋体"/>
          <w:b/>
          <w:bCs/>
          <w:color w:val="000000" w:themeColor="text1"/>
          <w:sz w:val="28"/>
          <w:szCs w:val="28"/>
          <w:highlight w:val="none"/>
          <w14:textFill>
            <w14:solidFill>
              <w14:schemeClr w14:val="tx1"/>
            </w14:solidFill>
          </w14:textFill>
        </w:rPr>
        <w:t>，否则视为无效投标。</w:t>
      </w:r>
    </w:p>
    <w:p w14:paraId="6D796D42">
      <w:pPr>
        <w:spacing w:after="156" w:afterLines="50" w:line="360" w:lineRule="auto"/>
        <w:jc w:val="both"/>
        <w:outlineLvl w:val="1"/>
        <w:rPr>
          <w:rFonts w:hint="eastAsia" w:asciiTheme="minorEastAsia" w:hAnsiTheme="minorEastAsia" w:eastAsiaTheme="minorEastAsia" w:cstheme="minorEastAsia"/>
          <w:b/>
          <w:bCs/>
          <w:color w:val="000000" w:themeColor="text1"/>
          <w:sz w:val="28"/>
          <w:szCs w:val="28"/>
          <w:highlight w:val="none"/>
          <w:lang w:eastAsia="zh-CN"/>
          <w14:textFill>
            <w14:solidFill>
              <w14:schemeClr w14:val="tx1"/>
            </w14:solidFill>
          </w14:textFill>
        </w:rPr>
      </w:pPr>
      <w:bookmarkStart w:id="5" w:name="_Toc4760"/>
      <w:r>
        <w:rPr>
          <w:rFonts w:hint="eastAsia" w:asciiTheme="minorEastAsia" w:hAnsiTheme="minorEastAsia" w:eastAsiaTheme="minorEastAsia" w:cstheme="minorEastAsia"/>
          <w:b/>
          <w:bCs/>
          <w:color w:val="000000" w:themeColor="text1"/>
          <w:sz w:val="28"/>
          <w:szCs w:val="28"/>
          <w:highlight w:val="none"/>
          <w14:textFill>
            <w14:solidFill>
              <w14:schemeClr w14:val="tx1"/>
            </w14:solidFill>
          </w14:textFill>
        </w:rPr>
        <w:t>三、商务</w:t>
      </w:r>
      <w:bookmarkEnd w:id="5"/>
      <w:r>
        <w:rPr>
          <w:rFonts w:hint="eastAsia" w:asciiTheme="minorEastAsia" w:hAnsiTheme="minorEastAsia" w:eastAsiaTheme="minorEastAsia" w:cstheme="minorEastAsia"/>
          <w:b/>
          <w:bCs/>
          <w:color w:val="000000" w:themeColor="text1"/>
          <w:sz w:val="28"/>
          <w:szCs w:val="28"/>
          <w:highlight w:val="none"/>
          <w:lang w:val="en-US" w:eastAsia="zh-CN"/>
          <w14:textFill>
            <w14:solidFill>
              <w14:schemeClr w14:val="tx1"/>
            </w14:solidFill>
          </w14:textFill>
        </w:rPr>
        <w:t>条款</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Layout w:type="autofit"/>
        <w:tblCellMar>
          <w:top w:w="0" w:type="dxa"/>
          <w:left w:w="108" w:type="dxa"/>
          <w:bottom w:w="0" w:type="dxa"/>
          <w:right w:w="108" w:type="dxa"/>
        </w:tblCellMar>
      </w:tblPr>
      <w:tblGrid>
        <w:gridCol w:w="556"/>
        <w:gridCol w:w="1912"/>
        <w:gridCol w:w="6054"/>
      </w:tblGrid>
      <w:tr w14:paraId="012B2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PrEx>
        <w:tc>
          <w:tcPr>
            <w:tcW w:w="556" w:type="dxa"/>
            <w:shd w:val="clear" w:color="auto" w:fill="FFFFFF"/>
            <w:noWrap w:val="0"/>
            <w:vAlign w:val="center"/>
          </w:tcPr>
          <w:p w14:paraId="298BFA87">
            <w:pPr>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序号</w:t>
            </w:r>
          </w:p>
        </w:tc>
        <w:tc>
          <w:tcPr>
            <w:tcW w:w="1913" w:type="dxa"/>
            <w:shd w:val="clear" w:color="auto" w:fill="FFFFFF"/>
            <w:noWrap w:val="0"/>
            <w:vAlign w:val="center"/>
          </w:tcPr>
          <w:p w14:paraId="07F9FBEF">
            <w:pPr>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条款名称</w:t>
            </w:r>
          </w:p>
        </w:tc>
        <w:tc>
          <w:tcPr>
            <w:tcW w:w="6059" w:type="dxa"/>
            <w:shd w:val="clear" w:color="auto" w:fill="FFFFFF"/>
            <w:noWrap w:val="0"/>
            <w:vAlign w:val="top"/>
          </w:tcPr>
          <w:p w14:paraId="7EA1377A">
            <w:pPr>
              <w:pageBreakBefore w:val="0"/>
              <w:widowControl w:val="0"/>
              <w:kinsoku/>
              <w:wordWrap/>
              <w:overflowPunct/>
              <w:topLinePunct w:val="0"/>
              <w:autoSpaceDE/>
              <w:autoSpaceDN/>
              <w:bidi w:val="0"/>
              <w:adjustRightInd/>
              <w:snapToGrid/>
              <w:spacing w:line="500" w:lineRule="exact"/>
              <w:jc w:val="center"/>
              <w:textAlignment w:val="auto"/>
              <w:rPr>
                <w:rFonts w:hint="eastAsia" w:asciiTheme="minorEastAsia" w:hAnsiTheme="minorEastAsia" w:eastAsiaTheme="minorEastAsia" w:cstheme="minorEastAsia"/>
                <w:b w:val="0"/>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 w:val="0"/>
                <w:bCs/>
                <w:color w:val="000000" w:themeColor="text1"/>
                <w:sz w:val="24"/>
                <w:szCs w:val="24"/>
                <w:highlight w:val="none"/>
                <w14:textFill>
                  <w14:solidFill>
                    <w14:schemeClr w14:val="tx1"/>
                  </w14:solidFill>
                </w14:textFill>
              </w:rPr>
              <w:t>条款内容</w:t>
            </w:r>
          </w:p>
        </w:tc>
      </w:tr>
      <w:tr w14:paraId="06F8F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66B50998">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1</w:t>
            </w:r>
          </w:p>
        </w:tc>
        <w:tc>
          <w:tcPr>
            <w:tcW w:w="1913" w:type="dxa"/>
            <w:shd w:val="clear" w:color="auto" w:fill="FFFFFF"/>
            <w:noWrap w:val="0"/>
            <w:vAlign w:val="center"/>
          </w:tcPr>
          <w:p w14:paraId="1F33CB44">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付款方式</w:t>
            </w:r>
            <w:r>
              <w:rPr>
                <w:rFonts w:hint="eastAsia" w:asciiTheme="minorEastAsia" w:hAnsiTheme="minorEastAsia" w:eastAsiaTheme="minorEastAsia" w:cstheme="minorEastAsia"/>
                <w:bCs/>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进度和方式</w:t>
            </w:r>
            <w:r>
              <w:rPr>
                <w:rFonts w:hint="eastAsia" w:asciiTheme="minorEastAsia" w:hAnsiTheme="minorEastAsia" w:eastAsiaTheme="minorEastAsia" w:cstheme="minorEastAsia"/>
                <w:bCs/>
                <w:color w:val="000000" w:themeColor="text1"/>
                <w:sz w:val="24"/>
                <w:szCs w:val="24"/>
                <w:highlight w:val="none"/>
                <w:lang w:eastAsia="zh-CN"/>
                <w14:textFill>
                  <w14:solidFill>
                    <w14:schemeClr w14:val="tx1"/>
                  </w14:solidFill>
                </w14:textFill>
              </w:rPr>
              <w:t>）</w:t>
            </w:r>
          </w:p>
        </w:tc>
        <w:tc>
          <w:tcPr>
            <w:tcW w:w="6059" w:type="dxa"/>
            <w:shd w:val="clear" w:color="auto" w:fill="FFFFFF"/>
            <w:noWrap w:val="0"/>
            <w:vAlign w:val="top"/>
          </w:tcPr>
          <w:p w14:paraId="1700A027">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pacing w:val="-1"/>
                <w:kern w:val="2"/>
                <w:sz w:val="24"/>
                <w:szCs w:val="24"/>
                <w:highlight w:val="none"/>
                <w:lang w:val="en-US" w:eastAsia="zh-CN" w:bidi="ar-SA"/>
                <w14:textFill>
                  <w14:solidFill>
                    <w14:schemeClr w14:val="tx1"/>
                  </w14:solidFill>
                </w14:textFill>
              </w:rPr>
              <w:t>学校按月支付物业管理费，额度为合同总价的1/12（包含人员工资、保洁设备、税金、管理费等费用），当月物业管理服务考核合格后，成交供应商根据考核结果向采购人开具服务费发票，采购人在收到发票的10个工作日内进行核定支付，支付采取转账的方式。物业员工的“五险一金”费用，由成交供应商按有关规定支付。(费用支付时提供复印件备查)</w:t>
            </w:r>
          </w:p>
        </w:tc>
      </w:tr>
      <w:tr w14:paraId="499D9F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6D181768">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2</w:t>
            </w:r>
          </w:p>
        </w:tc>
        <w:tc>
          <w:tcPr>
            <w:tcW w:w="1913" w:type="dxa"/>
            <w:shd w:val="clear" w:color="auto" w:fill="FFFFFF"/>
            <w:noWrap w:val="0"/>
            <w:vAlign w:val="center"/>
          </w:tcPr>
          <w:p w14:paraId="420EA5E0">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合同履行期</w:t>
            </w:r>
          </w:p>
          <w:p w14:paraId="541A9BDE">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（交货期</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/交付时间</w:t>
            </w: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w:t>
            </w:r>
          </w:p>
        </w:tc>
        <w:tc>
          <w:tcPr>
            <w:tcW w:w="6059" w:type="dxa"/>
            <w:shd w:val="clear" w:color="auto" w:fill="FFFFFF"/>
            <w:noWrap w:val="0"/>
            <w:vAlign w:val="top"/>
          </w:tcPr>
          <w:p w14:paraId="0F5EB4EA">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pacing w:val="-1"/>
                <w:kern w:val="2"/>
                <w:sz w:val="24"/>
                <w:szCs w:val="24"/>
                <w:highlight w:val="none"/>
                <w:lang w:val="en-US" w:eastAsia="zh-CN" w:bidi="ar-SA"/>
                <w14:textFill>
                  <w14:solidFill>
                    <w14:schemeClr w14:val="tx1"/>
                  </w14:solidFill>
                </w14:textFill>
              </w:rPr>
              <w:t>自合同签订生效并与前任物业服务单位移交手续办理完毕之日起12个月内，成交供应商须在2026年5月1日前进驻物管领域，并做好相关准备工作。</w:t>
            </w:r>
          </w:p>
        </w:tc>
      </w:tr>
      <w:tr w14:paraId="2E6D1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5BA024F7">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3</w:t>
            </w:r>
          </w:p>
        </w:tc>
        <w:tc>
          <w:tcPr>
            <w:tcW w:w="1913" w:type="dxa"/>
            <w:shd w:val="clear" w:color="auto" w:fill="FFFFFF"/>
            <w:noWrap w:val="0"/>
            <w:vAlign w:val="center"/>
          </w:tcPr>
          <w:p w14:paraId="1FE83F5C">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交货</w:t>
            </w:r>
            <w:r>
              <w:rPr>
                <w:rFonts w:hint="eastAsia" w:asciiTheme="minorEastAsia" w:hAnsiTheme="minorEastAsia" w:eastAsiaTheme="minorEastAsia" w:cstheme="minorEastAsia"/>
                <w:bCs/>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服务</w:t>
            </w:r>
            <w:r>
              <w:rPr>
                <w:rFonts w:hint="eastAsia" w:asciiTheme="minorEastAsia" w:hAnsiTheme="minorEastAsia" w:eastAsiaTheme="minorEastAsia" w:cstheme="minorEastAsia"/>
                <w:bCs/>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地点</w:t>
            </w:r>
          </w:p>
        </w:tc>
        <w:tc>
          <w:tcPr>
            <w:tcW w:w="6059" w:type="dxa"/>
            <w:shd w:val="clear" w:color="auto" w:fill="FFFFFF"/>
            <w:noWrap w:val="0"/>
            <w:vAlign w:val="top"/>
          </w:tcPr>
          <w:p w14:paraId="4B4D4D1D">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南昌市青云谱区井冈山大道1168号（南昌市行知中学坛子口校区）</w:t>
            </w:r>
          </w:p>
        </w:tc>
      </w:tr>
      <w:tr w14:paraId="593CB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7B931A07">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6</w:t>
            </w:r>
          </w:p>
        </w:tc>
        <w:tc>
          <w:tcPr>
            <w:tcW w:w="1913" w:type="dxa"/>
            <w:shd w:val="clear" w:color="auto" w:fill="FFFFFF"/>
            <w:noWrap w:val="0"/>
            <w:vAlign w:val="center"/>
          </w:tcPr>
          <w:p w14:paraId="609F879C">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履约验收</w:t>
            </w:r>
          </w:p>
        </w:tc>
        <w:tc>
          <w:tcPr>
            <w:tcW w:w="6059" w:type="dxa"/>
            <w:shd w:val="clear" w:color="auto" w:fill="FFFFFF"/>
            <w:noWrap w:val="0"/>
            <w:vAlign w:val="top"/>
          </w:tcPr>
          <w:p w14:paraId="4F525BFE">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1、</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履约保证金金额：</w:t>
            </w:r>
            <w:r>
              <w:rPr>
                <w:rFonts w:hint="eastAsia" w:asciiTheme="minorEastAsia" w:hAnsiTheme="minorEastAsia" w:eastAsiaTheme="minorEastAsia" w:cstheme="minorEastAsia"/>
                <w:b/>
                <w:bCs/>
                <w:color w:val="000000" w:themeColor="text1"/>
                <w:sz w:val="24"/>
                <w:szCs w:val="24"/>
                <w:highlight w:val="none"/>
                <w:u w:val="single"/>
                <w:lang w:val="en-US" w:eastAsia="zh-CN"/>
                <w14:textFill>
                  <w14:solidFill>
                    <w14:schemeClr w14:val="tx1"/>
                  </w14:solidFill>
                </w14:textFill>
              </w:rPr>
              <w:t>0元。</w:t>
            </w:r>
          </w:p>
          <w:p w14:paraId="6194EB47">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lang w:val="en-US"/>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2、按《</w:t>
            </w:r>
            <w:r>
              <w:rPr>
                <w:rFonts w:hint="eastAsia" w:asciiTheme="minorEastAsia" w:hAnsiTheme="minorEastAsia" w:eastAsiaTheme="minorEastAsia" w:cstheme="minorEastAsia"/>
                <w:b/>
                <w:bCs/>
                <w:color w:val="000000" w:themeColor="text1"/>
                <w:spacing w:val="-5"/>
                <w:sz w:val="24"/>
                <w:szCs w:val="24"/>
                <w:highlight w:val="none"/>
                <w14:textFill>
                  <w14:solidFill>
                    <w14:schemeClr w14:val="tx1"/>
                  </w14:solidFill>
                </w14:textFill>
              </w:rPr>
              <w:t>考核标准分值表</w:t>
            </w: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》考核</w:t>
            </w:r>
          </w:p>
        </w:tc>
      </w:tr>
      <w:tr w14:paraId="5B290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78F172C0">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7</w:t>
            </w:r>
          </w:p>
        </w:tc>
        <w:tc>
          <w:tcPr>
            <w:tcW w:w="1913" w:type="dxa"/>
            <w:shd w:val="clear" w:color="auto" w:fill="FFFFFF"/>
            <w:noWrap w:val="0"/>
            <w:vAlign w:val="center"/>
          </w:tcPr>
          <w:p w14:paraId="164AE07A">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lang w:val="en-US" w:eastAsia="zh-CN"/>
                <w14:textFill>
                  <w14:solidFill>
                    <w14:schemeClr w14:val="tx1"/>
                  </w14:solidFill>
                </w14:textFill>
              </w:rPr>
              <w:t>保险</w:t>
            </w:r>
          </w:p>
        </w:tc>
        <w:tc>
          <w:tcPr>
            <w:tcW w:w="6059" w:type="dxa"/>
            <w:shd w:val="clear" w:color="auto" w:fill="FFFFFF"/>
            <w:noWrap w:val="0"/>
            <w:vAlign w:val="top"/>
          </w:tcPr>
          <w:p w14:paraId="758933F1">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按劳动法、劳动合同法等法律法规履行</w:t>
            </w:r>
          </w:p>
        </w:tc>
      </w:tr>
      <w:tr w14:paraId="154BB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404C1707">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8</w:t>
            </w:r>
          </w:p>
        </w:tc>
        <w:tc>
          <w:tcPr>
            <w:tcW w:w="1913" w:type="dxa"/>
            <w:shd w:val="clear" w:color="auto" w:fill="FFFFFF"/>
            <w:noWrap w:val="0"/>
            <w:vAlign w:val="center"/>
          </w:tcPr>
          <w:p w14:paraId="1D36C174">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培训要求</w:t>
            </w:r>
          </w:p>
        </w:tc>
        <w:tc>
          <w:tcPr>
            <w:tcW w:w="6059" w:type="dxa"/>
            <w:shd w:val="clear" w:color="auto" w:fill="FFFFFF"/>
            <w:noWrap w:val="0"/>
            <w:vAlign w:val="top"/>
          </w:tcPr>
          <w:p w14:paraId="3AC3CA73">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拟派经验丰富的专业技术人员提供技术培训,保证所有使用人员能熟练掌握货物各种功能的技术操作，培训地点主要在设备安装现场或按采购单位安排。</w:t>
            </w:r>
          </w:p>
        </w:tc>
      </w:tr>
      <w:tr w14:paraId="1BAF3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c>
          <w:tcPr>
            <w:tcW w:w="556" w:type="dxa"/>
            <w:shd w:val="clear" w:color="auto" w:fill="FFFFFF"/>
            <w:noWrap w:val="0"/>
            <w:vAlign w:val="center"/>
          </w:tcPr>
          <w:p w14:paraId="28781AE4">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vertAlign w:val="baseline"/>
                <w:lang w:val="en-US" w:eastAsia="zh-CN"/>
                <w14:textFill>
                  <w14:solidFill>
                    <w14:schemeClr w14:val="tx1"/>
                  </w14:solidFill>
                </w14:textFill>
              </w:rPr>
              <w:t>9</w:t>
            </w:r>
          </w:p>
        </w:tc>
        <w:tc>
          <w:tcPr>
            <w:tcW w:w="1913" w:type="dxa"/>
            <w:shd w:val="clear" w:color="auto" w:fill="FFFFFF"/>
            <w:noWrap w:val="0"/>
            <w:vAlign w:val="center"/>
          </w:tcPr>
          <w:p w14:paraId="5EC95E46">
            <w:pPr>
              <w:pageBreakBefore w:val="0"/>
              <w:kinsoku/>
              <w:wordWrap/>
              <w:overflowPunct/>
              <w:topLinePunct w:val="0"/>
              <w:autoSpaceDE/>
              <w:autoSpaceDN/>
              <w:bidi w:val="0"/>
              <w:adjustRightInd/>
              <w:snapToGrid/>
              <w:spacing w:line="500" w:lineRule="exact"/>
              <w:jc w:val="center"/>
              <w:rPr>
                <w:rFonts w:hint="eastAsia" w:asciiTheme="minorEastAsia" w:hAnsiTheme="minorEastAsia" w:eastAsiaTheme="minorEastAsia" w:cstheme="minorEastAsia"/>
                <w:bCs/>
                <w:color w:val="000000" w:themeColor="text1"/>
                <w:kern w:val="2"/>
                <w:sz w:val="24"/>
                <w:szCs w:val="24"/>
                <w:highlight w:val="none"/>
                <w:lang w:val="en-US" w:eastAsia="zh-CN" w:bidi="ar-SA"/>
                <w14:textFill>
                  <w14:solidFill>
                    <w14:schemeClr w14:val="tx1"/>
                  </w14:solidFill>
                </w14:textFill>
              </w:rPr>
            </w:pPr>
            <w:r>
              <w:rPr>
                <w:rFonts w:hint="eastAsia" w:asciiTheme="minorEastAsia" w:hAnsiTheme="minorEastAsia" w:eastAsiaTheme="minorEastAsia" w:cstheme="minorEastAsia"/>
                <w:bCs/>
                <w:color w:val="000000" w:themeColor="text1"/>
                <w:sz w:val="24"/>
                <w:szCs w:val="24"/>
                <w:highlight w:val="none"/>
                <w14:textFill>
                  <w14:solidFill>
                    <w14:schemeClr w14:val="tx1"/>
                  </w14:solidFill>
                </w14:textFill>
              </w:rPr>
              <w:t>其它要求</w:t>
            </w:r>
          </w:p>
        </w:tc>
        <w:tc>
          <w:tcPr>
            <w:tcW w:w="6059" w:type="dxa"/>
            <w:shd w:val="clear" w:color="auto" w:fill="FFFFFF"/>
            <w:noWrap w:val="0"/>
            <w:vAlign w:val="top"/>
          </w:tcPr>
          <w:p w14:paraId="676A67AE">
            <w:pPr>
              <w:pageBreakBefore w:val="0"/>
              <w:kinsoku/>
              <w:wordWrap/>
              <w:overflowPunct/>
              <w:topLinePunct w:val="0"/>
              <w:autoSpaceDE/>
              <w:autoSpaceDN/>
              <w:bidi w:val="0"/>
              <w:adjustRightInd/>
              <w:snapToGrid/>
              <w:spacing w:line="500" w:lineRule="exact"/>
              <w:rPr>
                <w:rFonts w:hint="eastAsia" w:asciiTheme="minorEastAsia" w:hAnsiTheme="minorEastAsia" w:eastAsiaTheme="minorEastAsia" w:cstheme="minorEastAsia"/>
                <w:color w:val="000000" w:themeColor="text1"/>
                <w:sz w:val="24"/>
                <w:szCs w:val="24"/>
                <w:highlight w:val="none"/>
                <w:vertAlign w:val="baseline"/>
                <w14:textFill>
                  <w14:solidFill>
                    <w14:schemeClr w14:val="tx1"/>
                  </w14:solidFill>
                </w14:textFill>
              </w:rPr>
            </w:pP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投标人应该认真咨询、了解标的现状，并仔细阅读本次招标所提供的相关资料及特别规定。参加投标，即表明对标的的情况和特别规定的认可，投标成功后不得以未咨询或对标的不了解而提出异议或反悔。</w:t>
            </w:r>
          </w:p>
        </w:tc>
      </w:tr>
    </w:tbl>
    <w:p w14:paraId="066D35CF">
      <w:pPr>
        <w:spacing w:line="440" w:lineRule="exact"/>
        <w:rPr>
          <w:rFonts w:ascii="仿宋" w:hAnsi="仿宋" w:eastAsia="仿宋"/>
          <w:color w:val="000000" w:themeColor="text1"/>
          <w:sz w:val="24"/>
          <w:szCs w:val="24"/>
          <w:highlight w:val="none"/>
          <w14:textFill>
            <w14:solidFill>
              <w14:schemeClr w14:val="tx1"/>
            </w14:solidFill>
          </w14:textFill>
        </w:rPr>
      </w:pPr>
    </w:p>
    <w:p w14:paraId="528F0ABD">
      <w:pPr>
        <w:pStyle w:val="2"/>
        <w:spacing w:after="0" w:line="460" w:lineRule="exact"/>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pP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注：以上商务</w:t>
      </w:r>
      <w:r>
        <w:rPr>
          <w:rFonts w:hint="eastAsia" w:asciiTheme="minorEastAsia" w:hAnsiTheme="minorEastAsia" w:eastAsiaTheme="minorEastAsia" w:cstheme="minorEastAsia"/>
          <w:b/>
          <w:bCs/>
          <w:color w:val="000000" w:themeColor="text1"/>
          <w:sz w:val="24"/>
          <w:szCs w:val="24"/>
          <w:highlight w:val="none"/>
          <w:lang w:val="en-US" w:eastAsia="zh-CN"/>
          <w14:textFill>
            <w14:solidFill>
              <w14:schemeClr w14:val="tx1"/>
            </w14:solidFill>
          </w14:textFill>
        </w:rPr>
        <w:t>条款</w:t>
      </w:r>
      <w:r>
        <w:rPr>
          <w:rFonts w:hint="eastAsia" w:asciiTheme="minorEastAsia" w:hAnsiTheme="minorEastAsia" w:eastAsiaTheme="minorEastAsia" w:cstheme="minorEastAsia"/>
          <w:b/>
          <w:bCs/>
          <w:color w:val="000000" w:themeColor="text1"/>
          <w:sz w:val="24"/>
          <w:szCs w:val="24"/>
          <w:highlight w:val="none"/>
          <w14:textFill>
            <w14:solidFill>
              <w14:schemeClr w14:val="tx1"/>
            </w14:solidFill>
          </w14:textFill>
        </w:rPr>
        <w:t>的全部内容必须完全响应，否则视为无效投标。</w:t>
      </w:r>
    </w:p>
    <w:p w14:paraId="643BCCFB">
      <w:bookmarkStart w:id="6" w:name="_GoBack"/>
      <w:bookmarkEnd w:id="6"/>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BAAD81">
    <w:pPr>
      <w:spacing w:line="174" w:lineRule="auto"/>
      <w:ind w:left="4878"/>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30</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8D6C10"/>
    <w:multiLevelType w:val="singleLevel"/>
    <w:tmpl w:val="318D6C10"/>
    <w:lvl w:ilvl="0" w:tentative="0">
      <w:start w:val="1"/>
      <w:numFmt w:val="decimal"/>
      <w:lvlText w:val="%1."/>
      <w:lvlJc w:val="left"/>
      <w:pPr>
        <w:tabs>
          <w:tab w:val="left" w:pos="312"/>
        </w:tabs>
      </w:pPr>
    </w:lvl>
  </w:abstractNum>
  <w:abstractNum w:abstractNumId="1">
    <w:nsid w:val="4105CC83"/>
    <w:multiLevelType w:val="singleLevel"/>
    <w:tmpl w:val="4105CC83"/>
    <w:lvl w:ilvl="0" w:tentative="0">
      <w:start w:val="1"/>
      <w:numFmt w:val="decimal"/>
      <w:lvlText w:val="%1."/>
      <w:lvlJc w:val="left"/>
      <w:pPr>
        <w:ind w:left="425" w:hanging="425"/>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744057"/>
    <w:rsid w:val="367440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Body Text Indent"/>
    <w:basedOn w:val="1"/>
    <w:next w:val="4"/>
    <w:unhideWhenUsed/>
    <w:qFormat/>
    <w:uiPriority w:val="99"/>
    <w:pPr>
      <w:spacing w:after="120"/>
      <w:ind w:left="420" w:leftChars="200"/>
    </w:pPr>
    <w:rPr>
      <w:rFonts w:eastAsia="微软雅黑"/>
      <w:kern w:val="0"/>
      <w:sz w:val="24"/>
      <w:szCs w:val="20"/>
    </w:rPr>
  </w:style>
  <w:style w:type="paragraph" w:styleId="4">
    <w:name w:val="envelope return"/>
    <w:basedOn w:val="1"/>
    <w:next w:val="1"/>
    <w:qFormat/>
    <w:uiPriority w:val="99"/>
    <w:pPr>
      <w:snapToGrid w:val="0"/>
      <w:spacing w:line="360" w:lineRule="auto"/>
    </w:pPr>
    <w:rPr>
      <w:rFonts w:ascii="Arial" w:hAnsi="Arial" w:cs="Arial"/>
      <w:sz w:val="24"/>
      <w:szCs w:val="24"/>
    </w:r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8">
    <w:name w:val="List Paragraph"/>
    <w:basedOn w:val="1"/>
    <w:qFormat/>
    <w:uiPriority w:val="34"/>
    <w:pPr>
      <w:ind w:firstLine="420" w:firstLineChars="200"/>
    </w:pPr>
  </w:style>
  <w:style w:type="paragraph" w:customStyle="1" w:styleId="9">
    <w:name w:val="列出段落3"/>
    <w:basedOn w:val="1"/>
    <w:qFormat/>
    <w:uiPriority w:val="99"/>
    <w:pPr>
      <w:autoSpaceDE w:val="0"/>
      <w:autoSpaceDN w:val="0"/>
      <w:spacing w:line="240" w:lineRule="auto"/>
      <w:ind w:left="597"/>
    </w:pPr>
    <w:rPr>
      <w:rFonts w:ascii="宋体" w:hAnsi="宋体" w:cs="宋体"/>
      <w:kern w:val="0"/>
      <w:sz w:val="22"/>
      <w:szCs w:val="22"/>
      <w:lang w:val="zh-CN" w:bidi="zh-CN"/>
    </w:rPr>
  </w:style>
  <w:style w:type="paragraph" w:customStyle="1" w:styleId="10">
    <w:name w:val="Table Paragraph"/>
    <w:basedOn w:val="1"/>
    <w:qFormat/>
    <w:uiPriority w:val="1"/>
    <w:pPr>
      <w:jc w:val="left"/>
    </w:pPr>
    <w:rPr>
      <w:rFonts w:ascii="宋体" w:hAnsi="宋体" w:cs="宋体"/>
      <w:kern w:val="0"/>
      <w:sz w:val="22"/>
      <w:szCs w:val="22"/>
      <w:lang w:eastAsia="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2026-04-13T01:58:00Z</dcterms:created>
  <dc:creator>yangguanmei</dc:creator>
  <cp:lastModifiedBy>yangguanmei</cp:lastModifiedBy>
  <dcterms:modified xsi:type="dcterms:W3CDTF">2026-04-13T01:58:33Z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B1FBF3470DD64F429248AE824E54C400_11</vt:lpwstr>
  </property>
  <property fmtid="{D5CDD505-2E9C-101B-9397-08002B2CF9AE}" pid="4" name="KSOTemplateDocerSaveRecord">
    <vt:lpwstr>eyJoZGlkIjoiOGQ5ODg2ODUyODI1MWE4ODU3NzU3YTQ2YTYzOTQ0NDYiLCJ1c2VySWQiOiIxNzAzMjYyNzIyIn0=</vt:lpwstr>
  </property>
</Properties>
</file>